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3E915" w14:textId="77777777" w:rsidR="00E74850" w:rsidRPr="004A5029" w:rsidRDefault="00E74850" w:rsidP="008C6A70">
      <w:pPr>
        <w:rPr>
          <w:rFonts w:ascii="Times New Roman" w:hAnsi="Times New Roman" w:cs="Times New Roman"/>
          <w:b/>
          <w:color w:val="000000" w:themeColor="text1"/>
        </w:rPr>
      </w:pPr>
    </w:p>
    <w:p w14:paraId="40B1A3C7" w14:textId="797655BB" w:rsidR="003445E5" w:rsidRPr="004A5029" w:rsidRDefault="003445E5" w:rsidP="00D76159">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INDICE</w:t>
      </w:r>
    </w:p>
    <w:p w14:paraId="72A3D3EC" w14:textId="77777777" w:rsidR="003445E5" w:rsidRPr="004A5029" w:rsidRDefault="003445E5" w:rsidP="003445E5">
      <w:pPr>
        <w:spacing w:after="0" w:line="240" w:lineRule="auto"/>
        <w:jc w:val="center"/>
        <w:rPr>
          <w:rFonts w:ascii="Times New Roman" w:hAnsi="Times New Roman" w:cs="Times New Roman"/>
          <w:color w:val="000000" w:themeColor="text1"/>
        </w:rPr>
      </w:pPr>
      <w:bookmarkStart w:id="0" w:name="_GoBack"/>
      <w:bookmarkEnd w:id="0"/>
    </w:p>
    <w:p w14:paraId="0D0B940D" w14:textId="77777777" w:rsidR="003445E5" w:rsidRPr="004A5029" w:rsidRDefault="003445E5" w:rsidP="003445E5">
      <w:pPr>
        <w:spacing w:after="0" w:line="240" w:lineRule="auto"/>
        <w:jc w:val="center"/>
        <w:rPr>
          <w:rFonts w:ascii="Times New Roman" w:hAnsi="Times New Roman" w:cs="Times New Roman"/>
          <w:color w:val="000000" w:themeColor="text1"/>
        </w:rPr>
      </w:pPr>
    </w:p>
    <w:p w14:paraId="1D314ED4"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LIBRO I</w:t>
      </w:r>
    </w:p>
    <w:p w14:paraId="2997874A"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PRINCIPI, DELLA DIGITALIZZAZIONE, DELLA PROGRAMMAZIONE E DELLA PROGETTAZIONE</w:t>
      </w:r>
    </w:p>
    <w:p w14:paraId="0E27B00A" w14:textId="77777777" w:rsidR="003445E5" w:rsidRPr="004A5029" w:rsidRDefault="003445E5" w:rsidP="003445E5">
      <w:pPr>
        <w:spacing w:after="0" w:line="240" w:lineRule="auto"/>
        <w:rPr>
          <w:rFonts w:ascii="Times New Roman" w:hAnsi="Times New Roman" w:cs="Times New Roman"/>
          <w:color w:val="000000" w:themeColor="text1"/>
        </w:rPr>
      </w:pPr>
    </w:p>
    <w:p w14:paraId="7F8D0181"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7CDB9BF2"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DEI PRINCIPI</w:t>
      </w:r>
    </w:p>
    <w:p w14:paraId="60061E4C" w14:textId="77777777" w:rsidR="003445E5" w:rsidRPr="004A5029" w:rsidRDefault="003445E5" w:rsidP="003445E5">
      <w:pPr>
        <w:spacing w:after="0" w:line="240" w:lineRule="auto"/>
        <w:rPr>
          <w:rFonts w:ascii="Times New Roman" w:hAnsi="Times New Roman" w:cs="Times New Roman"/>
          <w:b/>
          <w:color w:val="000000" w:themeColor="text1"/>
        </w:rPr>
      </w:pPr>
    </w:p>
    <w:p w14:paraId="62F7ED21" w14:textId="77777777" w:rsidR="003445E5" w:rsidRPr="004A5029" w:rsidRDefault="003445E5" w:rsidP="003445E5">
      <w:pPr>
        <w:spacing w:after="0" w:line="240" w:lineRule="auto"/>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 – I principi generali</w:t>
      </w:r>
    </w:p>
    <w:p w14:paraId="44EAFD9C" w14:textId="77777777" w:rsidR="003445E5" w:rsidRPr="004A5029" w:rsidRDefault="003445E5" w:rsidP="003445E5">
      <w:pPr>
        <w:spacing w:after="0" w:line="240" w:lineRule="auto"/>
        <w:rPr>
          <w:rFonts w:ascii="Times New Roman" w:hAnsi="Times New Roman" w:cs="Times New Roman"/>
          <w:color w:val="000000" w:themeColor="text1"/>
          <w:u w:val="single"/>
        </w:rPr>
      </w:pPr>
    </w:p>
    <w:p w14:paraId="4CF26EFF"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w:t>
      </w:r>
    </w:p>
    <w:p w14:paraId="0CA0F50B"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Principio del risultato.</w:t>
      </w:r>
    </w:p>
    <w:p w14:paraId="5435DB49"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2.</w:t>
      </w:r>
    </w:p>
    <w:p w14:paraId="6626E95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Principio della fiducia.</w:t>
      </w:r>
    </w:p>
    <w:p w14:paraId="0CCD96E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w:t>
      </w:r>
    </w:p>
    <w:p w14:paraId="0AA2F16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Principio dell’accesso al mercato.</w:t>
      </w:r>
    </w:p>
    <w:p w14:paraId="17457F5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w:t>
      </w:r>
    </w:p>
    <w:p w14:paraId="69DAD02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Criterio interpretativo e applicativo.</w:t>
      </w:r>
    </w:p>
    <w:p w14:paraId="6F62260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w:t>
      </w:r>
    </w:p>
    <w:p w14:paraId="507603E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 di buona fede e di tutela dell’affidamento.</w:t>
      </w:r>
    </w:p>
    <w:p w14:paraId="7B22271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w:t>
      </w:r>
    </w:p>
    <w:p w14:paraId="2F1B6D3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 di solidarietà e di sussidiarietà orizzontale. Rapporti con egli enti del Terzo settore.</w:t>
      </w:r>
    </w:p>
    <w:p w14:paraId="145D416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7.</w:t>
      </w:r>
    </w:p>
    <w:p w14:paraId="79BBE0B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Principio di auto-organizzazione amministrativa.</w:t>
      </w:r>
    </w:p>
    <w:p w14:paraId="0D268EA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8. </w:t>
      </w:r>
    </w:p>
    <w:p w14:paraId="71534B47"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Principio di autonomia contrattuale. Divieto di prestazioni d’opera intellettuale a titolo gratuito.</w:t>
      </w:r>
    </w:p>
    <w:p w14:paraId="4444D7B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9.</w:t>
      </w:r>
    </w:p>
    <w:p w14:paraId="139EA99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Principio di conservazione dell’equilibrio contrattuale.</w:t>
      </w:r>
    </w:p>
    <w:p w14:paraId="0A45118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10.</w:t>
      </w:r>
    </w:p>
    <w:p w14:paraId="51F16A1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 di tassatività delle cause di esclusione e di massima partecipazione.</w:t>
      </w:r>
    </w:p>
    <w:p w14:paraId="5C2CA56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11.</w:t>
      </w:r>
    </w:p>
    <w:p w14:paraId="3FA2AC6A"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Principio di applicazione dei contratti collettivi nazionali di settore. Inadempienze contributive e ritardo nei pagamenti.</w:t>
      </w:r>
    </w:p>
    <w:p w14:paraId="18529A4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12.</w:t>
      </w:r>
    </w:p>
    <w:p w14:paraId="404CA96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Rinvio esterno.</w:t>
      </w:r>
    </w:p>
    <w:p w14:paraId="4B94D5A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6CEEE1B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 – L’ambito di applicazione, il responsabile unico e le fasi dell’affidamento</w:t>
      </w:r>
    </w:p>
    <w:p w14:paraId="3DEEC66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15074BB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13.</w:t>
      </w:r>
    </w:p>
    <w:p w14:paraId="0ADBB81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Ambito di applicazione.</w:t>
      </w:r>
    </w:p>
    <w:p w14:paraId="3FE605C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14.</w:t>
      </w:r>
    </w:p>
    <w:p w14:paraId="003E0FD0" w14:textId="77777777" w:rsidR="003445E5" w:rsidRPr="004A5029" w:rsidRDefault="003445E5" w:rsidP="003445E5">
      <w:pPr>
        <w:pStyle w:val="Paragrafoelenco"/>
        <w:tabs>
          <w:tab w:val="left" w:pos="851"/>
        </w:tabs>
        <w:spacing w:after="0" w:line="240" w:lineRule="auto"/>
        <w:ind w:left="0"/>
        <w:jc w:val="both"/>
        <w:rPr>
          <w:rFonts w:ascii="Times New Roman" w:hAnsi="Times New Roman" w:cs="Times New Roman"/>
          <w:color w:val="000000" w:themeColor="text1"/>
        </w:rPr>
      </w:pPr>
      <w:r w:rsidRPr="004A5029">
        <w:rPr>
          <w:rFonts w:ascii="Times New Roman" w:hAnsi="Times New Roman" w:cs="Times New Roman"/>
          <w:color w:val="000000" w:themeColor="text1"/>
        </w:rPr>
        <w:t>Soglie di rilevanza europea e metodi di calcolo del valore stimato degli appalti. Disciplina dei contratti misti.</w:t>
      </w:r>
    </w:p>
    <w:p w14:paraId="2F7243F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15.</w:t>
      </w:r>
    </w:p>
    <w:p w14:paraId="415A4ACA"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Responsabile unico del progetto (RUP).</w:t>
      </w:r>
    </w:p>
    <w:p w14:paraId="5D15190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16.</w:t>
      </w:r>
    </w:p>
    <w:p w14:paraId="370E7A8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Conflitto di interessi.</w:t>
      </w:r>
    </w:p>
    <w:p w14:paraId="0553D46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w:t>
      </w:r>
    </w:p>
    <w:p w14:paraId="6CCF587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Fasi delle procedure di affidamento.</w:t>
      </w:r>
    </w:p>
    <w:p w14:paraId="37A910F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w:t>
      </w:r>
    </w:p>
    <w:p w14:paraId="22FB73D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Il contratto e la sua stipulazione.</w:t>
      </w:r>
    </w:p>
    <w:p w14:paraId="3656B9AB"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2F68D8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1AF41E5D"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DELLA DIGITALIZZAZIONE DEL CICLO DI VITA DEI CONTRATTI</w:t>
      </w:r>
    </w:p>
    <w:p w14:paraId="45FB081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10A467D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w:t>
      </w:r>
    </w:p>
    <w:p w14:paraId="1B8E990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 e diritti digitali.</w:t>
      </w:r>
    </w:p>
    <w:p w14:paraId="0C96F80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w:t>
      </w:r>
    </w:p>
    <w:p w14:paraId="2B5B7AD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 in materia di trasparenza.</w:t>
      </w:r>
    </w:p>
    <w:p w14:paraId="5C70B93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21.</w:t>
      </w:r>
    </w:p>
    <w:p w14:paraId="29B3E74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Ciclo di vita digitale dei contratti pubblici.</w:t>
      </w:r>
    </w:p>
    <w:p w14:paraId="0431679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22.</w:t>
      </w:r>
    </w:p>
    <w:p w14:paraId="68D6A27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Ecosistema nazionale di approvvigionamento digitale (</w:t>
      </w:r>
      <w:r w:rsidRPr="004A5029">
        <w:rPr>
          <w:rFonts w:ascii="Times New Roman" w:hAnsi="Times New Roman" w:cs="Times New Roman"/>
          <w:i/>
          <w:color w:val="000000" w:themeColor="text1"/>
        </w:rPr>
        <w:t>e-procurement</w:t>
      </w:r>
      <w:r w:rsidRPr="004A5029">
        <w:rPr>
          <w:rFonts w:ascii="Times New Roman" w:hAnsi="Times New Roman" w:cs="Times New Roman"/>
          <w:color w:val="000000" w:themeColor="text1"/>
        </w:rPr>
        <w:t>).</w:t>
      </w:r>
    </w:p>
    <w:p w14:paraId="3D14FAE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23.</w:t>
      </w:r>
    </w:p>
    <w:p w14:paraId="65079BA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Banca dati nazionale dei contratti pubblici.</w:t>
      </w:r>
    </w:p>
    <w:p w14:paraId="295A68C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24.</w:t>
      </w:r>
    </w:p>
    <w:p w14:paraId="3B47046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Fascicolo virtuale dell’operatore economico.</w:t>
      </w:r>
    </w:p>
    <w:p w14:paraId="56E68B3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25.</w:t>
      </w:r>
    </w:p>
    <w:p w14:paraId="333B811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Piattaforme di approvvigionamento digitale.</w:t>
      </w:r>
    </w:p>
    <w:p w14:paraId="4DD9F58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26.</w:t>
      </w:r>
    </w:p>
    <w:p w14:paraId="6379D88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Regole tecniche.</w:t>
      </w:r>
    </w:p>
    <w:p w14:paraId="41F1CC5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27.</w:t>
      </w:r>
    </w:p>
    <w:p w14:paraId="57B79CC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Pubblicità legale degli atti.</w:t>
      </w:r>
    </w:p>
    <w:p w14:paraId="2F56CCC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28.</w:t>
      </w:r>
    </w:p>
    <w:p w14:paraId="7A5D5DF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Trasparenza dei contratti pubblici.</w:t>
      </w:r>
    </w:p>
    <w:p w14:paraId="4051840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29.</w:t>
      </w:r>
    </w:p>
    <w:p w14:paraId="44D1272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Regole applicabili alle comunicazioni.</w:t>
      </w:r>
    </w:p>
    <w:p w14:paraId="4153649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30.</w:t>
      </w:r>
    </w:p>
    <w:p w14:paraId="5169C5B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Uso di procedure automatizzate nel ciclo di vita dei contratti pubblici.</w:t>
      </w:r>
    </w:p>
    <w:p w14:paraId="5FBD55D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31.</w:t>
      </w:r>
    </w:p>
    <w:p w14:paraId="31BB17E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Anagrafe degli operatori economici partecipanti agli appalti.</w:t>
      </w:r>
    </w:p>
    <w:p w14:paraId="34198A7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32.</w:t>
      </w:r>
    </w:p>
    <w:p w14:paraId="5FCD157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Sistemi dinamici di acquisizione.</w:t>
      </w:r>
    </w:p>
    <w:p w14:paraId="7F542B2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33.</w:t>
      </w:r>
    </w:p>
    <w:p w14:paraId="38B038C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Aste elettroniche.</w:t>
      </w:r>
    </w:p>
    <w:p w14:paraId="44414C4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34.</w:t>
      </w:r>
    </w:p>
    <w:p w14:paraId="670ECCB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Cataloghi elettronici.</w:t>
      </w:r>
    </w:p>
    <w:p w14:paraId="0CB64AD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35.</w:t>
      </w:r>
    </w:p>
    <w:p w14:paraId="0E3C90C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Accesso agli atti e riservatezza.</w:t>
      </w:r>
    </w:p>
    <w:p w14:paraId="5C0D529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36.</w:t>
      </w:r>
    </w:p>
    <w:p w14:paraId="0D92107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Norme procedimentali e processuali in tema di accesso.</w:t>
      </w:r>
    </w:p>
    <w:p w14:paraId="049F31CB"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04014823"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III</w:t>
      </w:r>
    </w:p>
    <w:p w14:paraId="6562EC43"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DELLA PROGRAMMAZIONE</w:t>
      </w:r>
    </w:p>
    <w:p w14:paraId="5312826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002037E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37.</w:t>
      </w:r>
    </w:p>
    <w:p w14:paraId="12601A7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Programmazione dei lavori e degli acquisti di beni e servizi.</w:t>
      </w:r>
    </w:p>
    <w:p w14:paraId="35CDF76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38.</w:t>
      </w:r>
    </w:p>
    <w:p w14:paraId="13E3F6A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Localizzazione e approvazione del progetto delle opere.</w:t>
      </w:r>
    </w:p>
    <w:p w14:paraId="7F1C4A3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39.</w:t>
      </w:r>
    </w:p>
    <w:p w14:paraId="7B4DCD07" w14:textId="77777777" w:rsidR="003445E5" w:rsidRPr="004A5029" w:rsidRDefault="003445E5" w:rsidP="003445E5">
      <w:pPr>
        <w:pStyle w:val="Paragrafoelenco"/>
        <w:tabs>
          <w:tab w:val="left" w:pos="851"/>
        </w:tabs>
        <w:spacing w:after="0" w:line="240" w:lineRule="auto"/>
        <w:ind w:left="0"/>
        <w:jc w:val="both"/>
        <w:rPr>
          <w:rFonts w:ascii="Times New Roman" w:hAnsi="Times New Roman" w:cs="Times New Roman"/>
          <w:color w:val="000000" w:themeColor="text1"/>
        </w:rPr>
      </w:pPr>
      <w:r w:rsidRPr="004A5029">
        <w:rPr>
          <w:rFonts w:ascii="Times New Roman" w:hAnsi="Times New Roman" w:cs="Times New Roman"/>
          <w:color w:val="000000" w:themeColor="text1"/>
        </w:rPr>
        <w:t>Programmazione e progettazione delle infrastrutture strategiche e di preminente interesse nazionale.</w:t>
      </w:r>
    </w:p>
    <w:p w14:paraId="2251CD7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40. </w:t>
      </w:r>
    </w:p>
    <w:p w14:paraId="306F387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Dibattito pubblico.</w:t>
      </w:r>
    </w:p>
    <w:p w14:paraId="62486C0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4C9539D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IV</w:t>
      </w:r>
    </w:p>
    <w:p w14:paraId="2A06BAA5"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lastRenderedPageBreak/>
        <w:t>DELLA PROGETTAZIONE</w:t>
      </w:r>
    </w:p>
    <w:p w14:paraId="4101652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73B7228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41. </w:t>
      </w:r>
    </w:p>
    <w:p w14:paraId="20F0C550"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Livelli e contenuti della progettazione.</w:t>
      </w:r>
    </w:p>
    <w:p w14:paraId="5D25CFE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42.</w:t>
      </w:r>
    </w:p>
    <w:p w14:paraId="7DFAA40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Verifica della progettazione.</w:t>
      </w:r>
    </w:p>
    <w:p w14:paraId="3B51B91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43.</w:t>
      </w:r>
    </w:p>
    <w:p w14:paraId="69D219A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Metodi e strumenti di gestione informativa digitale delle costruzioni.</w:t>
      </w:r>
    </w:p>
    <w:p w14:paraId="36ED6EB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44.</w:t>
      </w:r>
    </w:p>
    <w:p w14:paraId="1F1A406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Appalto integrato.</w:t>
      </w:r>
    </w:p>
    <w:p w14:paraId="44BBB7B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45.</w:t>
      </w:r>
    </w:p>
    <w:p w14:paraId="6EAB4E0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Incentivi alle funzioni tecniche.</w:t>
      </w:r>
    </w:p>
    <w:p w14:paraId="34E32A7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46.</w:t>
      </w:r>
    </w:p>
    <w:p w14:paraId="4F8AB72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Concorsi di progettazione.</w:t>
      </w:r>
    </w:p>
    <w:p w14:paraId="741203C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47. </w:t>
      </w:r>
    </w:p>
    <w:p w14:paraId="010EE0B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Consiglio superiore dei lavori pubblici.</w:t>
      </w:r>
    </w:p>
    <w:p w14:paraId="4B99056E" w14:textId="77777777" w:rsidR="003445E5" w:rsidRPr="004A5029" w:rsidRDefault="003445E5" w:rsidP="003445E5">
      <w:pPr>
        <w:spacing w:after="0" w:line="240" w:lineRule="auto"/>
        <w:rPr>
          <w:rFonts w:ascii="Times New Roman" w:hAnsi="Times New Roman" w:cs="Times New Roman"/>
          <w:color w:val="000000" w:themeColor="text1"/>
        </w:rPr>
      </w:pPr>
    </w:p>
    <w:p w14:paraId="1299C43A" w14:textId="77777777" w:rsidR="003445E5" w:rsidRPr="004A5029" w:rsidRDefault="003445E5" w:rsidP="003445E5">
      <w:pPr>
        <w:spacing w:after="0" w:line="240" w:lineRule="auto"/>
        <w:rPr>
          <w:rFonts w:ascii="Times New Roman" w:hAnsi="Times New Roman" w:cs="Times New Roman"/>
          <w:color w:val="000000" w:themeColor="text1"/>
        </w:rPr>
      </w:pPr>
    </w:p>
    <w:p w14:paraId="0566863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LIBRO II</w:t>
      </w:r>
    </w:p>
    <w:p w14:paraId="3E3F70A3"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DELL’APPALTO</w:t>
      </w:r>
    </w:p>
    <w:p w14:paraId="4DDBEF00"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1F0FE29C"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 </w:t>
      </w:r>
    </w:p>
    <w:p w14:paraId="00BD8604"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DEI CONTRATTI DI IMPORTO INFERIORE ALLE SOGLIE EUROPEE</w:t>
      </w:r>
    </w:p>
    <w:p w14:paraId="3461D779"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6932796F"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48.</w:t>
      </w:r>
    </w:p>
    <w:p w14:paraId="55557917" w14:textId="77777777" w:rsidR="003445E5" w:rsidRPr="004A5029" w:rsidRDefault="003445E5" w:rsidP="003445E5">
      <w:pPr>
        <w:pStyle w:val="Paragrafoelenco"/>
        <w:tabs>
          <w:tab w:val="left" w:pos="851"/>
        </w:tabs>
        <w:spacing w:after="0" w:line="240" w:lineRule="aut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Disciplina comune applicabile ai contratti di lavori, servizi e forniture di importo inferiore alle soglie di rilevanza europea.</w:t>
      </w:r>
    </w:p>
    <w:p w14:paraId="7C32B80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49.</w:t>
      </w:r>
    </w:p>
    <w:p w14:paraId="148A372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Principio di rotazione degli affidamenti.</w:t>
      </w:r>
    </w:p>
    <w:p w14:paraId="43AE44E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50.</w:t>
      </w:r>
    </w:p>
    <w:p w14:paraId="165D9C5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Procedure per l’affidamento.</w:t>
      </w:r>
    </w:p>
    <w:p w14:paraId="7B54711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51.</w:t>
      </w:r>
    </w:p>
    <w:p w14:paraId="2B00B752"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Commissione giudicatrice.</w:t>
      </w:r>
    </w:p>
    <w:p w14:paraId="1EAD5E8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52.</w:t>
      </w:r>
    </w:p>
    <w:p w14:paraId="3915442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Controllo sul possesso dei requisiti.</w:t>
      </w:r>
    </w:p>
    <w:p w14:paraId="60EEDF4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53.</w:t>
      </w:r>
    </w:p>
    <w:p w14:paraId="6F94297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Garanzie a corredo dell’offerta e garanzie definitive.</w:t>
      </w:r>
    </w:p>
    <w:p w14:paraId="509B1D0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54.</w:t>
      </w:r>
    </w:p>
    <w:p w14:paraId="15999A5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Esclusione automatica delle offerte anomale.</w:t>
      </w:r>
    </w:p>
    <w:p w14:paraId="2ED5EB7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55.</w:t>
      </w:r>
    </w:p>
    <w:p w14:paraId="3AEBF7B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i/>
          <w:color w:val="000000" w:themeColor="text1"/>
        </w:rPr>
      </w:pPr>
      <w:r w:rsidRPr="004A5029">
        <w:rPr>
          <w:rFonts w:ascii="Times New Roman" w:hAnsi="Times New Roman" w:cs="Times New Roman"/>
          <w:color w:val="000000" w:themeColor="text1"/>
        </w:rPr>
        <w:t>Termini dilatori.</w:t>
      </w:r>
    </w:p>
    <w:p w14:paraId="3CF2D8B6"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06C670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54AED098"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DEGLI ISTITUTI E DELLE CLAUSOLE COMUNI</w:t>
      </w:r>
    </w:p>
    <w:p w14:paraId="0FB7827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62DB26B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56.</w:t>
      </w:r>
    </w:p>
    <w:p w14:paraId="076B8EC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Appalti esclusi nei settori ordinari.</w:t>
      </w:r>
    </w:p>
    <w:p w14:paraId="462F143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57.</w:t>
      </w:r>
    </w:p>
    <w:p w14:paraId="4578666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 xml:space="preserve">Clausole sociali del bando di gara e degli avvisi </w:t>
      </w:r>
      <w:r w:rsidRPr="004A5029">
        <w:rPr>
          <w:rFonts w:ascii="Times New Roman" w:eastAsiaTheme="majorEastAsia" w:hAnsi="Times New Roman" w:cs="Times New Roman"/>
          <w:color w:val="000000" w:themeColor="text1"/>
        </w:rPr>
        <w:t>e criteri di sostenibilità energetica e ambientale</w:t>
      </w:r>
      <w:r w:rsidRPr="004A5029">
        <w:rPr>
          <w:rFonts w:ascii="Times New Roman" w:eastAsia="Times New Roman" w:hAnsi="Times New Roman" w:cs="Times New Roman"/>
          <w:i/>
          <w:iCs/>
          <w:color w:val="000000" w:themeColor="text1"/>
        </w:rPr>
        <w:t>.</w:t>
      </w:r>
    </w:p>
    <w:p w14:paraId="6694C2D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58.</w:t>
      </w:r>
    </w:p>
    <w:p w14:paraId="19C6123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Suddivisione in lotti.</w:t>
      </w:r>
    </w:p>
    <w:p w14:paraId="1ECB17B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59.</w:t>
      </w:r>
    </w:p>
    <w:p w14:paraId="09A4FD1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Accordi quadro.</w:t>
      </w:r>
    </w:p>
    <w:p w14:paraId="1C1554A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60.</w:t>
      </w:r>
    </w:p>
    <w:p w14:paraId="39890DC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lastRenderedPageBreak/>
        <w:t>Revisione prezzi.</w:t>
      </w:r>
    </w:p>
    <w:p w14:paraId="35A7630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61.</w:t>
      </w:r>
    </w:p>
    <w:p w14:paraId="415675A7"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Contratti riservati.</w:t>
      </w:r>
    </w:p>
    <w:p w14:paraId="1FC3994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11038195"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III </w:t>
      </w:r>
    </w:p>
    <w:p w14:paraId="32A801DB"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DEI SOGGETTI</w:t>
      </w:r>
    </w:p>
    <w:p w14:paraId="0562CB0E"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2C9CC2D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 – Le stazioni appaltanti</w:t>
      </w:r>
    </w:p>
    <w:p w14:paraId="34CE0A4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611BE06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62.</w:t>
      </w:r>
    </w:p>
    <w:p w14:paraId="71D73B3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Aggregazioni e centralizzazione delle committenze.</w:t>
      </w:r>
    </w:p>
    <w:p w14:paraId="3F11302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63.</w:t>
      </w:r>
    </w:p>
    <w:p w14:paraId="7D68311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Qualificazione delle stazioni appaltanti e delle centrali di committenza.</w:t>
      </w:r>
    </w:p>
    <w:p w14:paraId="4147BE9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64.</w:t>
      </w:r>
    </w:p>
    <w:p w14:paraId="5D17703E" w14:textId="77777777" w:rsidR="003445E5" w:rsidRPr="004A5029" w:rsidRDefault="003445E5" w:rsidP="003445E5">
      <w:pPr>
        <w:pStyle w:val="Paragrafoelenco"/>
        <w:tabs>
          <w:tab w:val="left" w:pos="851"/>
        </w:tabs>
        <w:spacing w:after="0" w:line="240" w:lineRule="aut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Appalti che coinvolgono stazioni appaltanti di Stati membri diversi.</w:t>
      </w:r>
    </w:p>
    <w:p w14:paraId="62EBF3C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7A43DA5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 – Gli operatori economici</w:t>
      </w:r>
    </w:p>
    <w:p w14:paraId="6D98A12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2DAE1F3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65.</w:t>
      </w:r>
    </w:p>
    <w:p w14:paraId="4DD803A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Operatori economici.</w:t>
      </w:r>
    </w:p>
    <w:p w14:paraId="1CF03BE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66.</w:t>
      </w:r>
    </w:p>
    <w:p w14:paraId="42BE419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Operatori economici per l’affidamento dei servizi di architettura e di ingegneria.</w:t>
      </w:r>
    </w:p>
    <w:p w14:paraId="48ECF32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67.</w:t>
      </w:r>
    </w:p>
    <w:p w14:paraId="72CAA96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eastAsia="Calibri" w:hAnsi="Times New Roman" w:cs="Times New Roman"/>
          <w:color w:val="000000" w:themeColor="text1"/>
        </w:rPr>
        <w:t>Consorzi non necessari.</w:t>
      </w:r>
    </w:p>
    <w:p w14:paraId="4447D66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68.</w:t>
      </w:r>
    </w:p>
    <w:p w14:paraId="48A5070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Raggruppamenti temporanei e consorzi ordinari di operatori economici.</w:t>
      </w:r>
    </w:p>
    <w:p w14:paraId="18A389D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69.</w:t>
      </w:r>
    </w:p>
    <w:p w14:paraId="1772BC0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Accordo sugli Appalti Pubblici (AAP) e altri accordi internazionali.</w:t>
      </w:r>
    </w:p>
    <w:p w14:paraId="2946DB82"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997CC1D" w14:textId="77777777" w:rsidR="003445E5" w:rsidRPr="004A5029" w:rsidRDefault="003445E5" w:rsidP="003445E5">
      <w:pPr>
        <w:spacing w:after="0" w:line="240" w:lineRule="auto"/>
        <w:jc w:val="center"/>
        <w:rPr>
          <w:rFonts w:ascii="Times New Roman" w:hAnsi="Times New Roman" w:cs="Times New Roman"/>
          <w:b/>
          <w:color w:val="000000" w:themeColor="text1"/>
        </w:rPr>
      </w:pPr>
    </w:p>
    <w:p w14:paraId="5B07F799"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IV</w:t>
      </w:r>
    </w:p>
    <w:p w14:paraId="5FC0C907"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DELLE PROCEDURE DI SCELTA DEL CONTRAENTE</w:t>
      </w:r>
    </w:p>
    <w:p w14:paraId="110FFD37"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1B470D7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70.</w:t>
      </w:r>
    </w:p>
    <w:p w14:paraId="553845D7"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Procedure di scelta e relativi presupposti.</w:t>
      </w:r>
    </w:p>
    <w:p w14:paraId="2435290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71.</w:t>
      </w:r>
    </w:p>
    <w:p w14:paraId="369E3560"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Procedura aperta.</w:t>
      </w:r>
    </w:p>
    <w:p w14:paraId="02CC0355"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72.</w:t>
      </w:r>
    </w:p>
    <w:p w14:paraId="3057BEE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Procedura ristretta.</w:t>
      </w:r>
    </w:p>
    <w:p w14:paraId="0219FFC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73.</w:t>
      </w:r>
    </w:p>
    <w:p w14:paraId="7DFD23EE"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Procedura competitiva con negoziazione.</w:t>
      </w:r>
    </w:p>
    <w:p w14:paraId="29FA48E0"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74.</w:t>
      </w:r>
    </w:p>
    <w:p w14:paraId="471DCDC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Dialogo competitivo.</w:t>
      </w:r>
    </w:p>
    <w:p w14:paraId="7B75A0E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75.</w:t>
      </w:r>
    </w:p>
    <w:p w14:paraId="13F9FB1A"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Partenariato per l’innovazione.</w:t>
      </w:r>
    </w:p>
    <w:p w14:paraId="5244EE2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76.</w:t>
      </w:r>
    </w:p>
    <w:p w14:paraId="7B7DC164"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Procedura negoziata senza pubblicazione di un bando.</w:t>
      </w:r>
    </w:p>
    <w:p w14:paraId="6B699379" w14:textId="77777777" w:rsidR="003445E5" w:rsidRPr="004A5029" w:rsidRDefault="003445E5" w:rsidP="003445E5">
      <w:pPr>
        <w:spacing w:after="0" w:line="240" w:lineRule="auto"/>
        <w:jc w:val="center"/>
        <w:rPr>
          <w:rFonts w:ascii="Times New Roman" w:hAnsi="Times New Roman" w:cs="Times New Roman"/>
          <w:color w:val="000000" w:themeColor="text1"/>
        </w:rPr>
      </w:pPr>
    </w:p>
    <w:p w14:paraId="62FF1FCC"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V</w:t>
      </w:r>
    </w:p>
    <w:p w14:paraId="7A79299B"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DELLO SVOLGIMENTO DELLE PROCEDURE</w:t>
      </w:r>
    </w:p>
    <w:p w14:paraId="3FE9F23F"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42CF63DA"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 – Gli atti preparatori</w:t>
      </w:r>
    </w:p>
    <w:p w14:paraId="1F72F646"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426EB8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77.</w:t>
      </w:r>
    </w:p>
    <w:p w14:paraId="414F1948"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lastRenderedPageBreak/>
        <w:t>Consultazioni preliminari di mercato.</w:t>
      </w:r>
    </w:p>
    <w:p w14:paraId="52FB20CD"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78.</w:t>
      </w:r>
    </w:p>
    <w:p w14:paraId="0D876F9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Partecipazione alle consultazioni preliminari di candidati o offerenti.</w:t>
      </w:r>
    </w:p>
    <w:p w14:paraId="195418D0"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79.</w:t>
      </w:r>
    </w:p>
    <w:p w14:paraId="28A7D23F"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Specifiche tecniche.</w:t>
      </w:r>
    </w:p>
    <w:p w14:paraId="3EAC226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80.</w:t>
      </w:r>
    </w:p>
    <w:p w14:paraId="5CE50AF4"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Etichettature.</w:t>
      </w:r>
    </w:p>
    <w:p w14:paraId="557CDDC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81.</w:t>
      </w:r>
    </w:p>
    <w:p w14:paraId="075525D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Avvisi di pre-informazione.</w:t>
      </w:r>
    </w:p>
    <w:p w14:paraId="6B84896F"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82.</w:t>
      </w:r>
    </w:p>
    <w:p w14:paraId="43266DA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Documenti di gara.</w:t>
      </w:r>
    </w:p>
    <w:p w14:paraId="08CE6F91"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7674F646"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 – I bandi, gli avvisi e gli inviti</w:t>
      </w:r>
    </w:p>
    <w:p w14:paraId="61CDCEAD"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79F7561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83.</w:t>
      </w:r>
    </w:p>
    <w:p w14:paraId="7E6E1549"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Bandi e avvisi: contenuti e modalità di redazione.</w:t>
      </w:r>
    </w:p>
    <w:p w14:paraId="02E9076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84.</w:t>
      </w:r>
    </w:p>
    <w:p w14:paraId="0C2432F3"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Pubblicazione a livello europeo.</w:t>
      </w:r>
    </w:p>
    <w:p w14:paraId="568F363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85.</w:t>
      </w:r>
    </w:p>
    <w:p w14:paraId="5F0E40AB"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Pubblicazione a livello nazionale.</w:t>
      </w:r>
    </w:p>
    <w:p w14:paraId="365B190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86.</w:t>
      </w:r>
    </w:p>
    <w:p w14:paraId="47813B3F"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Avviso volontario per la trasparenza preventiva.</w:t>
      </w:r>
    </w:p>
    <w:p w14:paraId="6DDBFF1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87.</w:t>
      </w:r>
    </w:p>
    <w:p w14:paraId="12B298B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Disciplinare di gara e capitolato speciale.</w:t>
      </w:r>
    </w:p>
    <w:p w14:paraId="3AC3211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88.</w:t>
      </w:r>
    </w:p>
    <w:p w14:paraId="2EAB2B3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Disponibilità digitale dei documenti di gara.</w:t>
      </w:r>
    </w:p>
    <w:p w14:paraId="097057C4"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89.</w:t>
      </w:r>
    </w:p>
    <w:p w14:paraId="385474FB"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Inviti ai candidati.</w:t>
      </w:r>
    </w:p>
    <w:p w14:paraId="35851D31"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90.</w:t>
      </w:r>
    </w:p>
    <w:p w14:paraId="4BBF52D7"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Informazioni ai candidati e agli offerenti.</w:t>
      </w:r>
    </w:p>
    <w:p w14:paraId="6BB9E253"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25C2157E"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III – La documentazione dell’offerente e i termini per la presentazione delle domande e delle offerte</w:t>
      </w:r>
    </w:p>
    <w:p w14:paraId="23DE523C"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2896387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91.</w:t>
      </w:r>
    </w:p>
    <w:p w14:paraId="680742E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Domande, documento di gara unico europeo, offerte.</w:t>
      </w:r>
    </w:p>
    <w:p w14:paraId="55DB6F82"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92.</w:t>
      </w:r>
    </w:p>
    <w:p w14:paraId="39F239B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Fissazione dei termini per la presentazione delle domande e delle offerte.</w:t>
      </w:r>
    </w:p>
    <w:p w14:paraId="52E56223"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26C9CBEF"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IV – I requisiti di partecipazione e la selezione dei partecipanti</w:t>
      </w:r>
    </w:p>
    <w:p w14:paraId="07547A01"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78EF4AC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Capo I – La commissione giudicatrice</w:t>
      </w:r>
    </w:p>
    <w:p w14:paraId="5043CB0F"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103335A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93.</w:t>
      </w:r>
    </w:p>
    <w:p w14:paraId="5CABD14E"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Commissione giudicatrice.</w:t>
      </w:r>
    </w:p>
    <w:p w14:paraId="07459315"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0A96197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Capo II – I requisiti di ordine generale</w:t>
      </w:r>
    </w:p>
    <w:p w14:paraId="6537F28F" w14:textId="77777777" w:rsidR="003445E5" w:rsidRPr="004A5029" w:rsidRDefault="003445E5" w:rsidP="003445E5">
      <w:pPr>
        <w:spacing w:after="0" w:line="240" w:lineRule="auto"/>
        <w:jc w:val="both"/>
        <w:rPr>
          <w:rFonts w:ascii="Times New Roman" w:hAnsi="Times New Roman" w:cs="Times New Roman"/>
          <w:color w:val="000000" w:themeColor="text1"/>
        </w:rPr>
      </w:pPr>
    </w:p>
    <w:p w14:paraId="7FF8E36D"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94.</w:t>
      </w:r>
    </w:p>
    <w:p w14:paraId="15154F55"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Cause di esclusione automatica.</w:t>
      </w:r>
    </w:p>
    <w:p w14:paraId="57679F6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95.</w:t>
      </w:r>
    </w:p>
    <w:p w14:paraId="09D79F4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Cause di esclusione non automatica.</w:t>
      </w:r>
    </w:p>
    <w:p w14:paraId="32A249BD" w14:textId="77777777" w:rsidR="003445E5" w:rsidRPr="004A5029" w:rsidRDefault="003445E5" w:rsidP="003445E5">
      <w:pPr>
        <w:spacing w:after="0" w:line="240" w:lineRule="auto"/>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96.</w:t>
      </w:r>
    </w:p>
    <w:p w14:paraId="06FB2ECB" w14:textId="77777777" w:rsidR="003445E5" w:rsidRPr="004A5029" w:rsidRDefault="003445E5" w:rsidP="003445E5">
      <w:pPr>
        <w:spacing w:after="0" w:line="240" w:lineRule="auto"/>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Disciplina dell’esclusione.</w:t>
      </w:r>
    </w:p>
    <w:p w14:paraId="2A5E3C2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97.</w:t>
      </w:r>
    </w:p>
    <w:p w14:paraId="0E47824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lastRenderedPageBreak/>
        <w:t>Cause di esclusione di partecipanti a raggruppamenti.</w:t>
      </w:r>
    </w:p>
    <w:p w14:paraId="76FB7DBA"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98.</w:t>
      </w:r>
    </w:p>
    <w:p w14:paraId="75E99C03"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Illecito professionale grave.</w:t>
      </w:r>
    </w:p>
    <w:p w14:paraId="6DFB9E20"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844E6F8"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Capo III – Gli altri requisiti di partecipazione alla gara</w:t>
      </w:r>
    </w:p>
    <w:p w14:paraId="70DF9E56"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7110D5F4"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99.</w:t>
      </w:r>
    </w:p>
    <w:p w14:paraId="136D5D3C"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Verifica del possesso dei requisiti.</w:t>
      </w:r>
    </w:p>
    <w:p w14:paraId="21E6CFB1"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100.</w:t>
      </w:r>
    </w:p>
    <w:p w14:paraId="1B5DF6F9"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Requisiti di ordine speciale.</w:t>
      </w:r>
    </w:p>
    <w:p w14:paraId="2EDA3DB8"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101.</w:t>
      </w:r>
    </w:p>
    <w:p w14:paraId="59FCB3BF"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Soccorso istruttorio.</w:t>
      </w:r>
    </w:p>
    <w:p w14:paraId="03212E3F"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102.</w:t>
      </w:r>
    </w:p>
    <w:p w14:paraId="3A869357" w14:textId="77777777" w:rsidR="003445E5" w:rsidRPr="004A5029" w:rsidRDefault="003445E5" w:rsidP="003445E5">
      <w:pPr>
        <w:spacing w:after="0" w:line="240" w:lineRule="auto"/>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Impegni dell’operatore economico.</w:t>
      </w:r>
    </w:p>
    <w:p w14:paraId="7E2990A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103.</w:t>
      </w:r>
    </w:p>
    <w:p w14:paraId="583F443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Requisiti di partecipazione a procedure di lavori di rilevante importo.</w:t>
      </w:r>
    </w:p>
    <w:p w14:paraId="39095CC8"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104.</w:t>
      </w:r>
    </w:p>
    <w:p w14:paraId="6BFB0E85"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Avvalimento.</w:t>
      </w:r>
    </w:p>
    <w:p w14:paraId="14E279B0"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105.</w:t>
      </w:r>
    </w:p>
    <w:p w14:paraId="432EC940"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Rapporti di prova, certificazioni delle qualità, mezzi di prova, registro </w:t>
      </w:r>
      <w:r w:rsidRPr="004A5029">
        <w:rPr>
          <w:rFonts w:ascii="Times New Roman" w:hAnsi="Times New Roman" w:cs="Times New Roman"/>
          <w:i/>
          <w:color w:val="000000" w:themeColor="text1"/>
        </w:rPr>
        <w:t>on line</w:t>
      </w:r>
      <w:r w:rsidRPr="004A5029">
        <w:rPr>
          <w:rFonts w:ascii="Times New Roman" w:hAnsi="Times New Roman" w:cs="Times New Roman"/>
          <w:color w:val="000000" w:themeColor="text1"/>
        </w:rPr>
        <w:t xml:space="preserve"> dei certificati e costi del ciclo vita.</w:t>
      </w:r>
    </w:p>
    <w:p w14:paraId="13B6211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106.</w:t>
      </w:r>
    </w:p>
    <w:p w14:paraId="6C7EEB08"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Garanzie per la partecipazione alla procedura.</w:t>
      </w:r>
    </w:p>
    <w:p w14:paraId="44E871BC"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5EB925F6"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V – La selezione delle offerte</w:t>
      </w:r>
    </w:p>
    <w:p w14:paraId="144A5D23"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14C7F38F"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107.</w:t>
      </w:r>
    </w:p>
    <w:p w14:paraId="55603F5A"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Principi generali in materia di selezione.</w:t>
      </w:r>
    </w:p>
    <w:p w14:paraId="2FAEF59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108.</w:t>
      </w:r>
    </w:p>
    <w:p w14:paraId="49D14B45"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Criteri di aggiudicazione degli appalti.</w:t>
      </w:r>
    </w:p>
    <w:p w14:paraId="448D557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109.</w:t>
      </w:r>
    </w:p>
    <w:p w14:paraId="66028783"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Reputazione dell’impresa.</w:t>
      </w:r>
    </w:p>
    <w:p w14:paraId="1FFDA66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110.</w:t>
      </w:r>
    </w:p>
    <w:p w14:paraId="688C6049"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Offerte anormalmente basse.</w:t>
      </w:r>
    </w:p>
    <w:p w14:paraId="4F13DAD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111.</w:t>
      </w:r>
    </w:p>
    <w:p w14:paraId="219087F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Avvisi relativi agli appalti aggiudicati.</w:t>
      </w:r>
    </w:p>
    <w:p w14:paraId="4ADDF124"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112.</w:t>
      </w:r>
    </w:p>
    <w:p w14:paraId="4BAF61D4"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Relazioni uniche sulle procedure di aggiudicazione degli appalti.</w:t>
      </w:r>
    </w:p>
    <w:p w14:paraId="738610EB" w14:textId="77777777" w:rsidR="003445E5" w:rsidRPr="004A5029" w:rsidRDefault="003445E5" w:rsidP="003445E5">
      <w:pPr>
        <w:spacing w:after="0" w:line="240" w:lineRule="auto"/>
        <w:rPr>
          <w:rFonts w:ascii="Times New Roman" w:hAnsi="Times New Roman" w:cs="Times New Roman"/>
          <w:color w:val="000000" w:themeColor="text1"/>
        </w:rPr>
      </w:pPr>
    </w:p>
    <w:p w14:paraId="0713D087"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VI</w:t>
      </w:r>
    </w:p>
    <w:p w14:paraId="21AE5E50"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DELL’ESECUZIONE</w:t>
      </w:r>
    </w:p>
    <w:p w14:paraId="637805D2"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132AB05A"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113.</w:t>
      </w:r>
    </w:p>
    <w:p w14:paraId="0799241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Requisiti per l’esecuzione dell’appalto.</w:t>
      </w:r>
    </w:p>
    <w:p w14:paraId="64F967F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114.</w:t>
      </w:r>
    </w:p>
    <w:p w14:paraId="688903CD"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Direzione dei lavori e dell’esecuzione dei contratti.</w:t>
      </w:r>
    </w:p>
    <w:p w14:paraId="1CA3AD0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115.</w:t>
      </w:r>
    </w:p>
    <w:p w14:paraId="439ECAE4"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Controllo tecnico contabile e amministrativo.</w:t>
      </w:r>
    </w:p>
    <w:p w14:paraId="45ADCCB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116.</w:t>
      </w:r>
    </w:p>
    <w:p w14:paraId="67FC9BD9"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Collaudo e verifica di conformità.</w:t>
      </w:r>
    </w:p>
    <w:p w14:paraId="7A11C1B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117.</w:t>
      </w:r>
    </w:p>
    <w:p w14:paraId="3ADD5B8B"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Garanzie definitive.</w:t>
      </w:r>
    </w:p>
    <w:p w14:paraId="6A48988E"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118.</w:t>
      </w:r>
    </w:p>
    <w:p w14:paraId="249E0AF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Garanzie per l’esecuzione di lavori di particolare valore.</w:t>
      </w:r>
    </w:p>
    <w:p w14:paraId="2A8EB234"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119.</w:t>
      </w:r>
    </w:p>
    <w:p w14:paraId="7A65B59A"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lastRenderedPageBreak/>
        <w:t>Subappalto.</w:t>
      </w:r>
    </w:p>
    <w:p w14:paraId="1BCED94D"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120.</w:t>
      </w:r>
    </w:p>
    <w:p w14:paraId="41744390"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Modifica dei contratti in corso di esecuzione.</w:t>
      </w:r>
    </w:p>
    <w:p w14:paraId="08059CB1"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121.</w:t>
      </w:r>
    </w:p>
    <w:p w14:paraId="1884730C"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Sospensione dell’esecuzione.</w:t>
      </w:r>
    </w:p>
    <w:p w14:paraId="3A5B1316"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122.</w:t>
      </w:r>
    </w:p>
    <w:p w14:paraId="0527908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Risoluzione.</w:t>
      </w:r>
    </w:p>
    <w:p w14:paraId="3A274A31"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123.</w:t>
      </w:r>
    </w:p>
    <w:p w14:paraId="07EEB1AE"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Recesso.</w:t>
      </w:r>
    </w:p>
    <w:p w14:paraId="770E2497"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124.</w:t>
      </w:r>
    </w:p>
    <w:p w14:paraId="633CD335"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Esecuzione o completamento dei lavori, servizi o forniture nel caso di procedura di insolvenza o di impedimento alla prosecuzione dell’affidamento con l’esecutore designato.</w:t>
      </w:r>
    </w:p>
    <w:p w14:paraId="4C29647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125.</w:t>
      </w:r>
    </w:p>
    <w:p w14:paraId="352BEBB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Anticipazione, modalità e termini di pagamento del corrispettivo.</w:t>
      </w:r>
    </w:p>
    <w:p w14:paraId="3FB7B0EF"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126.</w:t>
      </w:r>
    </w:p>
    <w:p w14:paraId="04C3D047"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Penali e premi di accelerazione.</w:t>
      </w:r>
    </w:p>
    <w:p w14:paraId="463F29E8"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EF41834"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VII</w:t>
      </w:r>
    </w:p>
    <w:p w14:paraId="64242CC9" w14:textId="77777777" w:rsidR="003445E5" w:rsidRPr="004A5029" w:rsidRDefault="003445E5" w:rsidP="003445E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DISPOSIZIONI PARTICOLARI PER ALCUNI CONTRATTI DEI SETTORI ORDINARI</w:t>
      </w:r>
    </w:p>
    <w:p w14:paraId="3B7B4B86"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0C09E77"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 – I servizi sociali e i servizi assimilati</w:t>
      </w:r>
    </w:p>
    <w:p w14:paraId="3A0FF5F2"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14E323AF"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127.</w:t>
      </w:r>
    </w:p>
    <w:p w14:paraId="5F9E9D9D"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Norme applicabili ai servizi sociali ed assimilati.</w:t>
      </w:r>
    </w:p>
    <w:p w14:paraId="3F064B91"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128.</w:t>
      </w:r>
    </w:p>
    <w:p w14:paraId="76FADEAA"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Servizi alla persona.</w:t>
      </w:r>
    </w:p>
    <w:p w14:paraId="5630AD66"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7AE38C9A"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 – Gli appalti di servizi sociali e di altri servizi nei settori ordinari</w:t>
      </w:r>
    </w:p>
    <w:p w14:paraId="61829076" w14:textId="77777777" w:rsidR="003445E5" w:rsidRPr="004A5029" w:rsidRDefault="003445E5" w:rsidP="003445E5">
      <w:pPr>
        <w:spacing w:after="0" w:line="240" w:lineRule="auto"/>
        <w:jc w:val="both"/>
        <w:rPr>
          <w:rFonts w:ascii="Times New Roman" w:hAnsi="Times New Roman" w:cs="Times New Roman"/>
          <w:color w:val="000000" w:themeColor="text1"/>
          <w:u w:val="single"/>
        </w:rPr>
      </w:pPr>
    </w:p>
    <w:p w14:paraId="2693E78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129. </w:t>
      </w:r>
    </w:p>
    <w:p w14:paraId="695E1766"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Appalti riservati.</w:t>
      </w:r>
    </w:p>
    <w:p w14:paraId="74CCE4B9"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130.</w:t>
      </w:r>
    </w:p>
    <w:p w14:paraId="4E55F1E0"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Servizi di ristorazione.</w:t>
      </w:r>
    </w:p>
    <w:p w14:paraId="6F4F010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131.</w:t>
      </w:r>
    </w:p>
    <w:p w14:paraId="79C78610"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Servizi sostitutivi di mensa.</w:t>
      </w:r>
    </w:p>
    <w:p w14:paraId="2BA226A1"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048D8BA2"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III – I contratti nel settore dei beni culturali</w:t>
      </w:r>
    </w:p>
    <w:p w14:paraId="17AD93B2"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3AB3F1DC"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132.</w:t>
      </w:r>
    </w:p>
    <w:p w14:paraId="68FD93C7"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Disciplina comune applicabile ai contratti del settore dei beni culturali.</w:t>
      </w:r>
    </w:p>
    <w:p w14:paraId="6BB056C7"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133.</w:t>
      </w:r>
    </w:p>
    <w:p w14:paraId="7F919F22"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Requisiti di qualificazione.</w:t>
      </w:r>
    </w:p>
    <w:p w14:paraId="00A5235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134.</w:t>
      </w:r>
    </w:p>
    <w:p w14:paraId="7AAF943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Contratti gratuiti.</w:t>
      </w:r>
    </w:p>
    <w:p w14:paraId="0DE4B5B7"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58652971"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IV – I servizi di ricerca e sviluppo</w:t>
      </w:r>
    </w:p>
    <w:p w14:paraId="66204FF1"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76BEF228"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135.</w:t>
      </w:r>
    </w:p>
    <w:p w14:paraId="43FAF72F"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Servizi di ricerca e sviluppo.</w:t>
      </w:r>
    </w:p>
    <w:p w14:paraId="2DBF0D7D"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AF5246B"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V – I contratti nel settore della difesa e sicurezza; i contratti secretati</w:t>
      </w:r>
    </w:p>
    <w:p w14:paraId="6B62F1B3"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4C38EF1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136.</w:t>
      </w:r>
    </w:p>
    <w:p w14:paraId="04B5961F"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Difesa e sicurezza.</w:t>
      </w:r>
    </w:p>
    <w:p w14:paraId="736E4615"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137.</w:t>
      </w:r>
    </w:p>
    <w:p w14:paraId="523288E8"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lastRenderedPageBreak/>
        <w:t>Contratti misti concernenti aspetti di difesa e sicurezza.</w:t>
      </w:r>
    </w:p>
    <w:p w14:paraId="779A8033"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138.</w:t>
      </w:r>
    </w:p>
    <w:p w14:paraId="5E2C7601"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Contratti e concorsi di progettazione aggiudicati o organizzati in base a norme internazionali.</w:t>
      </w:r>
    </w:p>
    <w:p w14:paraId="7C7051D4"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139.</w:t>
      </w:r>
    </w:p>
    <w:p w14:paraId="3321F97C"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Contratti secretati.</w:t>
      </w:r>
    </w:p>
    <w:p w14:paraId="02F2C34E" w14:textId="77777777" w:rsidR="003445E5" w:rsidRPr="004A5029" w:rsidRDefault="003445E5" w:rsidP="003445E5">
      <w:pPr>
        <w:spacing w:after="0" w:line="240" w:lineRule="auto"/>
        <w:jc w:val="both"/>
        <w:rPr>
          <w:rFonts w:ascii="Times New Roman" w:hAnsi="Times New Roman" w:cs="Times New Roman"/>
          <w:b/>
          <w:color w:val="000000" w:themeColor="text1"/>
        </w:rPr>
      </w:pPr>
    </w:p>
    <w:p w14:paraId="655AB4F5"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VI – Le procedure in caso di somma urgenza e di protezione civile</w:t>
      </w:r>
    </w:p>
    <w:p w14:paraId="680A4E5D" w14:textId="77777777" w:rsidR="003445E5" w:rsidRPr="004A5029" w:rsidRDefault="003445E5" w:rsidP="003445E5">
      <w:pPr>
        <w:spacing w:after="0" w:line="240" w:lineRule="auto"/>
        <w:jc w:val="both"/>
        <w:rPr>
          <w:rFonts w:ascii="Times New Roman" w:hAnsi="Times New Roman" w:cs="Times New Roman"/>
          <w:b/>
          <w:color w:val="000000" w:themeColor="text1"/>
          <w:u w:val="single"/>
        </w:rPr>
      </w:pPr>
    </w:p>
    <w:p w14:paraId="06E984DB"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140.</w:t>
      </w:r>
    </w:p>
    <w:p w14:paraId="2B2E3565" w14:textId="77777777" w:rsidR="003445E5" w:rsidRPr="004A5029" w:rsidRDefault="003445E5" w:rsidP="003445E5">
      <w:pPr>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Procedure in caso di somma urgenza e di protezione civile.</w:t>
      </w:r>
    </w:p>
    <w:p w14:paraId="19219836" w14:textId="77777777" w:rsidR="003445E5" w:rsidRPr="004A5029" w:rsidRDefault="003445E5" w:rsidP="003445E5">
      <w:pPr>
        <w:spacing w:after="0" w:line="240" w:lineRule="auto"/>
        <w:jc w:val="both"/>
        <w:rPr>
          <w:rFonts w:ascii="Times New Roman" w:hAnsi="Times New Roman" w:cs="Times New Roman"/>
          <w:color w:val="000000" w:themeColor="text1"/>
        </w:rPr>
      </w:pPr>
    </w:p>
    <w:p w14:paraId="296FEF7D" w14:textId="77777777" w:rsidR="003445E5" w:rsidRPr="004A5029" w:rsidRDefault="003445E5" w:rsidP="003445E5">
      <w:pPr>
        <w:spacing w:after="0" w:line="240" w:lineRule="auto"/>
        <w:jc w:val="both"/>
        <w:rPr>
          <w:rFonts w:ascii="Times New Roman" w:hAnsi="Times New Roman" w:cs="Times New Roman"/>
          <w:color w:val="000000" w:themeColor="text1"/>
        </w:rPr>
      </w:pPr>
    </w:p>
    <w:p w14:paraId="497046CF"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LIBRO III</w:t>
      </w:r>
    </w:p>
    <w:p w14:paraId="58546E49"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DELL’APPALTO NEI SETTORI SPECIALI</w:t>
      </w:r>
    </w:p>
    <w:p w14:paraId="7194DBDC"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79B748DF"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5352EDB1"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DISPOSIZIONI APPLICABILI E AMBITO SOGGETTIVO</w:t>
      </w:r>
    </w:p>
    <w:p w14:paraId="769D0D3C"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1FD717A4"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141.</w:t>
      </w:r>
    </w:p>
    <w:p w14:paraId="69735FCF"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Ambito e norme applicabili.</w:t>
      </w:r>
    </w:p>
    <w:p w14:paraId="374378A3"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142.</w:t>
      </w:r>
    </w:p>
    <w:p w14:paraId="4E8BA89A"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i/>
          <w:color w:val="000000" w:themeColor="text1"/>
        </w:rPr>
        <w:t>Joint venture</w:t>
      </w:r>
      <w:r w:rsidRPr="004A5029">
        <w:rPr>
          <w:rFonts w:ascii="Times New Roman" w:hAnsi="Times New Roman" w:cs="Times New Roman"/>
          <w:color w:val="000000" w:themeColor="text1"/>
        </w:rPr>
        <w:t xml:space="preserve"> e affidamenti a imprese collegate.</w:t>
      </w:r>
    </w:p>
    <w:p w14:paraId="39F9485F"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143.</w:t>
      </w:r>
    </w:p>
    <w:p w14:paraId="4D6BA042"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Attività esposte direttamente alla concorrenza.</w:t>
      </w:r>
    </w:p>
    <w:p w14:paraId="3D60B137"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144.</w:t>
      </w:r>
    </w:p>
    <w:p w14:paraId="311E2C3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Appalti aggiudicati a scopo di rivendita o di locazione a terzi.</w:t>
      </w:r>
    </w:p>
    <w:p w14:paraId="00EC1C90"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145.</w:t>
      </w:r>
    </w:p>
    <w:p w14:paraId="0AB4201A"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Attività svolte in Paesi terzi.</w:t>
      </w:r>
    </w:p>
    <w:p w14:paraId="1EA894B2"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146.</w:t>
      </w:r>
    </w:p>
    <w:p w14:paraId="655C2EB0"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Gas ed energia termica.</w:t>
      </w:r>
    </w:p>
    <w:p w14:paraId="2B712287"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147.</w:t>
      </w:r>
    </w:p>
    <w:p w14:paraId="72674765"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Elettricità.</w:t>
      </w:r>
    </w:p>
    <w:p w14:paraId="20A8D5A0"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148.</w:t>
      </w:r>
    </w:p>
    <w:p w14:paraId="481EB7E4"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Acqua.</w:t>
      </w:r>
    </w:p>
    <w:p w14:paraId="5A5D156B"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149.</w:t>
      </w:r>
    </w:p>
    <w:p w14:paraId="690F4652"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Servizi di trasporto.</w:t>
      </w:r>
    </w:p>
    <w:p w14:paraId="6C6A733F"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150.</w:t>
      </w:r>
    </w:p>
    <w:p w14:paraId="6432C183"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Settore dei porti e degli aeroporti.</w:t>
      </w:r>
    </w:p>
    <w:p w14:paraId="4A773642"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151.</w:t>
      </w:r>
    </w:p>
    <w:p w14:paraId="31AB5D10"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Settore dei servizi postali.</w:t>
      </w:r>
    </w:p>
    <w:p w14:paraId="78695F42"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152.</w:t>
      </w:r>
    </w:p>
    <w:p w14:paraId="416478BD"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Estrazione di gas e prospezione o estrazione di carbone o di altri combustibili solidi.</w:t>
      </w:r>
    </w:p>
    <w:p w14:paraId="54CD245A"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0F493B54"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 </w:t>
      </w:r>
    </w:p>
    <w:p w14:paraId="194DC034"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DELLE PROCEDURE DI SCELTA DEL CONTRAENTE</w:t>
      </w:r>
    </w:p>
    <w:p w14:paraId="1231BE67"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5586CBA2"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153.</w:t>
      </w:r>
    </w:p>
    <w:p w14:paraId="5520687E"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Norme applicabili.</w:t>
      </w:r>
    </w:p>
    <w:p w14:paraId="549B99D1"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154.</w:t>
      </w:r>
    </w:p>
    <w:p w14:paraId="6DE0A7B4"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Accordi quadro.</w:t>
      </w:r>
    </w:p>
    <w:p w14:paraId="2D53CA03"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155.</w:t>
      </w:r>
    </w:p>
    <w:p w14:paraId="0DD3CA3D"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Tipi di procedure.</w:t>
      </w:r>
    </w:p>
    <w:p w14:paraId="015252DE"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156.</w:t>
      </w:r>
    </w:p>
    <w:p w14:paraId="4247B488"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Procedura ristretta.</w:t>
      </w:r>
    </w:p>
    <w:p w14:paraId="30E47C90"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lastRenderedPageBreak/>
        <w:t>Articolo 157.</w:t>
      </w:r>
    </w:p>
    <w:p w14:paraId="36812C59" w14:textId="77777777" w:rsidR="003445E5" w:rsidRPr="004A5029" w:rsidRDefault="003445E5" w:rsidP="003445E5">
      <w:pPr>
        <w:tabs>
          <w:tab w:val="left" w:pos="851"/>
        </w:tabs>
        <w:spacing w:after="0" w:line="240"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Procedura negoziata con pubblicazione di un bando.</w:t>
      </w:r>
    </w:p>
    <w:p w14:paraId="30C9DF8B"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158.</w:t>
      </w:r>
    </w:p>
    <w:p w14:paraId="1A81B8E3"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Procedura negoziata senza pubblicazione di un bando.</w:t>
      </w:r>
    </w:p>
    <w:p w14:paraId="36FEB5B0"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32D02D23"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PARTE III</w:t>
      </w:r>
    </w:p>
    <w:p w14:paraId="6C7BFE2F"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DEI BANDI, DEGLI AVVISI E DEGLI INVITI</w:t>
      </w:r>
    </w:p>
    <w:p w14:paraId="30D7AA69"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3840F1E0"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159.</w:t>
      </w:r>
    </w:p>
    <w:p w14:paraId="2D8F998E"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Disponibilità digitale dei documenti di gara.</w:t>
      </w:r>
    </w:p>
    <w:p w14:paraId="2B5A5F2D"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160.</w:t>
      </w:r>
    </w:p>
    <w:p w14:paraId="3C35907A"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Comunicazione delle specifiche tecniche.</w:t>
      </w:r>
    </w:p>
    <w:p w14:paraId="1A1187DB"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161.</w:t>
      </w:r>
    </w:p>
    <w:p w14:paraId="67D281CA"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Pubblicità e avviso periodico indicativo.</w:t>
      </w:r>
    </w:p>
    <w:p w14:paraId="400116FD"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162.</w:t>
      </w:r>
    </w:p>
    <w:p w14:paraId="50D313C8"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Avvisi sull’esistenza di un sistema di qualificazione.</w:t>
      </w:r>
    </w:p>
    <w:p w14:paraId="0F24B388"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163.</w:t>
      </w:r>
    </w:p>
    <w:p w14:paraId="73886276"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Bandi di gara e avvisi relativi agli appalti aggiudicati.</w:t>
      </w:r>
    </w:p>
    <w:p w14:paraId="6B67D15F"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164.</w:t>
      </w:r>
    </w:p>
    <w:p w14:paraId="73CE95FC"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Redazione e modalità di pubblicazione dei bandi e degli avvisi.</w:t>
      </w:r>
    </w:p>
    <w:p w14:paraId="32D260EB"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165.</w:t>
      </w:r>
    </w:p>
    <w:p w14:paraId="6BD50787"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Inviti ai candidati.</w:t>
      </w:r>
    </w:p>
    <w:p w14:paraId="7A4D5E2E"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166.</w:t>
      </w:r>
    </w:p>
    <w:p w14:paraId="045D4376"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Informazioni a coloro che hanno chiesto una qualificazione, ai candidati e agli offerenti.</w:t>
      </w:r>
    </w:p>
    <w:p w14:paraId="7196D064"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30A87177"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IV </w:t>
      </w:r>
    </w:p>
    <w:p w14:paraId="364A1791" w14:textId="77777777" w:rsidR="003445E5" w:rsidRPr="004A5029" w:rsidRDefault="003445E5" w:rsidP="003445E5">
      <w:pPr>
        <w:pBdr>
          <w:top w:val="single" w:sz="4" w:space="1" w:color="auto"/>
          <w:left w:val="single" w:sz="4" w:space="4" w:color="auto"/>
          <w:bottom w:val="single" w:sz="4" w:space="1" w:color="auto"/>
          <w:right w:val="single" w:sz="4" w:space="4" w:color="auto"/>
        </w:pBd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DELLA SELEZIONE DEI PARTECIPANTI E DELLE OFFERTE</w:t>
      </w:r>
    </w:p>
    <w:p w14:paraId="34FF1C98"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p>
    <w:p w14:paraId="183E5485"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167.</w:t>
      </w:r>
    </w:p>
    <w:p w14:paraId="698F7328"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Ulteriori disposizioni applicabili nella scelta del contraente.</w:t>
      </w:r>
    </w:p>
    <w:p w14:paraId="3D8B4821"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168.</w:t>
      </w:r>
    </w:p>
    <w:p w14:paraId="786E3D4D"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Procedure di gara con sistemi di qualificazione.</w:t>
      </w:r>
    </w:p>
    <w:p w14:paraId="0DFD3A8E"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169.</w:t>
      </w:r>
    </w:p>
    <w:p w14:paraId="23D1CA50"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Procedure di gara regolamentate.</w:t>
      </w:r>
    </w:p>
    <w:p w14:paraId="0A9651AA"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170.</w:t>
      </w:r>
    </w:p>
    <w:p w14:paraId="3464B657"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Offerte contenenti prodotti originari di Paesi terzi.</w:t>
      </w:r>
    </w:p>
    <w:p w14:paraId="714ED5DC"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171.</w:t>
      </w:r>
    </w:p>
    <w:p w14:paraId="5FDE1222"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Relazioni con Paesi terzi in materia di lavori, servizi e forniture.</w:t>
      </w:r>
    </w:p>
    <w:p w14:paraId="476FFA80"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172.</w:t>
      </w:r>
    </w:p>
    <w:p w14:paraId="675F6C32"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Relazioni uniche sulle procedure di aggiudicazione degli appalti.</w:t>
      </w:r>
    </w:p>
    <w:p w14:paraId="6D936AC7" w14:textId="77777777" w:rsidR="003445E5" w:rsidRPr="004A5029" w:rsidRDefault="003445E5" w:rsidP="003445E5">
      <w:pPr>
        <w:tabs>
          <w:tab w:val="left" w:pos="851"/>
        </w:tabs>
        <w:spacing w:after="0" w:line="240" w:lineRule="auto"/>
        <w:rPr>
          <w:rFonts w:ascii="Times New Roman" w:hAnsi="Times New Roman" w:cs="Times New Roman"/>
          <w:b/>
          <w:color w:val="000000" w:themeColor="text1"/>
        </w:rPr>
      </w:pPr>
      <w:r w:rsidRPr="004A5029">
        <w:rPr>
          <w:rFonts w:ascii="Times New Roman" w:hAnsi="Times New Roman" w:cs="Times New Roman"/>
          <w:b/>
          <w:color w:val="000000" w:themeColor="text1"/>
        </w:rPr>
        <w:t>Articolo 173.</w:t>
      </w:r>
    </w:p>
    <w:p w14:paraId="18949AE4"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r w:rsidRPr="004A5029">
        <w:rPr>
          <w:rFonts w:ascii="Times New Roman" w:hAnsi="Times New Roman" w:cs="Times New Roman"/>
          <w:color w:val="000000" w:themeColor="text1"/>
        </w:rPr>
        <w:t>Servizi sociali e altri servizi assimilati.</w:t>
      </w:r>
    </w:p>
    <w:p w14:paraId="6D072C0D" w14:textId="77777777" w:rsidR="003445E5" w:rsidRPr="004A5029" w:rsidRDefault="003445E5" w:rsidP="003445E5">
      <w:pPr>
        <w:spacing w:after="0" w:line="240" w:lineRule="auto"/>
        <w:rPr>
          <w:rFonts w:ascii="Times New Roman" w:hAnsi="Times New Roman" w:cs="Times New Roman"/>
          <w:color w:val="000000" w:themeColor="text1"/>
        </w:rPr>
      </w:pPr>
    </w:p>
    <w:p w14:paraId="48A21919" w14:textId="77777777" w:rsidR="003445E5" w:rsidRPr="004A5029" w:rsidRDefault="003445E5" w:rsidP="003445E5">
      <w:pPr>
        <w:spacing w:after="0" w:line="240" w:lineRule="auto"/>
        <w:rPr>
          <w:rFonts w:ascii="Times New Roman" w:hAnsi="Times New Roman" w:cs="Times New Roman"/>
          <w:color w:val="000000" w:themeColor="text1"/>
        </w:rPr>
      </w:pPr>
    </w:p>
    <w:p w14:paraId="65525A2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LIBRO IV</w:t>
      </w:r>
    </w:p>
    <w:p w14:paraId="2624925C"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DEL PARTENARIATO PUBBLICO-PRIVATO E DELLE CONCESSIONI</w:t>
      </w:r>
    </w:p>
    <w:p w14:paraId="6BD18F9B"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DDB1186"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5554A11B"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DISPOSIZIONI GENERALI</w:t>
      </w:r>
    </w:p>
    <w:p w14:paraId="238601F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6E5B43E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174.</w:t>
      </w:r>
    </w:p>
    <w:p w14:paraId="2361B2B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Nozione.</w:t>
      </w:r>
    </w:p>
    <w:p w14:paraId="385C9F5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175.</w:t>
      </w:r>
    </w:p>
    <w:p w14:paraId="27A46F5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Programmazione, valutazione preliminare, controllo e monitoraggio.</w:t>
      </w:r>
    </w:p>
    <w:p w14:paraId="0F3CABC7"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0B92AB4E"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2F55EAD5"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DEI CONTRATTI DI CONCESSIONE</w:t>
      </w:r>
    </w:p>
    <w:p w14:paraId="5B08B5D1"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16B6C087" w14:textId="2D153957" w:rsidR="003445E5" w:rsidRPr="004A5029" w:rsidRDefault="003445E5" w:rsidP="6E003A1F">
      <w:pPr>
        <w:pStyle w:val="Paragrafoelenco"/>
        <w:tabs>
          <w:tab w:val="left" w:pos="851"/>
        </w:tabs>
        <w:spacing w:after="0" w:line="240" w:lineRule="auto"/>
        <w:ind w:left="0"/>
        <w:rPr>
          <w:rFonts w:ascii="Times New Roman" w:hAnsi="Times New Roman" w:cs="Times New Roman"/>
          <w:b/>
          <w:bCs/>
          <w:color w:val="000000" w:themeColor="text1"/>
          <w:u w:val="single"/>
        </w:rPr>
      </w:pPr>
      <w:r w:rsidRPr="004A5029">
        <w:rPr>
          <w:rFonts w:ascii="Times New Roman" w:hAnsi="Times New Roman" w:cs="Times New Roman"/>
          <w:b/>
          <w:bCs/>
          <w:color w:val="000000" w:themeColor="text1"/>
          <w:u w:val="single"/>
        </w:rPr>
        <w:t>Titolo I – L’ambito di applicazione</w:t>
      </w:r>
      <w:r w:rsidR="7B20F18F" w:rsidRPr="004A5029">
        <w:rPr>
          <w:rFonts w:ascii="Times New Roman" w:hAnsi="Times New Roman" w:cs="Times New Roman"/>
          <w:b/>
          <w:bCs/>
          <w:color w:val="000000" w:themeColor="text1"/>
          <w:u w:val="single"/>
        </w:rPr>
        <w:t xml:space="preserve"> e </w:t>
      </w:r>
      <w:r w:rsidRPr="004A5029">
        <w:rPr>
          <w:rFonts w:ascii="Times New Roman" w:hAnsi="Times New Roman" w:cs="Times New Roman"/>
          <w:b/>
          <w:bCs/>
          <w:color w:val="000000" w:themeColor="text1"/>
          <w:u w:val="single"/>
        </w:rPr>
        <w:t>i principi generali</w:t>
      </w:r>
    </w:p>
    <w:p w14:paraId="16DEB4A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11D80A9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176.</w:t>
      </w:r>
    </w:p>
    <w:p w14:paraId="66A8E77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Oggetto e ambito di applicazione.</w:t>
      </w:r>
    </w:p>
    <w:p w14:paraId="0F5169F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177.</w:t>
      </w:r>
    </w:p>
    <w:p w14:paraId="3E97E65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Contratto di concessione e traslazione del rischio operativo.</w:t>
      </w:r>
    </w:p>
    <w:p w14:paraId="3FB0DD1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178.</w:t>
      </w:r>
    </w:p>
    <w:p w14:paraId="31A7AF9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Durata della concessione.</w:t>
      </w:r>
    </w:p>
    <w:p w14:paraId="29B4E66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179.</w:t>
      </w:r>
    </w:p>
    <w:p w14:paraId="30411B9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Soglia e metodi di calcolo del valore stimato delle concessioni.</w:t>
      </w:r>
    </w:p>
    <w:p w14:paraId="794A1D8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180.</w:t>
      </w:r>
    </w:p>
    <w:p w14:paraId="7BC6875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Contratti misti di concessione.</w:t>
      </w:r>
    </w:p>
    <w:p w14:paraId="371C838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181.</w:t>
      </w:r>
    </w:p>
    <w:p w14:paraId="0C2A546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Contratti esclusi.</w:t>
      </w:r>
    </w:p>
    <w:p w14:paraId="0AD9C6F4"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6FDBCE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 – L’aggiudicazione delle concessioni: principi generali e garanzie procedurali</w:t>
      </w:r>
    </w:p>
    <w:p w14:paraId="4B1F511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77FCBF0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182.</w:t>
      </w:r>
    </w:p>
    <w:p w14:paraId="0FF9FA1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Bando.</w:t>
      </w:r>
    </w:p>
    <w:p w14:paraId="4D60B91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183.</w:t>
      </w:r>
    </w:p>
    <w:p w14:paraId="0DAFC90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Procedimento.</w:t>
      </w:r>
    </w:p>
    <w:p w14:paraId="6C44E42B" w14:textId="77777777" w:rsidR="003445E5" w:rsidRPr="004A5029" w:rsidRDefault="003445E5" w:rsidP="003445E5">
      <w:pPr>
        <w:pStyle w:val="Paragrafoelenco"/>
        <w:spacing w:after="0" w:line="240" w:lineRule="auto"/>
        <w:ind w:left="0"/>
        <w:contextualSpacing w:val="0"/>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184.</w:t>
      </w:r>
    </w:p>
    <w:p w14:paraId="2D08F9C4" w14:textId="77777777" w:rsidR="003445E5" w:rsidRPr="004A5029" w:rsidRDefault="003445E5" w:rsidP="003445E5">
      <w:pPr>
        <w:pStyle w:val="Paragrafoelenco"/>
        <w:spacing w:after="0" w:line="240" w:lineRule="aut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Termini e comunicazioni </w:t>
      </w:r>
    </w:p>
    <w:p w14:paraId="4BADE1F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185.</w:t>
      </w:r>
    </w:p>
    <w:p w14:paraId="7562693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Criteri di aggiudicazione.</w:t>
      </w:r>
    </w:p>
    <w:p w14:paraId="5A6D973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186.</w:t>
      </w:r>
    </w:p>
    <w:p w14:paraId="55B5CFA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Affidamenti dei concessionari.</w:t>
      </w:r>
    </w:p>
    <w:p w14:paraId="67C080A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187.</w:t>
      </w:r>
    </w:p>
    <w:p w14:paraId="6C0FB14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Contratti di concessione di importo inferiore alla soglia europea.</w:t>
      </w:r>
    </w:p>
    <w:p w14:paraId="65F9C3DC"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4CD57F8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III – L’esecuzione delle concessioni</w:t>
      </w:r>
    </w:p>
    <w:p w14:paraId="5023141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61754F6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188.</w:t>
      </w:r>
    </w:p>
    <w:p w14:paraId="4811368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Subappalto.</w:t>
      </w:r>
    </w:p>
    <w:p w14:paraId="3C0FB40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189.</w:t>
      </w:r>
    </w:p>
    <w:p w14:paraId="12E3121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Modifica di contratti durante il periodo di efficacia.</w:t>
      </w:r>
    </w:p>
    <w:p w14:paraId="5A5E791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190.</w:t>
      </w:r>
    </w:p>
    <w:p w14:paraId="1881C74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Risoluzione e recesso.</w:t>
      </w:r>
    </w:p>
    <w:p w14:paraId="3BC7CD2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191.</w:t>
      </w:r>
    </w:p>
    <w:p w14:paraId="44A911C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Subentro.</w:t>
      </w:r>
    </w:p>
    <w:p w14:paraId="19015E65"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192.</w:t>
      </w:r>
    </w:p>
    <w:p w14:paraId="5698954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Revisione del contratto di concessione.</w:t>
      </w:r>
    </w:p>
    <w:p w14:paraId="1F3B1409"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483E956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u w:val="single"/>
        </w:rPr>
      </w:pPr>
      <w:r w:rsidRPr="004A5029">
        <w:rPr>
          <w:rFonts w:ascii="Times New Roman" w:hAnsi="Times New Roman" w:cs="Times New Roman"/>
          <w:b/>
          <w:color w:val="000000" w:themeColor="text1"/>
          <w:u w:val="single"/>
        </w:rPr>
        <w:t>Titolo IV – La finanza di progetto</w:t>
      </w:r>
    </w:p>
    <w:p w14:paraId="562C75D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u w:val="single"/>
        </w:rPr>
      </w:pPr>
    </w:p>
    <w:p w14:paraId="49A9CEF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193.</w:t>
      </w:r>
    </w:p>
    <w:p w14:paraId="5EF362D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Procedura di affidamento.</w:t>
      </w:r>
    </w:p>
    <w:p w14:paraId="7AFED99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194.</w:t>
      </w:r>
    </w:p>
    <w:p w14:paraId="470ADDD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Società di scopo.</w:t>
      </w:r>
    </w:p>
    <w:p w14:paraId="2652DCA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195.</w:t>
      </w:r>
    </w:p>
    <w:p w14:paraId="5B79FFD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Obbligazioni delle società di scopo.</w:t>
      </w:r>
    </w:p>
    <w:p w14:paraId="664355AD"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70CE9A6C"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III </w:t>
      </w:r>
    </w:p>
    <w:p w14:paraId="2987D9A4"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DELLA LOCAZIONE FINANZIARIA </w:t>
      </w:r>
    </w:p>
    <w:p w14:paraId="1A96511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0FE97C2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196.</w:t>
      </w:r>
    </w:p>
    <w:p w14:paraId="2C5F128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Definizione e disciplina.</w:t>
      </w:r>
    </w:p>
    <w:p w14:paraId="7DF4E37C"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408681B"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IV </w:t>
      </w:r>
    </w:p>
    <w:p w14:paraId="33A65C8C"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DEL CONTRATTO DI DISPONIBILITÀ </w:t>
      </w:r>
    </w:p>
    <w:p w14:paraId="44FB30F8"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6A7E28D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197.</w:t>
      </w:r>
    </w:p>
    <w:p w14:paraId="00A5E08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 xml:space="preserve">Definizione e disciplina. </w:t>
      </w:r>
    </w:p>
    <w:p w14:paraId="1DA6542E"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5649B07B"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V</w:t>
      </w:r>
    </w:p>
    <w:p w14:paraId="17D4426F"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ALTRE DISPOSIZIONI IN MATERIA DI PARTENARIATO PUBBLICO-PRIVATO </w:t>
      </w:r>
    </w:p>
    <w:p w14:paraId="3041E394"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p>
    <w:p w14:paraId="624681F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198.</w:t>
      </w:r>
    </w:p>
    <w:p w14:paraId="49D01DA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Altre disposizioni in materia di gara.</w:t>
      </w:r>
    </w:p>
    <w:p w14:paraId="1713050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199.</w:t>
      </w:r>
    </w:p>
    <w:p w14:paraId="447122D2"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Privilegio sui crediti e ulteriori garanzie.</w:t>
      </w:r>
    </w:p>
    <w:p w14:paraId="72A6D5DF"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200.</w:t>
      </w:r>
    </w:p>
    <w:p w14:paraId="6736C591"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Contratti di rendimento energetico o di prestazione energetica.</w:t>
      </w:r>
    </w:p>
    <w:p w14:paraId="053CE41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Articolo201.</w:t>
      </w:r>
    </w:p>
    <w:p w14:paraId="0229B25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Partenariato sociale.</w:t>
      </w:r>
    </w:p>
    <w:p w14:paraId="4160C9B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202.</w:t>
      </w:r>
    </w:p>
    <w:p w14:paraId="7CEC5A44"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r w:rsidRPr="004A5029">
        <w:rPr>
          <w:rFonts w:ascii="Times New Roman" w:hAnsi="Times New Roman" w:cs="Times New Roman"/>
          <w:color w:val="000000" w:themeColor="text1"/>
        </w:rPr>
        <w:t>Cessione di immobili in cambio di opere.</w:t>
      </w:r>
    </w:p>
    <w:p w14:paraId="722B00AE"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p>
    <w:p w14:paraId="4489156E" w14:textId="77777777" w:rsidR="003445E5" w:rsidRPr="004A5029" w:rsidRDefault="003445E5" w:rsidP="00DC7D5C">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VI</w:t>
      </w:r>
    </w:p>
    <w:p w14:paraId="539CF8C1" w14:textId="77777777" w:rsidR="003445E5" w:rsidRPr="004A5029" w:rsidRDefault="003445E5" w:rsidP="00DC7D5C">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rPr>
          <w:rFonts w:ascii="Times New Roman" w:hAnsi="Times New Roman" w:cs="Times New Roman"/>
          <w:b/>
          <w:bCs/>
          <w:color w:val="000000" w:themeColor="text1"/>
        </w:rPr>
      </w:pPr>
      <w:r w:rsidRPr="004A5029">
        <w:rPr>
          <w:rFonts w:ascii="Times New Roman" w:hAnsi="Times New Roman" w:cs="Times New Roman"/>
          <w:b/>
          <w:bCs/>
          <w:color w:val="000000" w:themeColor="text1"/>
        </w:rPr>
        <w:t>DEI SERVIZI GLOBALI</w:t>
      </w:r>
    </w:p>
    <w:p w14:paraId="42C6D796" w14:textId="77777777" w:rsidR="003445E5" w:rsidRPr="004A5029" w:rsidRDefault="003445E5" w:rsidP="003445E5">
      <w:pPr>
        <w:pStyle w:val="Paragrafoelenco"/>
        <w:tabs>
          <w:tab w:val="left" w:pos="851"/>
        </w:tabs>
        <w:spacing w:after="0" w:line="240" w:lineRule="auto"/>
        <w:ind w:left="0"/>
        <w:rPr>
          <w:rFonts w:ascii="Times New Roman" w:hAnsi="Times New Roman" w:cs="Times New Roman"/>
          <w:color w:val="000000" w:themeColor="text1"/>
        </w:rPr>
      </w:pPr>
    </w:p>
    <w:p w14:paraId="0AE59DD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203.</w:t>
      </w:r>
    </w:p>
    <w:p w14:paraId="1B21FA1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Affidamento di servizi globali.</w:t>
      </w:r>
    </w:p>
    <w:p w14:paraId="370F093B"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204.</w:t>
      </w:r>
    </w:p>
    <w:p w14:paraId="3A78775C"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Contraente generale.</w:t>
      </w:r>
    </w:p>
    <w:p w14:paraId="21E8A463"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205.</w:t>
      </w:r>
    </w:p>
    <w:p w14:paraId="6CFE535E"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Procedure di aggiudicazione del contraente generale.</w:t>
      </w:r>
    </w:p>
    <w:p w14:paraId="4F8750C0"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206.</w:t>
      </w:r>
    </w:p>
    <w:p w14:paraId="51C2697D"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Controlli sull’esecuzione e collaudo.</w:t>
      </w:r>
    </w:p>
    <w:p w14:paraId="60BEA5B6"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Articolo 207.</w:t>
      </w:r>
    </w:p>
    <w:p w14:paraId="249D4DFA"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Sistema di qualificazione del contraente generale.</w:t>
      </w:r>
    </w:p>
    <w:p w14:paraId="1448AF57"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208.</w:t>
      </w:r>
    </w:p>
    <w:p w14:paraId="1FFA8B89" w14:textId="77777777" w:rsidR="003445E5" w:rsidRPr="004A5029" w:rsidRDefault="003445E5" w:rsidP="003445E5">
      <w:pPr>
        <w:pStyle w:val="Paragrafoelenco"/>
        <w:tabs>
          <w:tab w:val="left" w:pos="851"/>
        </w:tabs>
        <w:spacing w:after="0" w:line="240" w:lineRule="auto"/>
        <w:ind w:left="0"/>
        <w:contextualSpacing w:val="0"/>
        <w:rPr>
          <w:rFonts w:ascii="Times New Roman" w:hAnsi="Times New Roman" w:cs="Times New Roman"/>
          <w:color w:val="000000" w:themeColor="text1"/>
        </w:rPr>
      </w:pPr>
      <w:r w:rsidRPr="004A5029">
        <w:rPr>
          <w:rFonts w:ascii="Times New Roman" w:hAnsi="Times New Roman" w:cs="Times New Roman"/>
          <w:color w:val="000000" w:themeColor="text1"/>
        </w:rPr>
        <w:t>Servizi globali su beni immobili.</w:t>
      </w:r>
    </w:p>
    <w:p w14:paraId="6E1831B3" w14:textId="77777777" w:rsidR="003445E5" w:rsidRPr="004A5029" w:rsidRDefault="003445E5" w:rsidP="003445E5">
      <w:pPr>
        <w:spacing w:after="0" w:line="240" w:lineRule="auto"/>
        <w:rPr>
          <w:rFonts w:ascii="Times New Roman" w:hAnsi="Times New Roman" w:cs="Times New Roman"/>
          <w:color w:val="000000" w:themeColor="text1"/>
        </w:rPr>
      </w:pPr>
    </w:p>
    <w:p w14:paraId="54E11D2A" w14:textId="77777777" w:rsidR="003445E5" w:rsidRPr="004A5029" w:rsidRDefault="003445E5" w:rsidP="003445E5">
      <w:pPr>
        <w:spacing w:after="0" w:line="240" w:lineRule="auto"/>
        <w:rPr>
          <w:rFonts w:ascii="Times New Roman" w:hAnsi="Times New Roman" w:cs="Times New Roman"/>
          <w:color w:val="000000" w:themeColor="text1"/>
        </w:rPr>
      </w:pPr>
    </w:p>
    <w:p w14:paraId="3F6B16C3"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LIBRO V</w:t>
      </w:r>
    </w:p>
    <w:p w14:paraId="6DB1409E"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 CONTENZIOSO E DELL’AUTORITÀ NAZIONALE ANTICORRUIZIONE. DISPOSIZIONI FINALI E TRANSITORIE</w:t>
      </w:r>
    </w:p>
    <w:p w14:paraId="31126E5D" w14:textId="77777777" w:rsidR="003445E5" w:rsidRPr="004A5029" w:rsidRDefault="003445E5" w:rsidP="003445E5">
      <w:pPr>
        <w:tabs>
          <w:tab w:val="left" w:pos="851"/>
        </w:tabs>
        <w:spacing w:after="0" w:line="240" w:lineRule="auto"/>
        <w:rPr>
          <w:rFonts w:ascii="Times New Roman" w:hAnsi="Times New Roman" w:cs="Times New Roman"/>
          <w:color w:val="000000" w:themeColor="text1"/>
        </w:rPr>
      </w:pPr>
    </w:p>
    <w:p w14:paraId="6A9EFF27"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1DAEA9C5"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DEL CONTENZIOSO</w:t>
      </w:r>
    </w:p>
    <w:p w14:paraId="2DE403A5" w14:textId="77777777" w:rsidR="003445E5" w:rsidRPr="004A5029" w:rsidRDefault="003445E5" w:rsidP="003445E5">
      <w:pPr>
        <w:spacing w:after="0" w:line="240" w:lineRule="auto"/>
        <w:outlineLvl w:val="1"/>
        <w:rPr>
          <w:rFonts w:ascii="Times New Roman" w:hAnsi="Times New Roman" w:cs="Times New Roman"/>
          <w:b/>
          <w:color w:val="000000" w:themeColor="text1"/>
        </w:rPr>
      </w:pPr>
    </w:p>
    <w:p w14:paraId="41DE9981" w14:textId="77777777" w:rsidR="003445E5" w:rsidRPr="004A5029" w:rsidRDefault="003445E5" w:rsidP="003445E5">
      <w:pPr>
        <w:spacing w:after="0" w:line="240" w:lineRule="auto"/>
        <w:outlineLvl w:val="1"/>
        <w:rPr>
          <w:rFonts w:ascii="Times New Roman" w:hAnsi="Times New Roman" w:cs="Times New Roman"/>
          <w:b/>
          <w:bCs/>
          <w:color w:val="000000" w:themeColor="text1"/>
          <w:u w:val="single"/>
        </w:rPr>
      </w:pPr>
      <w:r w:rsidRPr="004A5029">
        <w:rPr>
          <w:rFonts w:ascii="Times New Roman" w:hAnsi="Times New Roman" w:cs="Times New Roman"/>
          <w:b/>
          <w:bCs/>
          <w:color w:val="000000" w:themeColor="text1"/>
          <w:u w:val="single"/>
        </w:rPr>
        <w:t>Titolo I - I ricorsi giurisdizionali</w:t>
      </w:r>
    </w:p>
    <w:p w14:paraId="62431CDC" w14:textId="77777777" w:rsidR="003445E5" w:rsidRPr="004A5029" w:rsidRDefault="003445E5" w:rsidP="003445E5">
      <w:pPr>
        <w:spacing w:after="0" w:line="240" w:lineRule="auto"/>
        <w:outlineLvl w:val="1"/>
        <w:rPr>
          <w:rFonts w:ascii="Times New Roman" w:hAnsi="Times New Roman" w:cs="Times New Roman"/>
          <w:bCs/>
          <w:color w:val="000000" w:themeColor="text1"/>
          <w:u w:val="single"/>
        </w:rPr>
      </w:pPr>
    </w:p>
    <w:p w14:paraId="10778C47" w14:textId="77777777" w:rsidR="003445E5" w:rsidRPr="004A5029" w:rsidRDefault="003445E5" w:rsidP="003445E5">
      <w:pPr>
        <w:spacing w:after="0" w:line="240" w:lineRule="auto"/>
        <w:jc w:val="both"/>
        <w:rPr>
          <w:rFonts w:ascii="Times New Roman" w:hAnsi="Times New Roman" w:cs="Times New Roman"/>
          <w:b/>
          <w:color w:val="000000" w:themeColor="text1"/>
        </w:rPr>
      </w:pPr>
      <w:r w:rsidRPr="004A5029">
        <w:rPr>
          <w:rFonts w:ascii="Times New Roman" w:hAnsi="Times New Roman" w:cs="Times New Roman"/>
          <w:b/>
          <w:color w:val="000000" w:themeColor="text1"/>
        </w:rPr>
        <w:lastRenderedPageBreak/>
        <w:t>Articolo 209.</w:t>
      </w:r>
    </w:p>
    <w:p w14:paraId="72D5F129" w14:textId="77777777" w:rsidR="003445E5" w:rsidRPr="004A5029" w:rsidRDefault="003445E5" w:rsidP="003445E5">
      <w:pPr>
        <w:spacing w:after="0" w:line="240" w:lineRule="auto"/>
        <w:jc w:val="both"/>
        <w:outlineLvl w:val="1"/>
        <w:rPr>
          <w:rFonts w:ascii="Times New Roman" w:hAnsi="Times New Roman" w:cs="Times New Roman"/>
          <w:color w:val="000000" w:themeColor="text1"/>
        </w:rPr>
      </w:pPr>
      <w:r w:rsidRPr="004A5029">
        <w:rPr>
          <w:rFonts w:ascii="Times New Roman" w:hAnsi="Times New Roman" w:cs="Times New Roman"/>
          <w:color w:val="000000" w:themeColor="text1"/>
        </w:rPr>
        <w:t>Modifiche al codice del processo amministrativo di cui all’allegato 1 al decreto legislativo 2 luglio</w:t>
      </w:r>
      <w:r w:rsidRPr="004A5029">
        <w:rPr>
          <w:rFonts w:ascii="Times New Roman" w:hAnsi="Times New Roman" w:cs="Times New Roman"/>
          <w:i/>
          <w:color w:val="000000" w:themeColor="text1"/>
        </w:rPr>
        <w:t xml:space="preserve"> </w:t>
      </w:r>
      <w:r w:rsidRPr="004A5029">
        <w:rPr>
          <w:rFonts w:ascii="Times New Roman" w:hAnsi="Times New Roman" w:cs="Times New Roman"/>
          <w:color w:val="000000" w:themeColor="text1"/>
        </w:rPr>
        <w:t>2010, n.104.</w:t>
      </w:r>
    </w:p>
    <w:p w14:paraId="49E398E2" w14:textId="77777777" w:rsidR="003445E5" w:rsidRPr="004A5029" w:rsidRDefault="003445E5" w:rsidP="003445E5">
      <w:pPr>
        <w:spacing w:after="0" w:line="240" w:lineRule="auto"/>
        <w:jc w:val="both"/>
        <w:outlineLvl w:val="1"/>
        <w:rPr>
          <w:rFonts w:ascii="Times New Roman" w:eastAsia="Times New Roman" w:hAnsi="Times New Roman" w:cs="Times New Roman"/>
          <w:b/>
          <w:bCs/>
          <w:color w:val="000000" w:themeColor="text1"/>
        </w:rPr>
      </w:pPr>
    </w:p>
    <w:p w14:paraId="4406F651" w14:textId="77777777" w:rsidR="003445E5" w:rsidRPr="004A5029" w:rsidRDefault="003445E5" w:rsidP="003445E5">
      <w:pPr>
        <w:spacing w:after="0" w:line="240" w:lineRule="auto"/>
        <w:outlineLvl w:val="1"/>
        <w:rPr>
          <w:rFonts w:ascii="Times New Roman" w:hAnsi="Times New Roman" w:cs="Times New Roman"/>
          <w:b/>
          <w:bCs/>
          <w:color w:val="000000" w:themeColor="text1"/>
          <w:u w:val="single"/>
        </w:rPr>
      </w:pPr>
      <w:r w:rsidRPr="004A5029">
        <w:rPr>
          <w:rFonts w:ascii="Times New Roman" w:hAnsi="Times New Roman" w:cs="Times New Roman"/>
          <w:b/>
          <w:bCs/>
          <w:color w:val="000000" w:themeColor="text1"/>
          <w:u w:val="single"/>
        </w:rPr>
        <w:t>Titolo II - I rimedi alternativi alla tutela giurisdizionale</w:t>
      </w:r>
    </w:p>
    <w:p w14:paraId="16287F21" w14:textId="77777777" w:rsidR="003445E5" w:rsidRPr="004A5029" w:rsidRDefault="003445E5" w:rsidP="003445E5">
      <w:pPr>
        <w:spacing w:after="0" w:line="240" w:lineRule="auto"/>
        <w:outlineLvl w:val="1"/>
        <w:rPr>
          <w:rFonts w:ascii="Times New Roman" w:eastAsia="Times New Roman" w:hAnsi="Times New Roman" w:cs="Times New Roman"/>
          <w:bCs/>
          <w:color w:val="000000" w:themeColor="text1"/>
          <w:u w:val="single"/>
        </w:rPr>
      </w:pPr>
    </w:p>
    <w:p w14:paraId="25FF4791" w14:textId="77777777" w:rsidR="003445E5" w:rsidRPr="004A5029" w:rsidRDefault="003445E5" w:rsidP="003445E5">
      <w:pPr>
        <w:spacing w:after="0" w:line="240"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210.</w:t>
      </w:r>
    </w:p>
    <w:p w14:paraId="263A3D03" w14:textId="77777777" w:rsidR="003445E5" w:rsidRPr="004A5029" w:rsidRDefault="003445E5" w:rsidP="003445E5">
      <w:pPr>
        <w:spacing w:after="0" w:line="240" w:lineRule="auto"/>
        <w:jc w:val="both"/>
        <w:rPr>
          <w:rFonts w:ascii="Times New Roman" w:eastAsia="Times New Roman" w:hAnsi="Times New Roman" w:cs="Times New Roman"/>
          <w:iCs/>
          <w:color w:val="000000" w:themeColor="text1"/>
        </w:rPr>
      </w:pPr>
      <w:r w:rsidRPr="004A5029">
        <w:rPr>
          <w:rFonts w:ascii="Times New Roman" w:hAnsi="Times New Roman" w:cs="Times New Roman"/>
          <w:color w:val="000000" w:themeColor="text1"/>
        </w:rPr>
        <w:t>Accordo bonario per i lavori</w:t>
      </w:r>
      <w:r w:rsidRPr="004A5029">
        <w:rPr>
          <w:rFonts w:ascii="Times New Roman" w:eastAsia="Times New Roman" w:hAnsi="Times New Roman" w:cs="Times New Roman"/>
          <w:iCs/>
          <w:color w:val="000000" w:themeColor="text1"/>
        </w:rPr>
        <w:t>.</w:t>
      </w:r>
    </w:p>
    <w:p w14:paraId="5E35D25F" w14:textId="77777777" w:rsidR="003445E5" w:rsidRPr="004A5029" w:rsidRDefault="003445E5" w:rsidP="003445E5">
      <w:pPr>
        <w:spacing w:after="0" w:line="240"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211.</w:t>
      </w:r>
    </w:p>
    <w:p w14:paraId="3F0A908A" w14:textId="77777777" w:rsidR="003445E5" w:rsidRPr="004A5029" w:rsidRDefault="003445E5" w:rsidP="003445E5">
      <w:pPr>
        <w:spacing w:after="0" w:line="240" w:lineRule="auto"/>
        <w:jc w:val="both"/>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Accordo bonario per i servizi e le forniture</w:t>
      </w:r>
      <w:r w:rsidRPr="004A5029">
        <w:rPr>
          <w:rFonts w:ascii="Times New Roman" w:eastAsia="Times New Roman" w:hAnsi="Times New Roman" w:cs="Times New Roman"/>
          <w:iCs/>
          <w:color w:val="000000" w:themeColor="text1"/>
        </w:rPr>
        <w:t>.</w:t>
      </w:r>
    </w:p>
    <w:p w14:paraId="60F38255" w14:textId="77777777" w:rsidR="003445E5" w:rsidRPr="004A5029" w:rsidRDefault="003445E5" w:rsidP="003445E5">
      <w:pPr>
        <w:spacing w:after="0" w:line="240"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212.</w:t>
      </w:r>
    </w:p>
    <w:p w14:paraId="7F78DEB1"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Transazione</w:t>
      </w:r>
      <w:r w:rsidRPr="004A5029">
        <w:rPr>
          <w:rFonts w:ascii="Times New Roman" w:eastAsia="Times New Roman" w:hAnsi="Times New Roman" w:cs="Times New Roman"/>
          <w:iCs/>
          <w:color w:val="000000" w:themeColor="text1"/>
        </w:rPr>
        <w:t>.</w:t>
      </w:r>
    </w:p>
    <w:p w14:paraId="3858C482" w14:textId="77777777" w:rsidR="003445E5" w:rsidRPr="004A5029" w:rsidRDefault="003445E5" w:rsidP="003445E5">
      <w:pPr>
        <w:spacing w:after="0" w:line="240" w:lineRule="auto"/>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213.</w:t>
      </w:r>
    </w:p>
    <w:p w14:paraId="2134A3CD"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Arbitrato</w:t>
      </w:r>
      <w:r w:rsidRPr="004A5029">
        <w:rPr>
          <w:rFonts w:ascii="Times New Roman" w:eastAsia="Times New Roman" w:hAnsi="Times New Roman" w:cs="Times New Roman"/>
          <w:iCs/>
          <w:color w:val="000000" w:themeColor="text1"/>
        </w:rPr>
        <w:t>.</w:t>
      </w:r>
    </w:p>
    <w:p w14:paraId="7D81E771" w14:textId="77777777" w:rsidR="003445E5" w:rsidRPr="004A5029" w:rsidRDefault="003445E5" w:rsidP="003445E5">
      <w:pPr>
        <w:spacing w:after="0" w:line="240"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214.</w:t>
      </w:r>
    </w:p>
    <w:p w14:paraId="21272893"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Camera arbitrale, albo degli arbitri ed elenco dei segretari</w:t>
      </w:r>
      <w:r w:rsidRPr="004A5029">
        <w:rPr>
          <w:rFonts w:ascii="Times New Roman" w:eastAsia="Times New Roman" w:hAnsi="Times New Roman" w:cs="Times New Roman"/>
          <w:iCs/>
          <w:color w:val="000000" w:themeColor="text1"/>
        </w:rPr>
        <w:t>.</w:t>
      </w:r>
    </w:p>
    <w:p w14:paraId="685D7963"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215.</w:t>
      </w:r>
    </w:p>
    <w:p w14:paraId="3F9F7A86"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Collegio consultivo tecnico</w:t>
      </w:r>
      <w:r w:rsidRPr="004A5029">
        <w:rPr>
          <w:rFonts w:ascii="Times New Roman" w:eastAsia="Times New Roman" w:hAnsi="Times New Roman" w:cs="Times New Roman"/>
          <w:iCs/>
          <w:color w:val="000000" w:themeColor="text1"/>
        </w:rPr>
        <w:t>.</w:t>
      </w:r>
    </w:p>
    <w:p w14:paraId="1638D421"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216.</w:t>
      </w:r>
    </w:p>
    <w:p w14:paraId="7B265FD8"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Pareri obbligatori</w:t>
      </w:r>
      <w:r w:rsidRPr="004A5029">
        <w:rPr>
          <w:rFonts w:ascii="Times New Roman" w:eastAsia="Times New Roman" w:hAnsi="Times New Roman" w:cs="Times New Roman"/>
          <w:iCs/>
          <w:color w:val="000000" w:themeColor="text1"/>
        </w:rPr>
        <w:t>.</w:t>
      </w:r>
    </w:p>
    <w:p w14:paraId="238E9907"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217.</w:t>
      </w:r>
    </w:p>
    <w:p w14:paraId="5964EF73"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Fonts w:ascii="Times New Roman" w:eastAsia="Times New Roman" w:hAnsi="Times New Roman" w:cs="Times New Roman"/>
          <w:color w:val="000000" w:themeColor="text1"/>
        </w:rPr>
        <w:t>Determinazioni</w:t>
      </w:r>
      <w:r w:rsidRPr="004A5029">
        <w:rPr>
          <w:rFonts w:ascii="Times New Roman" w:eastAsia="Times New Roman" w:hAnsi="Times New Roman" w:cs="Times New Roman"/>
          <w:iCs/>
          <w:color w:val="000000" w:themeColor="text1"/>
        </w:rPr>
        <w:t>.</w:t>
      </w:r>
    </w:p>
    <w:p w14:paraId="3AF1E2C2"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218.</w:t>
      </w:r>
    </w:p>
    <w:p w14:paraId="655E6EA2"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Costituzione facoltativa del Collegio consultivo tecnico</w:t>
      </w:r>
      <w:r w:rsidRPr="004A5029">
        <w:rPr>
          <w:rFonts w:ascii="Times New Roman" w:eastAsia="Times New Roman" w:hAnsi="Times New Roman" w:cs="Times New Roman"/>
          <w:iCs/>
          <w:color w:val="000000" w:themeColor="text1"/>
        </w:rPr>
        <w:t>.</w:t>
      </w:r>
    </w:p>
    <w:p w14:paraId="597B51B7"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219.</w:t>
      </w:r>
    </w:p>
    <w:p w14:paraId="2DEF1847"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r w:rsidRPr="004A5029">
        <w:rPr>
          <w:rStyle w:val="Hyperlink0"/>
          <w:rFonts w:ascii="Times New Roman" w:hAnsi="Times New Roman" w:cs="Times New Roman"/>
          <w:color w:val="000000" w:themeColor="text1"/>
        </w:rPr>
        <w:t>Scioglimento</w:t>
      </w:r>
      <w:r w:rsidRPr="004A5029">
        <w:rPr>
          <w:rFonts w:ascii="Times New Roman" w:eastAsia="Times New Roman" w:hAnsi="Times New Roman" w:cs="Times New Roman"/>
          <w:iCs/>
          <w:color w:val="000000" w:themeColor="text1"/>
        </w:rPr>
        <w:t>.</w:t>
      </w:r>
    </w:p>
    <w:p w14:paraId="30AD7C98"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220.</w:t>
      </w:r>
    </w:p>
    <w:p w14:paraId="30AFB65A" w14:textId="7C01DEF9" w:rsidR="003445E5" w:rsidRPr="004A5029" w:rsidRDefault="4CBA5553" w:rsidP="6E003A1F">
      <w:pPr>
        <w:spacing w:after="0" w:line="240" w:lineRule="auto"/>
        <w:outlineLvl w:val="1"/>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Pareri di precontenzioso e legittimazione ad agire dell’ANAC</w:t>
      </w:r>
      <w:r w:rsidR="003445E5" w:rsidRPr="004A5029">
        <w:rPr>
          <w:rFonts w:ascii="Times New Roman" w:eastAsia="Times New Roman" w:hAnsi="Times New Roman" w:cs="Times New Roman"/>
          <w:color w:val="000000" w:themeColor="text1"/>
        </w:rPr>
        <w:t>.</w:t>
      </w:r>
    </w:p>
    <w:p w14:paraId="5BE93A62" w14:textId="77777777" w:rsidR="003445E5" w:rsidRPr="004A5029" w:rsidRDefault="003445E5" w:rsidP="003445E5">
      <w:pPr>
        <w:spacing w:after="0" w:line="240" w:lineRule="auto"/>
        <w:outlineLvl w:val="1"/>
        <w:rPr>
          <w:rFonts w:ascii="Times New Roman" w:eastAsia="Times New Roman" w:hAnsi="Times New Roman" w:cs="Times New Roman"/>
          <w:iCs/>
          <w:color w:val="000000" w:themeColor="text1"/>
        </w:rPr>
      </w:pPr>
    </w:p>
    <w:p w14:paraId="1D2E8F95"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59E636E1"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DELLA GOVERNANCE</w:t>
      </w:r>
    </w:p>
    <w:p w14:paraId="384BA73E" w14:textId="77777777" w:rsidR="003445E5" w:rsidRPr="004A5029" w:rsidRDefault="003445E5" w:rsidP="003445E5">
      <w:pPr>
        <w:spacing w:after="0" w:line="240" w:lineRule="auto"/>
        <w:outlineLvl w:val="1"/>
        <w:rPr>
          <w:rFonts w:ascii="Times New Roman" w:hAnsi="Times New Roman" w:cs="Times New Roman"/>
          <w:color w:val="000000" w:themeColor="text1"/>
        </w:rPr>
      </w:pPr>
    </w:p>
    <w:p w14:paraId="604742E9" w14:textId="77777777"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221.</w:t>
      </w:r>
    </w:p>
    <w:p w14:paraId="3E71AC1B" w14:textId="7DAA8881" w:rsidR="003445E5" w:rsidRPr="004A5029" w:rsidRDefault="003445E5" w:rsidP="003445E5">
      <w:pPr>
        <w:spacing w:after="0" w:line="240" w:lineRule="auto"/>
        <w:outlineLvl w:val="1"/>
        <w:rPr>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Indirizzo, coordinamento</w:t>
      </w:r>
      <w:r w:rsidRPr="004A5029">
        <w:rPr>
          <w:rFonts w:ascii="Times New Roman" w:eastAsia="Times New Roman" w:hAnsi="Times New Roman" w:cs="Times New Roman"/>
          <w:i/>
          <w:iCs/>
          <w:color w:val="000000" w:themeColor="text1"/>
        </w:rPr>
        <w:t xml:space="preserve"> </w:t>
      </w:r>
      <w:r w:rsidRPr="004A5029">
        <w:rPr>
          <w:rFonts w:ascii="Times New Roman" w:eastAsia="Times New Roman" w:hAnsi="Times New Roman" w:cs="Times New Roman"/>
          <w:color w:val="000000" w:themeColor="text1"/>
        </w:rPr>
        <w:t xml:space="preserve">e monitoraggio presso la </w:t>
      </w:r>
      <w:r w:rsidR="000364DE" w:rsidRPr="004A5029">
        <w:rPr>
          <w:rFonts w:ascii="Times New Roman" w:eastAsia="Times New Roman" w:hAnsi="Times New Roman" w:cs="Times New Roman"/>
          <w:color w:val="000000" w:themeColor="text1"/>
        </w:rPr>
        <w:t>C</w:t>
      </w:r>
      <w:r w:rsidRPr="004A5029">
        <w:rPr>
          <w:rFonts w:ascii="Times New Roman" w:eastAsia="Times New Roman" w:hAnsi="Times New Roman" w:cs="Times New Roman"/>
          <w:color w:val="000000" w:themeColor="text1"/>
        </w:rPr>
        <w:t>abina di regia.</w:t>
      </w:r>
      <w:r w:rsidRPr="004A5029">
        <w:rPr>
          <w:rFonts w:ascii="Times New Roman" w:eastAsia="Times New Roman" w:hAnsi="Times New Roman" w:cs="Times New Roman"/>
          <w:i/>
          <w:iCs/>
          <w:color w:val="000000" w:themeColor="text1"/>
        </w:rPr>
        <w:t xml:space="preserve"> Governance </w:t>
      </w:r>
      <w:r w:rsidRPr="004A5029">
        <w:rPr>
          <w:rFonts w:ascii="Times New Roman" w:eastAsia="Times New Roman" w:hAnsi="Times New Roman" w:cs="Times New Roman"/>
          <w:color w:val="000000" w:themeColor="text1"/>
        </w:rPr>
        <w:t>dei servizi.</w:t>
      </w:r>
    </w:p>
    <w:p w14:paraId="668ED276" w14:textId="77777777" w:rsidR="003445E5" w:rsidRPr="004A5029" w:rsidRDefault="003445E5" w:rsidP="003445E5">
      <w:pPr>
        <w:spacing w:after="0" w:line="240" w:lineRule="auto"/>
        <w:jc w:val="both"/>
        <w:rPr>
          <w:rFonts w:ascii="Times New Roman" w:eastAsia="Times New Roman" w:hAnsi="Times New Roman" w:cs="Times New Roman"/>
          <w:b/>
          <w:color w:val="000000" w:themeColor="text1"/>
        </w:rPr>
      </w:pPr>
      <w:r w:rsidRPr="004A5029">
        <w:rPr>
          <w:rFonts w:ascii="Times New Roman" w:eastAsia="Times New Roman" w:hAnsi="Times New Roman" w:cs="Times New Roman"/>
          <w:b/>
          <w:bCs/>
          <w:color w:val="000000" w:themeColor="text1"/>
        </w:rPr>
        <w:t>Articolo 222.</w:t>
      </w:r>
    </w:p>
    <w:p w14:paraId="52200901" w14:textId="77777777" w:rsidR="003445E5" w:rsidRPr="004A5029" w:rsidRDefault="003445E5" w:rsidP="003445E5">
      <w:pPr>
        <w:spacing w:after="0" w:line="240" w:lineRule="auto"/>
        <w:outlineLvl w:val="1"/>
        <w:rPr>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Autorità nazionale anticorruzione (ANAC)</w:t>
      </w:r>
      <w:r w:rsidRPr="004A5029">
        <w:rPr>
          <w:rFonts w:ascii="Times New Roman" w:eastAsia="Times New Roman" w:hAnsi="Times New Roman" w:cs="Times New Roman"/>
          <w:color w:val="000000" w:themeColor="text1"/>
        </w:rPr>
        <w:t>.</w:t>
      </w:r>
    </w:p>
    <w:p w14:paraId="778C9C89" w14:textId="36A0F990" w:rsidR="003445E5" w:rsidRPr="004A5029" w:rsidRDefault="003445E5" w:rsidP="003445E5">
      <w:pPr>
        <w:spacing w:after="0" w:line="240" w:lineRule="auto"/>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3</w:t>
      </w:r>
      <w:r w:rsidRPr="004A5029">
        <w:rPr>
          <w:rFonts w:ascii="Times New Roman" w:eastAsia="Times New Roman" w:hAnsi="Times New Roman" w:cs="Times New Roman"/>
          <w:b/>
          <w:bCs/>
          <w:color w:val="000000" w:themeColor="text1"/>
        </w:rPr>
        <w:t>.</w:t>
      </w:r>
    </w:p>
    <w:p w14:paraId="1CE9C819"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Ministero delle infrastrutture e dei trasporti e struttura tecnica di missione.</w:t>
      </w:r>
    </w:p>
    <w:p w14:paraId="34B3F2EB"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p>
    <w:p w14:paraId="174BB37A"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PARTE III</w:t>
      </w:r>
    </w:p>
    <w:p w14:paraId="4EED3122" w14:textId="77777777" w:rsidR="003445E5" w:rsidRPr="004A5029" w:rsidRDefault="003445E5" w:rsidP="003445E5">
      <w:pPr>
        <w:pStyle w:val="Paragrafoelenco"/>
        <w:pBdr>
          <w:top w:val="single" w:sz="4" w:space="1" w:color="auto"/>
          <w:left w:val="single" w:sz="4" w:space="4" w:color="auto"/>
          <w:bottom w:val="single" w:sz="4" w:space="1" w:color="auto"/>
          <w:right w:val="single" w:sz="4" w:space="4" w:color="auto"/>
        </w:pBdr>
        <w:tabs>
          <w:tab w:val="left" w:pos="851"/>
        </w:tabs>
        <w:spacing w:after="0" w:line="240" w:lineRule="auto"/>
        <w:ind w:left="0"/>
        <w:contextualSpacing w:val="0"/>
        <w:rPr>
          <w:rFonts w:ascii="Times New Roman" w:hAnsi="Times New Roman" w:cs="Times New Roman"/>
          <w:b/>
          <w:color w:val="000000" w:themeColor="text1"/>
        </w:rPr>
      </w:pPr>
      <w:r w:rsidRPr="004A5029">
        <w:rPr>
          <w:rFonts w:ascii="Times New Roman" w:hAnsi="Times New Roman" w:cs="Times New Roman"/>
          <w:b/>
          <w:color w:val="000000" w:themeColor="text1"/>
        </w:rPr>
        <w:t>DISPOSIZIONI TRANSITORIE, DI COORDINAMENTO E ABROGAZIONI</w:t>
      </w:r>
    </w:p>
    <w:p w14:paraId="7D34F5C7" w14:textId="77777777" w:rsidR="003445E5" w:rsidRPr="004A5029" w:rsidRDefault="003445E5" w:rsidP="003445E5">
      <w:pPr>
        <w:spacing w:after="0" w:line="240" w:lineRule="auto"/>
        <w:outlineLvl w:val="1"/>
        <w:rPr>
          <w:rFonts w:ascii="Times New Roman" w:hAnsi="Times New Roman" w:cs="Times New Roman"/>
          <w:color w:val="000000" w:themeColor="text1"/>
        </w:rPr>
      </w:pPr>
    </w:p>
    <w:p w14:paraId="78A6A6CB" w14:textId="12724B43" w:rsidR="003445E5" w:rsidRPr="004A5029" w:rsidRDefault="003445E5" w:rsidP="003445E5">
      <w:pPr>
        <w:spacing w:after="0" w:line="240" w:lineRule="auto"/>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4</w:t>
      </w:r>
      <w:r w:rsidRPr="004A5029">
        <w:rPr>
          <w:rFonts w:ascii="Times New Roman" w:eastAsia="Times New Roman" w:hAnsi="Times New Roman" w:cs="Times New Roman"/>
          <w:b/>
          <w:bCs/>
          <w:color w:val="000000" w:themeColor="text1"/>
        </w:rPr>
        <w:t>.</w:t>
      </w:r>
    </w:p>
    <w:p w14:paraId="7BE996DC"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Disposizioni ulteriori.</w:t>
      </w:r>
    </w:p>
    <w:p w14:paraId="02E853F5" w14:textId="25E060DB" w:rsidR="003445E5" w:rsidRPr="004A5029" w:rsidRDefault="003445E5" w:rsidP="003445E5">
      <w:pPr>
        <w:spacing w:after="0" w:line="240" w:lineRule="auto"/>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5</w:t>
      </w:r>
      <w:r w:rsidRPr="004A5029">
        <w:rPr>
          <w:rFonts w:ascii="Times New Roman" w:eastAsia="Times New Roman" w:hAnsi="Times New Roman" w:cs="Times New Roman"/>
          <w:b/>
          <w:bCs/>
          <w:color w:val="000000" w:themeColor="text1"/>
        </w:rPr>
        <w:t>.</w:t>
      </w:r>
    </w:p>
    <w:p w14:paraId="5AABE5A2"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Disposizioni transitorie e di coordinamento.</w:t>
      </w:r>
    </w:p>
    <w:p w14:paraId="5DE199EF" w14:textId="44A52ACC" w:rsidR="003445E5" w:rsidRPr="004A5029" w:rsidRDefault="003445E5" w:rsidP="003445E5">
      <w:pPr>
        <w:spacing w:after="0" w:line="240" w:lineRule="auto"/>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6</w:t>
      </w:r>
      <w:r w:rsidRPr="004A5029">
        <w:rPr>
          <w:rFonts w:ascii="Times New Roman" w:eastAsia="Times New Roman" w:hAnsi="Times New Roman" w:cs="Times New Roman"/>
          <w:b/>
          <w:bCs/>
          <w:color w:val="000000" w:themeColor="text1"/>
        </w:rPr>
        <w:t>.</w:t>
      </w:r>
    </w:p>
    <w:p w14:paraId="20E1F27F"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Abrogazioni e disposizioni finali.</w:t>
      </w:r>
    </w:p>
    <w:p w14:paraId="0DB647CE" w14:textId="188049D4" w:rsidR="003445E5" w:rsidRPr="004A5029" w:rsidRDefault="003445E5" w:rsidP="003445E5">
      <w:pPr>
        <w:spacing w:after="0" w:line="240" w:lineRule="auto"/>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7</w:t>
      </w:r>
      <w:r w:rsidRPr="004A5029">
        <w:rPr>
          <w:rFonts w:ascii="Times New Roman" w:eastAsia="Times New Roman" w:hAnsi="Times New Roman" w:cs="Times New Roman"/>
          <w:b/>
          <w:bCs/>
          <w:color w:val="000000" w:themeColor="text1"/>
        </w:rPr>
        <w:t>.</w:t>
      </w:r>
    </w:p>
    <w:p w14:paraId="20B63B89"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Aggiornamenti.</w:t>
      </w:r>
    </w:p>
    <w:p w14:paraId="0D207D6A" w14:textId="0EEA6EF3" w:rsidR="00C87027" w:rsidRPr="004A5029" w:rsidRDefault="00C87027" w:rsidP="00C87027">
      <w:pPr>
        <w:spacing w:after="0" w:line="240" w:lineRule="auto"/>
        <w:jc w:val="both"/>
        <w:rPr>
          <w:rFonts w:ascii="Times New Roman" w:eastAsia="Times New Roman" w:hAnsi="Times New Roman" w:cs="Times New Roman"/>
          <w:b/>
          <w:bCs/>
          <w:i/>
          <w:iCs/>
          <w:color w:val="000000" w:themeColor="text1"/>
        </w:rPr>
      </w:pPr>
      <w:r w:rsidRPr="004A5029">
        <w:rPr>
          <w:rFonts w:ascii="Times New Roman" w:eastAsia="Times New Roman" w:hAnsi="Times New Roman" w:cs="Times New Roman"/>
          <w:b/>
          <w:bCs/>
          <w:color w:val="000000" w:themeColor="text1"/>
        </w:rPr>
        <w:t>Articolo 228</w:t>
      </w:r>
      <w:r w:rsidR="00F170DC" w:rsidRPr="004A5029">
        <w:rPr>
          <w:rFonts w:ascii="Times New Roman" w:eastAsia="Times New Roman" w:hAnsi="Times New Roman" w:cs="Times New Roman"/>
          <w:b/>
          <w:bCs/>
          <w:color w:val="000000" w:themeColor="text1"/>
        </w:rPr>
        <w:t>.</w:t>
      </w:r>
      <w:r w:rsidRPr="004A5029">
        <w:rPr>
          <w:rFonts w:ascii="Times New Roman" w:eastAsia="Times New Roman" w:hAnsi="Times New Roman" w:cs="Times New Roman"/>
          <w:b/>
          <w:bCs/>
          <w:color w:val="000000" w:themeColor="text1"/>
        </w:rPr>
        <w:t xml:space="preserve"> </w:t>
      </w:r>
    </w:p>
    <w:p w14:paraId="12D193D1" w14:textId="52AF08F6" w:rsidR="00C87027" w:rsidRPr="004A5029" w:rsidRDefault="00C87027" w:rsidP="00C87027">
      <w:pPr>
        <w:spacing w:after="0" w:line="240" w:lineRule="auto"/>
        <w:jc w:val="both"/>
        <w:rPr>
          <w:rFonts w:ascii="Times New Roman" w:eastAsia="Times New Roman" w:hAnsi="Times New Roman" w:cs="Times New Roman"/>
          <w:b/>
          <w:bCs/>
          <w:color w:val="000000" w:themeColor="text1"/>
        </w:rPr>
      </w:pPr>
      <w:r w:rsidRPr="004A5029">
        <w:rPr>
          <w:rStyle w:val="Hyperlink0"/>
          <w:rFonts w:ascii="Times New Roman" w:hAnsi="Times New Roman" w:cs="Times New Roman"/>
          <w:color w:val="000000" w:themeColor="text1"/>
        </w:rPr>
        <w:t>Clausola di invarianza finanziaria</w:t>
      </w:r>
      <w:r w:rsidR="00F170DC" w:rsidRPr="004A5029">
        <w:rPr>
          <w:rStyle w:val="Hyperlink0"/>
          <w:rFonts w:ascii="Times New Roman" w:hAnsi="Times New Roman" w:cs="Times New Roman"/>
          <w:color w:val="000000" w:themeColor="text1"/>
        </w:rPr>
        <w:t>.</w:t>
      </w:r>
    </w:p>
    <w:p w14:paraId="53EF986D" w14:textId="7B3336C1" w:rsidR="003445E5" w:rsidRPr="004A5029" w:rsidRDefault="003445E5" w:rsidP="003445E5">
      <w:pPr>
        <w:spacing w:after="0" w:line="240" w:lineRule="auto"/>
        <w:jc w:val="both"/>
        <w:rPr>
          <w:rFonts w:ascii="Times New Roman" w:eastAsia="Times New Roman" w:hAnsi="Times New Roman" w:cs="Times New Roman"/>
          <w:b/>
          <w:bCs/>
          <w:i/>
          <w:iCs/>
          <w:color w:val="000000" w:themeColor="text1"/>
        </w:rPr>
      </w:pPr>
      <w:r w:rsidRPr="004A5029">
        <w:rPr>
          <w:rFonts w:ascii="Times New Roman" w:eastAsia="Times New Roman" w:hAnsi="Times New Roman" w:cs="Times New Roman"/>
          <w:b/>
          <w:bCs/>
          <w:color w:val="000000" w:themeColor="text1"/>
        </w:rPr>
        <w:t>Articolo 22</w:t>
      </w:r>
      <w:r w:rsidR="00C87027" w:rsidRPr="004A5029">
        <w:rPr>
          <w:rFonts w:ascii="Times New Roman" w:eastAsia="Times New Roman" w:hAnsi="Times New Roman" w:cs="Times New Roman"/>
          <w:b/>
          <w:bCs/>
          <w:color w:val="000000" w:themeColor="text1"/>
        </w:rPr>
        <w:t>9</w:t>
      </w:r>
      <w:r w:rsidRPr="004A5029">
        <w:rPr>
          <w:rFonts w:ascii="Times New Roman" w:eastAsia="Times New Roman" w:hAnsi="Times New Roman" w:cs="Times New Roman"/>
          <w:b/>
          <w:bCs/>
          <w:color w:val="000000" w:themeColor="text1"/>
        </w:rPr>
        <w:t xml:space="preserve"> </w:t>
      </w:r>
    </w:p>
    <w:p w14:paraId="5E40E99C" w14:textId="77777777" w:rsidR="003445E5" w:rsidRPr="004A5029" w:rsidRDefault="003445E5" w:rsidP="003445E5">
      <w:pPr>
        <w:spacing w:after="0" w:line="240" w:lineRule="auto"/>
        <w:outlineLvl w:val="1"/>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Entrata in vigore.</w:t>
      </w:r>
    </w:p>
    <w:p w14:paraId="0B4020A7" w14:textId="77777777" w:rsidR="003445E5" w:rsidRPr="004A5029" w:rsidRDefault="003445E5" w:rsidP="003445E5">
      <w:pPr>
        <w:spacing w:after="0" w:line="240" w:lineRule="auto"/>
        <w:jc w:val="both"/>
        <w:rPr>
          <w:rFonts w:ascii="Times New Roman" w:hAnsi="Times New Roman" w:cs="Times New Roman"/>
          <w:i/>
          <w:color w:val="000000" w:themeColor="text1"/>
        </w:rPr>
      </w:pPr>
    </w:p>
    <w:p w14:paraId="1D7B270A" w14:textId="77777777" w:rsidR="003445E5" w:rsidRPr="004A5029" w:rsidRDefault="003445E5" w:rsidP="003445E5">
      <w:pPr>
        <w:spacing w:after="0" w:line="240" w:lineRule="auto"/>
        <w:jc w:val="both"/>
        <w:rPr>
          <w:rFonts w:ascii="Times New Roman" w:hAnsi="Times New Roman" w:cs="Times New Roman"/>
          <w:bCs/>
          <w:color w:val="000000" w:themeColor="text1"/>
        </w:rPr>
      </w:pPr>
    </w:p>
    <w:p w14:paraId="09A0C3FF" w14:textId="7468F769" w:rsidR="003610A4" w:rsidRPr="004A5029" w:rsidRDefault="00A40214" w:rsidP="001F564A">
      <w:pPr>
        <w:pStyle w:val="provvc"/>
        <w:spacing w:after="20" w:afterAutospacing="0"/>
        <w:rPr>
          <w:color w:val="000000" w:themeColor="text1"/>
          <w:sz w:val="22"/>
          <w:szCs w:val="22"/>
        </w:rPr>
      </w:pPr>
      <w:r w:rsidRPr="004A5029">
        <w:rPr>
          <w:b/>
          <w:bCs/>
          <w:color w:val="000000" w:themeColor="text1"/>
          <w:sz w:val="22"/>
          <w:szCs w:val="22"/>
        </w:rPr>
        <w:br w:type="page"/>
      </w:r>
      <w:r w:rsidR="003610A4" w:rsidRPr="004A5029">
        <w:rPr>
          <w:color w:val="000000" w:themeColor="text1"/>
          <w:sz w:val="22"/>
          <w:szCs w:val="22"/>
        </w:rPr>
        <w:lastRenderedPageBreak/>
        <w:t>IL PRESIDENTE DELLA REPUBBLICA</w:t>
      </w:r>
    </w:p>
    <w:p w14:paraId="462424D0" w14:textId="77777777" w:rsidR="003610A4" w:rsidRPr="004A5029" w:rsidRDefault="003610A4" w:rsidP="003610A4">
      <w:pPr>
        <w:pStyle w:val="provvc"/>
        <w:spacing w:after="20" w:afterAutospacing="0"/>
        <w:jc w:val="center"/>
        <w:rPr>
          <w:color w:val="000000" w:themeColor="text1"/>
          <w:sz w:val="22"/>
          <w:szCs w:val="22"/>
        </w:rPr>
      </w:pPr>
    </w:p>
    <w:p w14:paraId="778BBD5D" w14:textId="1A6EE962" w:rsidR="003610A4" w:rsidRPr="004A5029" w:rsidRDefault="003610A4" w:rsidP="003610A4">
      <w:pPr>
        <w:pStyle w:val="NormaleWeb"/>
        <w:jc w:val="both"/>
        <w:rPr>
          <w:color w:val="000000" w:themeColor="text1"/>
          <w:sz w:val="22"/>
          <w:szCs w:val="22"/>
        </w:rPr>
      </w:pPr>
      <w:r w:rsidRPr="004A5029">
        <w:rPr>
          <w:b/>
          <w:bCs/>
          <w:strike/>
          <w:color w:val="000000" w:themeColor="text1"/>
          <w:sz w:val="22"/>
          <w:szCs w:val="22"/>
        </w:rPr>
        <w:t>VISTI</w:t>
      </w:r>
      <w:r w:rsidRPr="004A5029">
        <w:rPr>
          <w:b/>
          <w:bCs/>
          <w:color w:val="000000" w:themeColor="text1"/>
          <w:sz w:val="22"/>
          <w:szCs w:val="22"/>
        </w:rPr>
        <w:t xml:space="preserve"> </w:t>
      </w:r>
      <w:r w:rsidR="00D15F53" w:rsidRPr="004A5029">
        <w:rPr>
          <w:b/>
          <w:bCs/>
          <w:color w:val="000000" w:themeColor="text1"/>
          <w:sz w:val="22"/>
          <w:szCs w:val="22"/>
        </w:rPr>
        <w:t>Visti</w:t>
      </w:r>
      <w:r w:rsidR="00D15F53" w:rsidRPr="004A5029">
        <w:rPr>
          <w:color w:val="000000" w:themeColor="text1"/>
          <w:sz w:val="22"/>
          <w:szCs w:val="22"/>
        </w:rPr>
        <w:t xml:space="preserve"> </w:t>
      </w:r>
      <w:r w:rsidRPr="004A5029">
        <w:rPr>
          <w:color w:val="000000" w:themeColor="text1"/>
          <w:sz w:val="22"/>
          <w:szCs w:val="22"/>
        </w:rPr>
        <w:t>gli articoli 76 e 87 della Costituzione;</w:t>
      </w:r>
    </w:p>
    <w:p w14:paraId="46EC8DAC" w14:textId="1009FC7B" w:rsidR="003610A4" w:rsidRPr="004A5029" w:rsidRDefault="003610A4" w:rsidP="003610A4">
      <w:pPr>
        <w:pStyle w:val="NormaleWeb"/>
        <w:jc w:val="both"/>
        <w:rPr>
          <w:color w:val="000000" w:themeColor="text1"/>
          <w:sz w:val="22"/>
          <w:szCs w:val="22"/>
        </w:rPr>
      </w:pPr>
      <w:r w:rsidRPr="004A5029">
        <w:rPr>
          <w:b/>
          <w:bCs/>
          <w:strike/>
          <w:color w:val="000000" w:themeColor="text1"/>
          <w:sz w:val="22"/>
          <w:szCs w:val="22"/>
        </w:rPr>
        <w:t>VISTO</w:t>
      </w:r>
      <w:r w:rsidRPr="004A5029">
        <w:rPr>
          <w:b/>
          <w:bCs/>
          <w:color w:val="000000" w:themeColor="text1"/>
          <w:sz w:val="22"/>
          <w:szCs w:val="22"/>
        </w:rPr>
        <w:t xml:space="preserve"> </w:t>
      </w:r>
      <w:r w:rsidR="00D15F53" w:rsidRPr="004A5029">
        <w:rPr>
          <w:b/>
          <w:bCs/>
          <w:color w:val="000000" w:themeColor="text1"/>
          <w:sz w:val="22"/>
          <w:szCs w:val="22"/>
        </w:rPr>
        <w:t>Visto</w:t>
      </w:r>
      <w:r w:rsidR="00D15F53" w:rsidRPr="004A5029">
        <w:rPr>
          <w:color w:val="000000" w:themeColor="text1"/>
          <w:sz w:val="22"/>
          <w:szCs w:val="22"/>
        </w:rPr>
        <w:t xml:space="preserve"> </w:t>
      </w:r>
      <w:r w:rsidRPr="004A5029">
        <w:rPr>
          <w:color w:val="000000" w:themeColor="text1"/>
          <w:sz w:val="22"/>
          <w:szCs w:val="22"/>
        </w:rPr>
        <w:t>l'articolo 14 della legge 23 agosto 1988, n. 400;</w:t>
      </w:r>
    </w:p>
    <w:p w14:paraId="7C03E71B" w14:textId="5FD263A7"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Pr="004A5029">
        <w:rPr>
          <w:color w:val="000000" w:themeColor="text1"/>
          <w:sz w:val="22"/>
          <w:szCs w:val="22"/>
        </w:rPr>
        <w:t xml:space="preserve"> </w:t>
      </w:r>
      <w:r w:rsidR="003610A4" w:rsidRPr="004A5029">
        <w:rPr>
          <w:color w:val="000000" w:themeColor="text1"/>
          <w:sz w:val="22"/>
          <w:szCs w:val="22"/>
        </w:rPr>
        <w:t>la direttiva 2014/23/UE del Parlamento europeo e del Consiglio, del 26 febbraio 2014, sull'aggiudicazione dei contratti di concessione;</w:t>
      </w:r>
    </w:p>
    <w:p w14:paraId="3CC5FF07" w14:textId="317A3EB6"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direttiva 2014/24/UE del Parlamento europeo e del Consiglio, del 26 febbraio 2014, sugli appalti pubblici e che abroga la direttiva 2004/18/CE;</w:t>
      </w:r>
    </w:p>
    <w:p w14:paraId="12D59214" w14:textId="444B45C7"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direttiva 2014/25/UE </w:t>
      </w:r>
      <w:bookmarkStart w:id="1" w:name="_Hlk125472318"/>
      <w:r w:rsidR="003610A4" w:rsidRPr="004A5029">
        <w:rPr>
          <w:color w:val="000000" w:themeColor="text1"/>
          <w:sz w:val="22"/>
          <w:szCs w:val="22"/>
        </w:rPr>
        <w:t>del Parlamento europeo e del Consiglio, del 26 febbraio 2014</w:t>
      </w:r>
      <w:bookmarkEnd w:id="1"/>
      <w:r w:rsidR="003610A4" w:rsidRPr="004A5029">
        <w:rPr>
          <w:color w:val="000000" w:themeColor="text1"/>
          <w:sz w:val="22"/>
          <w:szCs w:val="22"/>
        </w:rPr>
        <w:t>, sulle procedure d'appalto degli enti erogatori nei settori dell'acqua, dell'energia, dei trasporti e dei servizi postali e che abroga la direttiva 2004/17/CE;</w:t>
      </w:r>
    </w:p>
    <w:p w14:paraId="2651B746" w14:textId="78F40C3D"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legge 24 dicembre 2012, n. 234, recante </w:t>
      </w:r>
      <w:r w:rsidR="00885653" w:rsidRPr="004A5029">
        <w:rPr>
          <w:color w:val="000000" w:themeColor="text1"/>
          <w:sz w:val="22"/>
          <w:szCs w:val="22"/>
        </w:rPr>
        <w:t>«</w:t>
      </w:r>
      <w:r w:rsidR="00A553F4" w:rsidRPr="004A5029">
        <w:rPr>
          <w:strike/>
          <w:color w:val="000000" w:themeColor="text1"/>
          <w:sz w:val="22"/>
          <w:szCs w:val="22"/>
        </w:rPr>
        <w:t>n</w:t>
      </w:r>
      <w:r w:rsidR="00885653" w:rsidRPr="004A5029">
        <w:rPr>
          <w:b/>
          <w:bCs/>
          <w:color w:val="000000" w:themeColor="text1"/>
          <w:sz w:val="22"/>
          <w:szCs w:val="22"/>
        </w:rPr>
        <w:t>N</w:t>
      </w:r>
      <w:r w:rsidR="003610A4" w:rsidRPr="004A5029">
        <w:rPr>
          <w:color w:val="000000" w:themeColor="text1"/>
          <w:sz w:val="22"/>
          <w:szCs w:val="22"/>
        </w:rPr>
        <w:t>orme generali sulla partecipazione dell'Italia alla formazione e all'attuazione della normativa e delle politiche dell'Unione europea</w:t>
      </w:r>
      <w:bookmarkStart w:id="2" w:name="_Hlk125462593"/>
      <w:r w:rsidR="00885653" w:rsidRPr="004A5029">
        <w:rPr>
          <w:b/>
          <w:bCs/>
          <w:color w:val="000000" w:themeColor="text1"/>
          <w:sz w:val="22"/>
          <w:szCs w:val="22"/>
        </w:rPr>
        <w:t>»</w:t>
      </w:r>
      <w:bookmarkEnd w:id="2"/>
      <w:r w:rsidR="003610A4" w:rsidRPr="004A5029">
        <w:rPr>
          <w:color w:val="000000" w:themeColor="text1"/>
          <w:sz w:val="22"/>
          <w:szCs w:val="22"/>
        </w:rPr>
        <w:t>;</w:t>
      </w:r>
    </w:p>
    <w:p w14:paraId="332C4841" w14:textId="16E2DA1C" w:rsidR="00DE26E9" w:rsidRPr="004A5029" w:rsidRDefault="00F47850" w:rsidP="003610A4">
      <w:pPr>
        <w:pStyle w:val="NormaleWeb"/>
        <w:jc w:val="both"/>
        <w:rPr>
          <w:color w:val="000000" w:themeColor="text1"/>
          <w:sz w:val="22"/>
          <w:szCs w:val="22"/>
        </w:rPr>
      </w:pPr>
      <w:r w:rsidRPr="004A5029">
        <w:rPr>
          <w:b/>
          <w:bCs/>
          <w:strike/>
          <w:color w:val="000000" w:themeColor="text1"/>
          <w:sz w:val="22"/>
          <w:szCs w:val="22"/>
        </w:rPr>
        <w:t>VISTO</w:t>
      </w:r>
      <w:r w:rsidRPr="004A5029">
        <w:rPr>
          <w:b/>
          <w:bCs/>
          <w:color w:val="000000" w:themeColor="text1"/>
          <w:sz w:val="22"/>
          <w:szCs w:val="22"/>
        </w:rPr>
        <w:t xml:space="preserve"> Visto</w:t>
      </w:r>
      <w:r w:rsidR="00DE26E9" w:rsidRPr="004A5029">
        <w:rPr>
          <w:color w:val="000000" w:themeColor="text1"/>
          <w:sz w:val="22"/>
          <w:szCs w:val="22"/>
        </w:rPr>
        <w:t xml:space="preserve"> il decreto legislativo 18 aprile 2016, n. 50, recante </w:t>
      </w:r>
      <w:r w:rsidR="00885653" w:rsidRPr="004A5029">
        <w:rPr>
          <w:color w:val="000000" w:themeColor="text1"/>
          <w:sz w:val="22"/>
          <w:szCs w:val="22"/>
        </w:rPr>
        <w:t>«</w:t>
      </w:r>
      <w:r w:rsidR="00DE26E9" w:rsidRPr="004A5029">
        <w:rPr>
          <w:color w:val="000000" w:themeColor="text1"/>
          <w:sz w:val="22"/>
          <w:szCs w:val="22"/>
        </w:rPr>
        <w:t>Codice dei contratti pubblici</w:t>
      </w:r>
      <w:r w:rsidR="00885653" w:rsidRPr="004A5029">
        <w:rPr>
          <w:color w:val="000000" w:themeColor="text1"/>
          <w:sz w:val="22"/>
          <w:szCs w:val="22"/>
        </w:rPr>
        <w:t>»</w:t>
      </w:r>
      <w:r w:rsidR="00DE26E9" w:rsidRPr="004A5029">
        <w:rPr>
          <w:color w:val="000000" w:themeColor="text1"/>
          <w:sz w:val="22"/>
          <w:szCs w:val="22"/>
        </w:rPr>
        <w:t>;</w:t>
      </w:r>
      <w:r w:rsidRPr="004A5029">
        <w:rPr>
          <w:color w:val="000000" w:themeColor="text1"/>
          <w:sz w:val="22"/>
          <w:szCs w:val="22"/>
        </w:rPr>
        <w:t xml:space="preserve"> </w:t>
      </w:r>
    </w:p>
    <w:p w14:paraId="27F0C023" w14:textId="539865E0"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legge 21 giugno 2022, n. 78, recante </w:t>
      </w:r>
      <w:r w:rsidR="00885653" w:rsidRPr="004A5029">
        <w:rPr>
          <w:b/>
          <w:bCs/>
          <w:color w:val="000000" w:themeColor="text1"/>
          <w:sz w:val="22"/>
          <w:szCs w:val="22"/>
        </w:rPr>
        <w:t>«</w:t>
      </w:r>
      <w:r w:rsidR="003610A4" w:rsidRPr="004A5029">
        <w:rPr>
          <w:color w:val="000000" w:themeColor="text1"/>
          <w:sz w:val="22"/>
          <w:szCs w:val="22"/>
        </w:rPr>
        <w:t>Delega al Governo in materia di contratti pubblici</w:t>
      </w:r>
      <w:r w:rsidR="00885653" w:rsidRPr="004A5029">
        <w:rPr>
          <w:b/>
          <w:bCs/>
          <w:color w:val="000000" w:themeColor="text1"/>
          <w:sz w:val="22"/>
          <w:szCs w:val="22"/>
        </w:rPr>
        <w:t>»</w:t>
      </w:r>
      <w:r w:rsidR="003610A4" w:rsidRPr="004A5029">
        <w:rPr>
          <w:color w:val="000000" w:themeColor="text1"/>
          <w:sz w:val="22"/>
          <w:szCs w:val="22"/>
        </w:rPr>
        <w:t>;</w:t>
      </w:r>
    </w:p>
    <w:p w14:paraId="5A07D209" w14:textId="6C399DE1"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VISTO</w:t>
      </w:r>
      <w:r w:rsidRPr="004A5029">
        <w:rPr>
          <w:b/>
          <w:bCs/>
          <w:color w:val="000000" w:themeColor="text1"/>
          <w:sz w:val="22"/>
          <w:szCs w:val="22"/>
        </w:rPr>
        <w:t xml:space="preserve"> Visto</w:t>
      </w:r>
      <w:r w:rsidR="00A553F4" w:rsidRPr="004A5029">
        <w:rPr>
          <w:color w:val="000000" w:themeColor="text1"/>
          <w:sz w:val="22"/>
          <w:szCs w:val="22"/>
        </w:rPr>
        <w:t>,</w:t>
      </w:r>
      <w:r w:rsidR="003610A4" w:rsidRPr="004A5029">
        <w:rPr>
          <w:color w:val="000000" w:themeColor="text1"/>
          <w:sz w:val="22"/>
          <w:szCs w:val="22"/>
        </w:rPr>
        <w:t xml:space="preserve"> in particolare, l’articolo 1, comma 4, della citata legge 21 giugno 2022, n. 78, il quale prevede che il Governo può avvalersi della facoltà di cui all'articolo 14, numero 2°, del testo unico </w:t>
      </w:r>
      <w:r w:rsidR="00A553F4" w:rsidRPr="004A5029">
        <w:rPr>
          <w:b/>
          <w:bCs/>
          <w:color w:val="000000" w:themeColor="text1"/>
          <w:sz w:val="22"/>
          <w:szCs w:val="22"/>
        </w:rPr>
        <w:t>delle leggi</w:t>
      </w:r>
      <w:r w:rsidR="00A553F4" w:rsidRPr="004A5029">
        <w:rPr>
          <w:color w:val="000000" w:themeColor="text1"/>
          <w:sz w:val="22"/>
          <w:szCs w:val="22"/>
        </w:rPr>
        <w:t xml:space="preserve"> </w:t>
      </w:r>
      <w:r w:rsidR="003610A4" w:rsidRPr="004A5029">
        <w:rPr>
          <w:color w:val="000000" w:themeColor="text1"/>
          <w:sz w:val="22"/>
          <w:szCs w:val="22"/>
        </w:rPr>
        <w:t>sul Consiglio di Stato, di cui al regio decreto 26 giugno 1924, n. 1054;</w:t>
      </w:r>
    </w:p>
    <w:p w14:paraId="79117C82" w14:textId="2173C8E2" w:rsidR="003610A4" w:rsidRPr="004A5029" w:rsidRDefault="003610A4" w:rsidP="003610A4">
      <w:pPr>
        <w:pStyle w:val="NormaleWeb"/>
        <w:jc w:val="both"/>
        <w:rPr>
          <w:color w:val="000000" w:themeColor="text1"/>
          <w:sz w:val="22"/>
          <w:szCs w:val="22"/>
        </w:rPr>
      </w:pPr>
      <w:r w:rsidRPr="004A5029">
        <w:rPr>
          <w:color w:val="000000" w:themeColor="text1"/>
          <w:sz w:val="22"/>
          <w:szCs w:val="22"/>
        </w:rPr>
        <w:t>Vista</w:t>
      </w:r>
      <w:r w:rsidR="00885653" w:rsidRPr="004A5029">
        <w:rPr>
          <w:color w:val="000000" w:themeColor="text1"/>
          <w:sz w:val="22"/>
          <w:szCs w:val="22"/>
        </w:rPr>
        <w:t xml:space="preserve"> </w:t>
      </w:r>
      <w:r w:rsidRPr="004A5029">
        <w:rPr>
          <w:color w:val="000000" w:themeColor="text1"/>
          <w:sz w:val="22"/>
          <w:szCs w:val="22"/>
        </w:rPr>
        <w:t xml:space="preserve">la nota in data </w:t>
      </w:r>
      <w:r w:rsidR="0090673D" w:rsidRPr="004A5029">
        <w:rPr>
          <w:color w:val="000000" w:themeColor="text1"/>
          <w:sz w:val="22"/>
          <w:szCs w:val="22"/>
        </w:rPr>
        <w:t>28 giugno 2022</w:t>
      </w:r>
      <w:r w:rsidRPr="004A5029">
        <w:rPr>
          <w:color w:val="000000" w:themeColor="text1"/>
          <w:sz w:val="22"/>
          <w:szCs w:val="22"/>
        </w:rPr>
        <w:t xml:space="preserve"> con la quale </w:t>
      </w:r>
      <w:r w:rsidR="00FA1E10" w:rsidRPr="004A5029">
        <w:rPr>
          <w:color w:val="000000" w:themeColor="text1"/>
          <w:sz w:val="22"/>
          <w:szCs w:val="22"/>
        </w:rPr>
        <w:t xml:space="preserve">il Presidente del Consiglio dei ministri </w:t>
      </w:r>
      <w:r w:rsidR="00141632" w:rsidRPr="004A5029">
        <w:rPr>
          <w:color w:val="000000" w:themeColor="text1"/>
          <w:sz w:val="22"/>
          <w:szCs w:val="22"/>
        </w:rPr>
        <w:t xml:space="preserve">ha affidato </w:t>
      </w:r>
      <w:r w:rsidRPr="004A5029">
        <w:rPr>
          <w:color w:val="000000" w:themeColor="text1"/>
          <w:sz w:val="22"/>
          <w:szCs w:val="22"/>
        </w:rPr>
        <w:t xml:space="preserve">la formulazione del progetto di </w:t>
      </w:r>
      <w:r w:rsidR="0090673D" w:rsidRPr="004A5029">
        <w:rPr>
          <w:color w:val="000000" w:themeColor="text1"/>
          <w:sz w:val="22"/>
          <w:szCs w:val="22"/>
        </w:rPr>
        <w:t xml:space="preserve">decreto legislativo recante la disciplina </w:t>
      </w:r>
      <w:r w:rsidRPr="004A5029">
        <w:rPr>
          <w:color w:val="000000" w:themeColor="text1"/>
          <w:sz w:val="22"/>
          <w:szCs w:val="22"/>
        </w:rPr>
        <w:t>dei contratti pubblici</w:t>
      </w:r>
      <w:r w:rsidR="00141632" w:rsidRPr="004A5029">
        <w:rPr>
          <w:color w:val="000000" w:themeColor="text1"/>
          <w:sz w:val="22"/>
          <w:szCs w:val="22"/>
        </w:rPr>
        <w:t xml:space="preserve"> al Consiglio di Stato, ai sensi dell’articolo 1, comma 4, della legge 21 giugno 2022, n. 78</w:t>
      </w:r>
      <w:r w:rsidRPr="004A5029">
        <w:rPr>
          <w:color w:val="000000" w:themeColor="text1"/>
          <w:sz w:val="22"/>
          <w:szCs w:val="22"/>
        </w:rPr>
        <w:t>;</w:t>
      </w:r>
    </w:p>
    <w:p w14:paraId="2EE26DE1" w14:textId="2636F28D" w:rsidR="003610A4" w:rsidRPr="004A5029" w:rsidRDefault="003610A4" w:rsidP="003610A4">
      <w:pPr>
        <w:pStyle w:val="NormaleWeb"/>
        <w:jc w:val="both"/>
        <w:rPr>
          <w:color w:val="000000" w:themeColor="text1"/>
          <w:sz w:val="22"/>
          <w:szCs w:val="22"/>
        </w:rPr>
      </w:pPr>
      <w:r w:rsidRPr="004A5029">
        <w:rPr>
          <w:color w:val="000000" w:themeColor="text1"/>
          <w:sz w:val="22"/>
          <w:szCs w:val="22"/>
        </w:rPr>
        <w:t>Vist</w:t>
      </w:r>
      <w:r w:rsidR="00D15F53" w:rsidRPr="004A5029">
        <w:rPr>
          <w:color w:val="000000" w:themeColor="text1"/>
          <w:sz w:val="22"/>
          <w:szCs w:val="22"/>
        </w:rPr>
        <w:t>o</w:t>
      </w:r>
      <w:r w:rsidR="00885653" w:rsidRPr="004A5029">
        <w:rPr>
          <w:color w:val="000000" w:themeColor="text1"/>
          <w:sz w:val="22"/>
          <w:szCs w:val="22"/>
        </w:rPr>
        <w:t xml:space="preserve"> </w:t>
      </w:r>
      <w:r w:rsidRPr="004A5029">
        <w:rPr>
          <w:color w:val="000000" w:themeColor="text1"/>
          <w:sz w:val="22"/>
          <w:szCs w:val="22"/>
        </w:rPr>
        <w:t xml:space="preserve">il decreto del Presidente del Consiglio di Stato </w:t>
      </w:r>
      <w:r w:rsidR="00141632" w:rsidRPr="004A5029">
        <w:rPr>
          <w:color w:val="000000" w:themeColor="text1"/>
          <w:sz w:val="22"/>
          <w:szCs w:val="22"/>
        </w:rPr>
        <w:t>in data</w:t>
      </w:r>
      <w:r w:rsidR="00F0078A" w:rsidRPr="004A5029">
        <w:rPr>
          <w:color w:val="000000" w:themeColor="text1"/>
          <w:sz w:val="22"/>
          <w:szCs w:val="22"/>
        </w:rPr>
        <w:t xml:space="preserve"> </w:t>
      </w:r>
      <w:r w:rsidR="00DE26E9" w:rsidRPr="004A5029">
        <w:rPr>
          <w:color w:val="000000" w:themeColor="text1"/>
          <w:sz w:val="22"/>
          <w:szCs w:val="22"/>
        </w:rPr>
        <w:t>4 luglio 2022</w:t>
      </w:r>
      <w:r w:rsidRPr="004A5029">
        <w:rPr>
          <w:color w:val="000000" w:themeColor="text1"/>
          <w:sz w:val="22"/>
          <w:szCs w:val="22"/>
        </w:rPr>
        <w:t>, con il quale la formulazione di detto progetto è stata deferita ad una commissione speciale e ne è stata stabilita la composizione;</w:t>
      </w:r>
    </w:p>
    <w:p w14:paraId="30F9CB44" w14:textId="624FBD8A" w:rsidR="003610A4" w:rsidRPr="004A5029" w:rsidRDefault="00D15F53" w:rsidP="003610A4">
      <w:pPr>
        <w:pStyle w:val="NormaleWeb"/>
        <w:jc w:val="both"/>
        <w:rPr>
          <w:color w:val="000000" w:themeColor="text1"/>
          <w:sz w:val="22"/>
          <w:szCs w:val="22"/>
        </w:rPr>
      </w:pPr>
      <w:r w:rsidRPr="004A5029">
        <w:rPr>
          <w:color w:val="000000" w:themeColor="text1"/>
          <w:sz w:val="22"/>
          <w:szCs w:val="22"/>
        </w:rPr>
        <w:t>Visto</w:t>
      </w:r>
      <w:r w:rsidR="00885653" w:rsidRPr="004A5029">
        <w:rPr>
          <w:color w:val="000000" w:themeColor="text1"/>
          <w:sz w:val="22"/>
          <w:szCs w:val="22"/>
        </w:rPr>
        <w:t xml:space="preserve"> </w:t>
      </w:r>
      <w:r w:rsidR="003610A4" w:rsidRPr="004A5029">
        <w:rPr>
          <w:color w:val="000000" w:themeColor="text1"/>
          <w:sz w:val="22"/>
          <w:szCs w:val="22"/>
        </w:rPr>
        <w:t>lo schema di “Codice dei contratti pubblici in attuazione dell’articolo 1 della legge 21 giugno 2022, n. 78, recante «Delega al Governo in materia di contratti pubblici»</w:t>
      </w:r>
      <w:r w:rsidR="0046596A" w:rsidRPr="004A5029">
        <w:rPr>
          <w:color w:val="000000" w:themeColor="text1"/>
          <w:sz w:val="22"/>
          <w:szCs w:val="22"/>
        </w:rPr>
        <w:t>”</w:t>
      </w:r>
      <w:r w:rsidR="003610A4" w:rsidRPr="004A5029">
        <w:rPr>
          <w:color w:val="000000" w:themeColor="text1"/>
          <w:sz w:val="22"/>
          <w:szCs w:val="22"/>
        </w:rPr>
        <w:t>, redatto da detta commissione speciale e trasmesso al Governo dal Consiglio di Stato in data 27 ottobre 2022</w:t>
      </w:r>
      <w:r w:rsidR="0046596A" w:rsidRPr="004A5029">
        <w:rPr>
          <w:color w:val="000000" w:themeColor="text1"/>
          <w:sz w:val="22"/>
          <w:szCs w:val="22"/>
        </w:rPr>
        <w:t xml:space="preserve"> </w:t>
      </w:r>
      <w:r w:rsidR="003610A4" w:rsidRPr="004A5029">
        <w:rPr>
          <w:color w:val="000000" w:themeColor="text1"/>
          <w:sz w:val="22"/>
          <w:szCs w:val="22"/>
        </w:rPr>
        <w:t>-</w:t>
      </w:r>
      <w:r w:rsidR="0046596A" w:rsidRPr="004A5029">
        <w:rPr>
          <w:color w:val="000000" w:themeColor="text1"/>
          <w:sz w:val="22"/>
          <w:szCs w:val="22"/>
        </w:rPr>
        <w:t xml:space="preserve"> </w:t>
      </w:r>
      <w:r w:rsidR="003610A4" w:rsidRPr="004A5029">
        <w:rPr>
          <w:color w:val="000000" w:themeColor="text1"/>
          <w:sz w:val="22"/>
          <w:szCs w:val="22"/>
        </w:rPr>
        <w:t>7</w:t>
      </w:r>
      <w:r w:rsidR="0046596A" w:rsidRPr="004A5029">
        <w:rPr>
          <w:color w:val="000000" w:themeColor="text1"/>
          <w:sz w:val="22"/>
          <w:szCs w:val="22"/>
        </w:rPr>
        <w:t xml:space="preserve"> </w:t>
      </w:r>
      <w:r w:rsidR="003610A4" w:rsidRPr="004A5029">
        <w:rPr>
          <w:color w:val="000000" w:themeColor="text1"/>
          <w:sz w:val="22"/>
          <w:szCs w:val="22"/>
        </w:rPr>
        <w:t>dicembre 2022;</w:t>
      </w:r>
    </w:p>
    <w:p w14:paraId="79F7CF62" w14:textId="5E73E281" w:rsidR="003610A4" w:rsidRPr="004A5029" w:rsidRDefault="00D15F53"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preliminare deliberazione del Consiglio dei ministri, adottata nella riunione del</w:t>
      </w:r>
      <w:r w:rsidR="00F018BD" w:rsidRPr="004A5029">
        <w:rPr>
          <w:color w:val="000000" w:themeColor="text1"/>
          <w:sz w:val="22"/>
          <w:szCs w:val="22"/>
        </w:rPr>
        <w:t xml:space="preserve"> 16 dicembre 2022</w:t>
      </w:r>
      <w:r w:rsidR="003610A4" w:rsidRPr="004A5029">
        <w:rPr>
          <w:color w:val="000000" w:themeColor="text1"/>
          <w:sz w:val="22"/>
          <w:szCs w:val="22"/>
        </w:rPr>
        <w:t>;</w:t>
      </w:r>
    </w:p>
    <w:p w14:paraId="32DBE115" w14:textId="2D7C242B" w:rsidR="003610A4" w:rsidRPr="004A5029" w:rsidRDefault="003610A4" w:rsidP="003610A4">
      <w:pPr>
        <w:pStyle w:val="NormaleWeb"/>
        <w:jc w:val="both"/>
        <w:rPr>
          <w:color w:val="000000" w:themeColor="text1"/>
          <w:sz w:val="22"/>
          <w:szCs w:val="22"/>
        </w:rPr>
      </w:pPr>
      <w:r w:rsidRPr="004A5029">
        <w:rPr>
          <w:b/>
          <w:bCs/>
          <w:strike/>
          <w:color w:val="000000" w:themeColor="text1"/>
          <w:sz w:val="22"/>
          <w:szCs w:val="22"/>
        </w:rPr>
        <w:t>ACQUISITO</w:t>
      </w:r>
      <w:r w:rsidRPr="004A5029">
        <w:rPr>
          <w:b/>
          <w:bCs/>
          <w:color w:val="000000" w:themeColor="text1"/>
          <w:sz w:val="22"/>
          <w:szCs w:val="22"/>
        </w:rPr>
        <w:t xml:space="preserve"> </w:t>
      </w:r>
      <w:r w:rsidR="00F47850" w:rsidRPr="004A5029">
        <w:rPr>
          <w:b/>
          <w:bCs/>
          <w:color w:val="000000" w:themeColor="text1"/>
          <w:sz w:val="22"/>
          <w:szCs w:val="22"/>
        </w:rPr>
        <w:t>Acquisito</w:t>
      </w:r>
      <w:r w:rsidR="00F47850" w:rsidRPr="004A5029">
        <w:rPr>
          <w:color w:val="000000" w:themeColor="text1"/>
          <w:sz w:val="22"/>
          <w:szCs w:val="22"/>
        </w:rPr>
        <w:t xml:space="preserve"> </w:t>
      </w:r>
      <w:r w:rsidRPr="004A5029">
        <w:rPr>
          <w:color w:val="000000" w:themeColor="text1"/>
          <w:sz w:val="22"/>
          <w:szCs w:val="22"/>
        </w:rPr>
        <w:t>il parere della Conferenza unificata di cui all'articolo 8 del decreto legislativo 28 agosto 1997, n. 281, reso in data</w:t>
      </w:r>
      <w:r w:rsidR="00F47850" w:rsidRPr="004A5029">
        <w:rPr>
          <w:color w:val="000000" w:themeColor="text1"/>
          <w:sz w:val="22"/>
          <w:szCs w:val="22"/>
        </w:rPr>
        <w:t xml:space="preserve"> </w:t>
      </w:r>
      <w:r w:rsidR="00F47850" w:rsidRPr="004A5029">
        <w:rPr>
          <w:b/>
          <w:bCs/>
          <w:color w:val="000000" w:themeColor="text1"/>
          <w:sz w:val="22"/>
          <w:szCs w:val="22"/>
        </w:rPr>
        <w:t>26 gennaio 2023</w:t>
      </w:r>
      <w:r w:rsidRPr="004A5029">
        <w:rPr>
          <w:color w:val="000000" w:themeColor="text1"/>
          <w:sz w:val="22"/>
          <w:szCs w:val="22"/>
        </w:rPr>
        <w:t>;</w:t>
      </w:r>
    </w:p>
    <w:p w14:paraId="3856AD7C" w14:textId="0CA07088" w:rsidR="003610A4" w:rsidRPr="004A5029" w:rsidRDefault="00F47850" w:rsidP="003610A4">
      <w:pPr>
        <w:pStyle w:val="NormaleWeb"/>
        <w:jc w:val="both"/>
        <w:rPr>
          <w:color w:val="000000" w:themeColor="text1"/>
          <w:sz w:val="22"/>
          <w:szCs w:val="22"/>
        </w:rPr>
      </w:pPr>
      <w:r w:rsidRPr="004A5029">
        <w:rPr>
          <w:b/>
          <w:bCs/>
          <w:strike/>
          <w:color w:val="000000" w:themeColor="text1"/>
          <w:sz w:val="22"/>
          <w:szCs w:val="22"/>
        </w:rPr>
        <w:t>ACQUISITI</w:t>
      </w:r>
      <w:r w:rsidRPr="004A5029">
        <w:rPr>
          <w:b/>
          <w:bCs/>
          <w:color w:val="000000" w:themeColor="text1"/>
          <w:sz w:val="22"/>
          <w:szCs w:val="22"/>
        </w:rPr>
        <w:t xml:space="preserve"> Acquisiti</w:t>
      </w:r>
      <w:r w:rsidR="003610A4" w:rsidRPr="004A5029">
        <w:rPr>
          <w:color w:val="000000" w:themeColor="text1"/>
          <w:sz w:val="22"/>
          <w:szCs w:val="22"/>
        </w:rPr>
        <w:t xml:space="preserve"> i pareri delle competenti commissioni della Camera dei deputati e del Senato della Repubblica;</w:t>
      </w:r>
    </w:p>
    <w:p w14:paraId="704A3321" w14:textId="17459EA7" w:rsidR="003610A4" w:rsidRPr="004A5029" w:rsidRDefault="00F47850" w:rsidP="003610A4">
      <w:pPr>
        <w:pStyle w:val="NormaleWeb"/>
        <w:jc w:val="both"/>
        <w:rPr>
          <w:color w:val="000000" w:themeColor="text1"/>
          <w:sz w:val="22"/>
          <w:szCs w:val="22"/>
        </w:rPr>
      </w:pPr>
      <w:r w:rsidRPr="004A5029">
        <w:rPr>
          <w:b/>
          <w:bCs/>
          <w:strike/>
          <w:color w:val="000000" w:themeColor="text1"/>
          <w:sz w:val="22"/>
          <w:szCs w:val="22"/>
        </w:rPr>
        <w:t>VISTA</w:t>
      </w:r>
      <w:r w:rsidRPr="004A5029">
        <w:rPr>
          <w:b/>
          <w:bCs/>
          <w:color w:val="000000" w:themeColor="text1"/>
          <w:sz w:val="22"/>
          <w:szCs w:val="22"/>
        </w:rPr>
        <w:t xml:space="preserve"> Vista</w:t>
      </w:r>
      <w:r w:rsidR="003610A4" w:rsidRPr="004A5029">
        <w:rPr>
          <w:color w:val="000000" w:themeColor="text1"/>
          <w:sz w:val="22"/>
          <w:szCs w:val="22"/>
        </w:rPr>
        <w:t xml:space="preserve"> la deliberazione del Consiglio dei ministri, adottata nella riunione del …;</w:t>
      </w:r>
    </w:p>
    <w:p w14:paraId="699864F5" w14:textId="51094625" w:rsidR="003610A4" w:rsidRPr="004A5029" w:rsidRDefault="003610A4" w:rsidP="003610A4">
      <w:pPr>
        <w:pStyle w:val="NormaleWeb"/>
        <w:jc w:val="both"/>
        <w:rPr>
          <w:color w:val="000000" w:themeColor="text1"/>
          <w:sz w:val="22"/>
          <w:szCs w:val="22"/>
        </w:rPr>
      </w:pPr>
      <w:r w:rsidRPr="004A5029">
        <w:rPr>
          <w:b/>
          <w:bCs/>
          <w:strike/>
          <w:color w:val="000000" w:themeColor="text1"/>
          <w:sz w:val="22"/>
          <w:szCs w:val="22"/>
        </w:rPr>
        <w:t>SULLA PROPOSTA</w:t>
      </w:r>
      <w:r w:rsidRPr="004A5029">
        <w:rPr>
          <w:b/>
          <w:bCs/>
          <w:color w:val="000000" w:themeColor="text1"/>
          <w:sz w:val="22"/>
          <w:szCs w:val="22"/>
        </w:rPr>
        <w:t xml:space="preserve"> </w:t>
      </w:r>
      <w:r w:rsidR="00F47850" w:rsidRPr="004A5029">
        <w:rPr>
          <w:b/>
          <w:bCs/>
          <w:color w:val="000000" w:themeColor="text1"/>
          <w:sz w:val="22"/>
          <w:szCs w:val="22"/>
        </w:rPr>
        <w:t>Sulla proposta</w:t>
      </w:r>
      <w:r w:rsidR="00F47850" w:rsidRPr="004A5029">
        <w:rPr>
          <w:color w:val="000000" w:themeColor="text1"/>
          <w:sz w:val="22"/>
          <w:szCs w:val="22"/>
        </w:rPr>
        <w:t xml:space="preserve"> </w:t>
      </w:r>
      <w:r w:rsidRPr="004A5029">
        <w:rPr>
          <w:color w:val="000000" w:themeColor="text1"/>
          <w:sz w:val="22"/>
          <w:szCs w:val="22"/>
        </w:rPr>
        <w:t xml:space="preserve">del Presidente del Consiglio dei </w:t>
      </w:r>
      <w:r w:rsidR="004520DA" w:rsidRPr="004A5029">
        <w:rPr>
          <w:b/>
          <w:strike/>
          <w:color w:val="000000" w:themeColor="text1"/>
          <w:sz w:val="22"/>
          <w:szCs w:val="22"/>
        </w:rPr>
        <w:t>M</w:t>
      </w:r>
      <w:r w:rsidR="004520DA" w:rsidRPr="004A5029">
        <w:rPr>
          <w:b/>
          <w:color w:val="000000" w:themeColor="text1"/>
          <w:sz w:val="22"/>
          <w:szCs w:val="22"/>
        </w:rPr>
        <w:t>m</w:t>
      </w:r>
      <w:r w:rsidR="004520DA" w:rsidRPr="004A5029">
        <w:rPr>
          <w:bCs/>
          <w:color w:val="000000" w:themeColor="text1"/>
          <w:sz w:val="22"/>
          <w:szCs w:val="22"/>
        </w:rPr>
        <w:t>inistri</w:t>
      </w:r>
      <w:r w:rsidRPr="004A5029">
        <w:rPr>
          <w:color w:val="000000" w:themeColor="text1"/>
          <w:sz w:val="22"/>
          <w:szCs w:val="22"/>
        </w:rPr>
        <w:t xml:space="preserve"> e del </w:t>
      </w:r>
      <w:r w:rsidR="00885653" w:rsidRPr="004A5029">
        <w:rPr>
          <w:color w:val="000000" w:themeColor="text1"/>
          <w:sz w:val="22"/>
          <w:szCs w:val="22"/>
        </w:rPr>
        <w:t>M</w:t>
      </w:r>
      <w:r w:rsidRPr="004A5029">
        <w:rPr>
          <w:color w:val="000000" w:themeColor="text1"/>
          <w:sz w:val="22"/>
          <w:szCs w:val="22"/>
        </w:rPr>
        <w:t>inistro delle infrastrutture e dei trasporti, di concerto con i Ministri per gli affari europei, il Sud, le politiche di coesione e il PNRR, per le riforme istituzionali e la semplificazione normativa, per le disabilità, degli affari esteri e della cooperazione internazionale, dell'interno, della giustizia, della difesa, dell'economia e delle finanze, delle imprese e del made in Italy, dell'ambiente e della sicurezza energetica, del lavoro e delle politiche sociali, e della cultura;</w:t>
      </w:r>
    </w:p>
    <w:p w14:paraId="2BDFCBAD" w14:textId="77777777" w:rsidR="003610A4" w:rsidRPr="004A5029" w:rsidRDefault="003610A4" w:rsidP="003610A4">
      <w:pPr>
        <w:spacing w:before="100" w:beforeAutospacing="1" w:after="20" w:line="240" w:lineRule="auto"/>
        <w:jc w:val="center"/>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lastRenderedPageBreak/>
        <w:t>EMANA</w:t>
      </w:r>
    </w:p>
    <w:p w14:paraId="439584A3" w14:textId="77777777" w:rsidR="003610A4" w:rsidRPr="004A5029" w:rsidRDefault="003610A4" w:rsidP="003610A4">
      <w:pPr>
        <w:spacing w:before="100" w:beforeAutospacing="1" w:after="20" w:line="240" w:lineRule="auto"/>
        <w:jc w:val="center"/>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il seguente decreto legislativo:</w:t>
      </w:r>
    </w:p>
    <w:p w14:paraId="4F904CB7" w14:textId="39E06603" w:rsidR="003610A4" w:rsidRPr="004A5029" w:rsidRDefault="003610A4">
      <w:pPr>
        <w:rPr>
          <w:rFonts w:ascii="Times New Roman" w:hAnsi="Times New Roman" w:cs="Times New Roman"/>
          <w:b/>
          <w:bCs/>
          <w:color w:val="000000" w:themeColor="text1"/>
        </w:rPr>
        <w:sectPr w:rsidR="003610A4" w:rsidRPr="004A5029" w:rsidSect="00296CE8">
          <w:headerReference w:type="default" r:id="rId9"/>
          <w:footerReference w:type="default" r:id="rId10"/>
          <w:footnotePr>
            <w:numRestart w:val="eachSect"/>
          </w:footnotePr>
          <w:pgSz w:w="11906" w:h="16838"/>
          <w:pgMar w:top="1417" w:right="1134" w:bottom="1134" w:left="1134" w:header="708" w:footer="708" w:gutter="0"/>
          <w:pgNumType w:start="1"/>
          <w:cols w:space="708"/>
          <w:docGrid w:linePitch="360"/>
        </w:sectPr>
      </w:pPr>
    </w:p>
    <w:p w14:paraId="32CFA4BA"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lastRenderedPageBreak/>
        <w:t>LIBRO I</w:t>
      </w:r>
    </w:p>
    <w:p w14:paraId="48952A89"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PRINCIPI, DELLA DIGITALIZZAZIONE, DELLA PROGRAMMAZIONE, DELLA PROGETTAZIONE</w:t>
      </w:r>
    </w:p>
    <w:p w14:paraId="06971CD3" w14:textId="77777777" w:rsidR="00446F27" w:rsidRPr="004A5029" w:rsidRDefault="00446F27" w:rsidP="00446F27">
      <w:pPr>
        <w:jc w:val="center"/>
        <w:rPr>
          <w:rFonts w:ascii="Times New Roman" w:hAnsi="Times New Roman" w:cs="Times New Roman"/>
          <w:b/>
          <w:color w:val="000000" w:themeColor="text1"/>
        </w:rPr>
      </w:pPr>
    </w:p>
    <w:p w14:paraId="5EBC6827"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6D8C341E"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PRINCIPI</w:t>
      </w:r>
    </w:p>
    <w:p w14:paraId="2A1F701D" w14:textId="77777777" w:rsidR="00446F27" w:rsidRPr="004A5029" w:rsidRDefault="00446F27" w:rsidP="00446F27">
      <w:pPr>
        <w:jc w:val="center"/>
        <w:rPr>
          <w:rFonts w:ascii="Times New Roman" w:hAnsi="Times New Roman" w:cs="Times New Roman"/>
          <w:b/>
          <w:color w:val="000000" w:themeColor="text1"/>
        </w:rPr>
      </w:pPr>
    </w:p>
    <w:p w14:paraId="15BEA0DD" w14:textId="77777777"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 </w:t>
      </w:r>
    </w:p>
    <w:p w14:paraId="7E783440" w14:textId="5CCF3F5C"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I principi generali</w:t>
      </w:r>
    </w:p>
    <w:p w14:paraId="03EFCA41" w14:textId="77777777" w:rsidR="00446F27" w:rsidRPr="004A5029" w:rsidRDefault="00446F27" w:rsidP="00446F27">
      <w:pPr>
        <w:jc w:val="center"/>
        <w:rPr>
          <w:rFonts w:ascii="Times New Roman" w:eastAsia="Times New Roman" w:hAnsi="Times New Roman" w:cs="Times New Roman"/>
          <w:color w:val="000000" w:themeColor="text1"/>
        </w:rPr>
      </w:pPr>
    </w:p>
    <w:p w14:paraId="48854814"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1</w:t>
      </w:r>
      <w:r w:rsidRPr="004A5029">
        <w:rPr>
          <w:rFonts w:ascii="Times New Roman" w:eastAsia="Times New Roman" w:hAnsi="Times New Roman" w:cs="Times New Roman"/>
          <w:color w:val="000000" w:themeColor="text1"/>
        </w:rPr>
        <w:t>.</w:t>
      </w:r>
    </w:p>
    <w:p w14:paraId="4E80221B" w14:textId="77777777" w:rsidR="00446F27" w:rsidRPr="004A5029" w:rsidRDefault="00446F27" w:rsidP="00446F27">
      <w:pPr>
        <w:rPr>
          <w:rFonts w:ascii="Times New Roman" w:hAnsi="Times New Roman" w:cs="Times New Roman"/>
          <w:color w:val="000000" w:themeColor="text1"/>
        </w:rPr>
      </w:pPr>
      <w:r w:rsidRPr="004A5029">
        <w:rPr>
          <w:rFonts w:ascii="Times New Roman" w:eastAsia="Times New Roman" w:hAnsi="Times New Roman" w:cs="Times New Roman"/>
          <w:i/>
          <w:iCs/>
          <w:color w:val="000000" w:themeColor="text1"/>
        </w:rPr>
        <w:t>Principio del risultato.</w:t>
      </w:r>
    </w:p>
    <w:p w14:paraId="7541321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stazioni appaltanti e gli enti concedenti perseguono il risultato dell’affidamento del contratto e della sua esecuzione con la massima tempestività e il migliore rapporto possibile tra qualità e prezzo, nel rispetto dei principi di legalità, trasparenza e concorrenza.</w:t>
      </w:r>
    </w:p>
    <w:p w14:paraId="18239C74" w14:textId="40A72ED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La concorrenza tra gli operatori economici è funzionale a conseguire il miglior risultato possibile nell’affidare ed eseguire i contratti. La trasparenza è funzionale alla massima semplicità e celerità nella corretta applicazione delle regole del </w:t>
      </w:r>
      <w:r w:rsidRPr="004A5029">
        <w:rPr>
          <w:rFonts w:ascii="Times New Roman" w:hAnsi="Times New Roman" w:cs="Times New Roman"/>
          <w:b/>
          <w:bCs/>
          <w:strike/>
          <w:color w:val="000000" w:themeColor="text1"/>
        </w:rPr>
        <w:t>codice</w:t>
      </w:r>
      <w:r w:rsidRPr="004A5029">
        <w:rPr>
          <w:rFonts w:ascii="Times New Roman" w:hAnsi="Times New Roman" w:cs="Times New Roman"/>
          <w:b/>
          <w:bCs/>
          <w:color w:val="000000" w:themeColor="text1"/>
        </w:rPr>
        <w:t xml:space="preserve"> </w:t>
      </w:r>
      <w:r w:rsidR="00B17435" w:rsidRPr="004A5029">
        <w:rPr>
          <w:rFonts w:ascii="Times New Roman" w:hAnsi="Times New Roman" w:cs="Times New Roman"/>
          <w:b/>
          <w:bCs/>
          <w:color w:val="000000" w:themeColor="text1"/>
        </w:rPr>
        <w:t>presente decreto, di seguito denominato «codice»</w:t>
      </w:r>
      <w:r w:rsidR="00B17435"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e ne assicura la piena verificabilità.</w:t>
      </w:r>
    </w:p>
    <w:p w14:paraId="11FA9C8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principio del risultato costituisce attuazione, nel settore dei contratti pubblici, del principio del buon andamento e dei correlati principi di efficienza, efficacia ed economicità. Esso è perseguito nell’interesse della comunità e per il raggiungimento degli obiettivi dell’Unione europea.</w:t>
      </w:r>
    </w:p>
    <w:p w14:paraId="1205FFC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Il principio del risultato costituisce criterio prioritario per l’esercizio del potere discrezionale e per l’individuazione della regola del caso concreto, nonché per:</w:t>
      </w:r>
    </w:p>
    <w:p w14:paraId="095486EC" w14:textId="77777777" w:rsidR="00F47850"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valutare la responsabilità del personale che svolge funzioni amministrative o tecniche nelle fasi di programmazione, progettazione, affidamento ed esecuzione dei contratti;</w:t>
      </w:r>
    </w:p>
    <w:p w14:paraId="2483412D" w14:textId="7CD16D21" w:rsidR="00446F27"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attribuire gli incentivi secondo le modalità previste dalla contrattazione collettiva.</w:t>
      </w:r>
    </w:p>
    <w:p w14:paraId="5F96A722" w14:textId="77777777" w:rsidR="00446F27" w:rsidRPr="004A5029" w:rsidRDefault="00446F27" w:rsidP="00446F27">
      <w:pPr>
        <w:rPr>
          <w:rFonts w:ascii="Times New Roman" w:hAnsi="Times New Roman" w:cs="Times New Roman"/>
          <w:color w:val="000000" w:themeColor="text1"/>
        </w:rPr>
      </w:pPr>
    </w:p>
    <w:p w14:paraId="7C88C39A" w14:textId="77777777" w:rsidR="00446F27" w:rsidRPr="004A5029" w:rsidRDefault="00446F27" w:rsidP="00446F27">
      <w:pPr>
        <w:jc w:val="both"/>
        <w:rPr>
          <w:rFonts w:ascii="Times New Roman" w:hAnsi="Times New Roman" w:cs="Times New Roman"/>
          <w:color w:val="000000" w:themeColor="text1"/>
        </w:rPr>
      </w:pPr>
      <w:bookmarkStart w:id="3" w:name="_Toc112864103"/>
      <w:r w:rsidRPr="004A5029">
        <w:rPr>
          <w:rFonts w:ascii="Times New Roman" w:hAnsi="Times New Roman" w:cs="Times New Roman"/>
          <w:b/>
          <w:bCs/>
          <w:color w:val="000000" w:themeColor="text1"/>
        </w:rPr>
        <w:t>Articolo 2.</w:t>
      </w:r>
    </w:p>
    <w:p w14:paraId="0EAAEC9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Principio della fiducia</w:t>
      </w:r>
      <w:bookmarkEnd w:id="3"/>
      <w:r w:rsidRPr="004A5029">
        <w:rPr>
          <w:rFonts w:ascii="Times New Roman" w:hAnsi="Times New Roman" w:cs="Times New Roman"/>
          <w:i/>
          <w:iCs/>
          <w:color w:val="000000" w:themeColor="text1"/>
        </w:rPr>
        <w:t>.</w:t>
      </w:r>
    </w:p>
    <w:p w14:paraId="0835F9E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L’attribuzione e l’esercizio del potere nel settore dei contratti pubblici si fonda sul principio della reciproca fiducia nell’azione legittima, trasparente e corretta dell’amministrazione, dei suoi funzionari e degli operatori economici.</w:t>
      </w:r>
    </w:p>
    <w:p w14:paraId="2415205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Il principio della fiducia favorisce e valorizza l’iniziativa e l’autonomia decisionale dei funzionari pubblici, con particolare riferimento alle valutazioni e alle scelte per l’acquisizione e l’esecuzione delle prestazioni secondo il principio del risultato.</w:t>
      </w:r>
    </w:p>
    <w:p w14:paraId="2FEE956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Nell’ambito delle attività svolte nelle fasi di programmazione, progettazione, affidamento ed esecuzione dei contratti, ai fini della responsabilità amministrativa costituisce colpa grave la violazione di norme di </w:t>
      </w:r>
      <w:r w:rsidRPr="004A5029">
        <w:rPr>
          <w:rFonts w:ascii="Times New Roman" w:hAnsi="Times New Roman" w:cs="Times New Roman"/>
          <w:bCs/>
          <w:color w:val="000000" w:themeColor="text1"/>
        </w:rPr>
        <w:lastRenderedPageBreak/>
        <w:t>diritto e degli auto-vincoli amministrativi, nonché la palese violazione di regole di prudenza, perizia e diligenza e l’omissione delle cautele, verifiche ed informazioni preventive normalmente richieste nell’attività amministrativa, in quanto esigibili nei confronti dell’agente pubblico in base alle specifiche competenze e in relazione al caso concreto. Non costituisce colpa grave la violazione o l’omissione determinata dal riferimento a indirizzi giurisprudenziali prevalenti o a pareri delle autorità competenti.</w:t>
      </w:r>
    </w:p>
    <w:p w14:paraId="74630590" w14:textId="77777777" w:rsidR="00446F27" w:rsidRPr="004A5029" w:rsidRDefault="00446F27" w:rsidP="00446F27">
      <w:pPr>
        <w:jc w:val="both"/>
        <w:rPr>
          <w:rStyle w:val="normaltextrun"/>
          <w:rFonts w:ascii="Times New Roman" w:hAnsi="Times New Roman" w:cs="Times New Roman"/>
          <w:bCs/>
          <w:color w:val="000000" w:themeColor="text1"/>
        </w:rPr>
      </w:pPr>
      <w:r w:rsidRPr="004A5029">
        <w:rPr>
          <w:rFonts w:ascii="Times New Roman" w:hAnsi="Times New Roman" w:cs="Times New Roman"/>
          <w:bCs/>
          <w:color w:val="000000" w:themeColor="text1"/>
        </w:rPr>
        <w:t>4. Per promuovere la fiducia nell’azione legittima, trasparente e corretta dell’amministrazione, le stazioni appaltanti e gli enti concedenti adottano azioni per la copertura assicurativa dei rischi per il personale, nonché per riqualificare le stazioni appaltanti e per rafforzare e dare valore alle capacità professionali dei dipendenti, compresi i piani di formazione di cui all’articolo 15, comma 7.</w:t>
      </w:r>
    </w:p>
    <w:p w14:paraId="5B95CD12" w14:textId="77777777" w:rsidR="00446F27" w:rsidRPr="004A5029" w:rsidRDefault="00446F27" w:rsidP="00446F27">
      <w:pPr>
        <w:rPr>
          <w:rFonts w:ascii="Times New Roman" w:hAnsi="Times New Roman" w:cs="Times New Roman"/>
          <w:color w:val="000000" w:themeColor="text1"/>
        </w:rPr>
      </w:pPr>
    </w:p>
    <w:p w14:paraId="691A20B8" w14:textId="77777777" w:rsidR="00446F27" w:rsidRPr="004A5029" w:rsidRDefault="00446F27" w:rsidP="00446F27">
      <w:pPr>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3.</w:t>
      </w:r>
    </w:p>
    <w:p w14:paraId="5DCEAAD8" w14:textId="77777777" w:rsidR="00446F27" w:rsidRPr="004A5029" w:rsidRDefault="00446F27" w:rsidP="00446F27">
      <w:pPr>
        <w:rPr>
          <w:rFonts w:ascii="Times New Roman" w:hAnsi="Times New Roman" w:cs="Times New Roman"/>
          <w:i/>
          <w:color w:val="000000" w:themeColor="text1"/>
        </w:rPr>
      </w:pPr>
      <w:r w:rsidRPr="004A5029">
        <w:rPr>
          <w:rFonts w:ascii="Times New Roman" w:hAnsi="Times New Roman" w:cs="Times New Roman"/>
          <w:i/>
          <w:color w:val="000000" w:themeColor="text1"/>
        </w:rPr>
        <w:t>Principio dell’accesso al mercato.</w:t>
      </w:r>
    </w:p>
    <w:p w14:paraId="2D3DDFF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 stazioni appaltanti e gli enti concedenti favoriscono, secondo le modalità indicate dal codice, l’accesso al mercato degli operatori economici nel rispetto dei principi di concorrenza, di imparzialità, di non discriminazione, di pubblicità e trasparenza, di proporzionalità.</w:t>
      </w:r>
    </w:p>
    <w:p w14:paraId="5220BBB2" w14:textId="77777777" w:rsidR="00446F27" w:rsidRPr="004A5029" w:rsidRDefault="00446F27" w:rsidP="00446F27">
      <w:pPr>
        <w:jc w:val="both"/>
        <w:rPr>
          <w:rFonts w:ascii="Times New Roman" w:hAnsi="Times New Roman" w:cs="Times New Roman"/>
          <w:color w:val="000000" w:themeColor="text1"/>
          <w:highlight w:val="cyan"/>
        </w:rPr>
      </w:pPr>
    </w:p>
    <w:p w14:paraId="4DA79971"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4</w:t>
      </w:r>
      <w:r w:rsidRPr="004A5029">
        <w:rPr>
          <w:rFonts w:ascii="Times New Roman" w:eastAsia="Times New Roman" w:hAnsi="Times New Roman" w:cs="Times New Roman"/>
          <w:b/>
          <w:bCs/>
          <w:i/>
          <w:color w:val="000000" w:themeColor="text1"/>
        </w:rPr>
        <w:t>.</w:t>
      </w:r>
    </w:p>
    <w:p w14:paraId="6AB0DE33" w14:textId="77777777" w:rsidR="00446F27" w:rsidRPr="004A5029" w:rsidRDefault="00446F27" w:rsidP="00446F27">
      <w:pPr>
        <w:rPr>
          <w:rFonts w:ascii="Times New Roman" w:hAnsi="Times New Roman" w:cs="Times New Roman"/>
          <w:i/>
          <w:color w:val="000000" w:themeColor="text1"/>
        </w:rPr>
      </w:pPr>
      <w:r w:rsidRPr="004A5029">
        <w:rPr>
          <w:rFonts w:ascii="Times New Roman" w:hAnsi="Times New Roman" w:cs="Times New Roman"/>
          <w:i/>
          <w:color w:val="000000" w:themeColor="text1"/>
        </w:rPr>
        <w:t>Criterio interpretativo e applicativo.</w:t>
      </w:r>
    </w:p>
    <w:p w14:paraId="018B630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 disposizioni del codice si interpretano e si applicano in base ai principi di cui agli articoli 1, 2 e 3.</w:t>
      </w:r>
    </w:p>
    <w:p w14:paraId="13CB595B" w14:textId="77777777" w:rsidR="00446F27" w:rsidRPr="004A5029" w:rsidRDefault="00446F27" w:rsidP="00446F27">
      <w:pPr>
        <w:rPr>
          <w:rFonts w:ascii="Times New Roman" w:hAnsi="Times New Roman" w:cs="Times New Roman"/>
          <w:color w:val="000000" w:themeColor="text1"/>
        </w:rPr>
      </w:pPr>
    </w:p>
    <w:p w14:paraId="4A6B1698"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5.</w:t>
      </w:r>
    </w:p>
    <w:p w14:paraId="23488C3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Principi di buona fede e di tutela dell’affidamento.</w:t>
      </w:r>
    </w:p>
    <w:p w14:paraId="5994C479" w14:textId="77777777"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1. Nella procedura di gara le stazioni appaltanti, gli enti concedenti e gli operatori economici si comportano reciprocamente nel rispetto dei principi di buona fede e di tutela dell’affidamento.</w:t>
      </w:r>
    </w:p>
    <w:p w14:paraId="146BD58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Nell’ambito del procedimento di gara, anche prima dell’aggiudicazione, sussiste un affidamento dell’operatore economico sul legittimo esercizio del potere e sulla conformità del comportamento amministrativo al principio di buona fede. </w:t>
      </w:r>
    </w:p>
    <w:p w14:paraId="06A9FA5E"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In caso di aggiudicazione annullata su ricorso di terzi o in autotutela, l’affidamento non si considera incolpevole se l’illegittimità è agevolmente </w:t>
      </w:r>
      <w:r w:rsidRPr="004A5029">
        <w:rPr>
          <w:rFonts w:ascii="Times New Roman" w:eastAsia="Calibri" w:hAnsi="Times New Roman" w:cs="Times New Roman"/>
          <w:bCs/>
          <w:color w:val="000000" w:themeColor="text1"/>
        </w:rPr>
        <w:t>rilevabile in base alla diligenza professionale richiesta ai concorrenti</w:t>
      </w:r>
      <w:r w:rsidRPr="004A5029">
        <w:rPr>
          <w:rFonts w:ascii="Times New Roman" w:hAnsi="Times New Roman" w:cs="Times New Roman"/>
          <w:bCs/>
          <w:color w:val="000000" w:themeColor="text1"/>
        </w:rPr>
        <w:t>. Nei casi in cui non spetta l’aggiudicazione, il danno da lesione dell’affidamento è limitato ai pregiudizi economici effettivamente subiti e provati, derivanti dall’interferenza del comportamento scorretto sulle scelte contrattuali dell’operatore economico.</w:t>
      </w:r>
    </w:p>
    <w:p w14:paraId="535A9A95" w14:textId="77777777" w:rsidR="00446F27" w:rsidRPr="004A5029" w:rsidRDefault="00446F27" w:rsidP="00446F27">
      <w:pPr>
        <w:pStyle w:val="Paragrafoelenco"/>
        <w:ind w:left="0"/>
        <w:contextualSpacing w:val="0"/>
        <w:jc w:val="both"/>
        <w:rPr>
          <w:rStyle w:val="normaltextrun"/>
          <w:rFonts w:ascii="Times New Roman" w:hAnsi="Times New Roman" w:cs="Times New Roman"/>
          <w:bCs/>
          <w:i/>
          <w:iCs/>
          <w:color w:val="000000" w:themeColor="text1"/>
          <w:shd w:val="clear" w:color="auto" w:fill="FFFFFF"/>
        </w:rPr>
      </w:pPr>
      <w:r w:rsidRPr="004A5029">
        <w:rPr>
          <w:rFonts w:ascii="Times New Roman" w:hAnsi="Times New Roman" w:cs="Times New Roman"/>
          <w:bCs/>
          <w:color w:val="000000" w:themeColor="text1"/>
        </w:rPr>
        <w:t>4. Ai fini dell’azione di rivalsa della stazione appaltante o dell’ente concedente condannati al risarcimento del danno a favore del terzo pretermesso, resta ferma la concorrente responsabilità dell’operatore economico che ha conseguito l’aggiudicazione illegittima con un comportamento illecito.</w:t>
      </w:r>
    </w:p>
    <w:p w14:paraId="6D9C8D39" w14:textId="77777777" w:rsidR="00446F27" w:rsidRPr="004A5029" w:rsidRDefault="00446F27" w:rsidP="00446F27">
      <w:pPr>
        <w:jc w:val="both"/>
        <w:rPr>
          <w:rFonts w:ascii="Times New Roman" w:hAnsi="Times New Roman" w:cs="Times New Roman"/>
          <w:color w:val="000000" w:themeColor="text1"/>
        </w:rPr>
      </w:pPr>
    </w:p>
    <w:p w14:paraId="10EDCB2C" w14:textId="77777777" w:rsidR="00446F27" w:rsidRPr="004A5029" w:rsidRDefault="00446F27" w:rsidP="00446F27">
      <w:pPr>
        <w:jc w:val="both"/>
        <w:rPr>
          <w:rFonts w:ascii="Times New Roman" w:eastAsiaTheme="majorEastAsia" w:hAnsi="Times New Roman" w:cs="Times New Roman"/>
          <w:color w:val="000000" w:themeColor="text1"/>
        </w:rPr>
      </w:pPr>
      <w:bookmarkStart w:id="4" w:name="_Toc112864107"/>
      <w:r w:rsidRPr="004A5029">
        <w:rPr>
          <w:rFonts w:ascii="Times New Roman" w:eastAsiaTheme="majorEastAsia" w:hAnsi="Times New Roman" w:cs="Times New Roman"/>
          <w:b/>
          <w:color w:val="000000" w:themeColor="text1"/>
        </w:rPr>
        <w:t>Articolo</w:t>
      </w:r>
      <w:r w:rsidRPr="004A5029">
        <w:rPr>
          <w:rFonts w:ascii="Times New Roman" w:eastAsiaTheme="majorEastAsia" w:hAnsi="Times New Roman" w:cs="Times New Roman"/>
          <w:b/>
          <w:bCs/>
          <w:color w:val="000000" w:themeColor="text1"/>
        </w:rPr>
        <w:t xml:space="preserve"> 6</w:t>
      </w:r>
      <w:r w:rsidRPr="004A5029">
        <w:rPr>
          <w:rFonts w:ascii="Times New Roman" w:eastAsiaTheme="majorEastAsia" w:hAnsi="Times New Roman" w:cs="Times New Roman"/>
          <w:color w:val="000000" w:themeColor="text1"/>
        </w:rPr>
        <w:t>.</w:t>
      </w:r>
    </w:p>
    <w:p w14:paraId="7466C0C4"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eastAsiaTheme="majorEastAsia" w:hAnsi="Times New Roman" w:cs="Times New Roman"/>
          <w:i/>
          <w:color w:val="000000" w:themeColor="text1"/>
        </w:rPr>
        <w:t>Principi di solidarietà e di sussidiarietà orizzontale. Rapporti con gli enti del Terzo settore</w:t>
      </w:r>
      <w:bookmarkEnd w:id="4"/>
      <w:r w:rsidRPr="004A5029">
        <w:rPr>
          <w:rFonts w:ascii="Times New Roman" w:hAnsi="Times New Roman" w:cs="Times New Roman"/>
          <w:i/>
          <w:color w:val="000000" w:themeColor="text1"/>
        </w:rPr>
        <w:t>.</w:t>
      </w:r>
    </w:p>
    <w:p w14:paraId="74603E27" w14:textId="1A31253E" w:rsidR="004A2AF5" w:rsidRPr="004A5029" w:rsidRDefault="00446F27" w:rsidP="004A2AF5">
      <w:pPr>
        <w:pStyle w:val="Paragrafoelenco"/>
        <w:ind w:left="0"/>
        <w:jc w:val="both"/>
        <w:rPr>
          <w:rFonts w:ascii="Times New Roman" w:eastAsia="Calibri" w:hAnsi="Times New Roman" w:cs="Times New Roman"/>
          <w:b/>
          <w:color w:val="000000" w:themeColor="text1"/>
          <w:kern w:val="2"/>
          <w:shd w:val="clear" w:color="auto" w:fill="FFFFFF"/>
          <w14:ligatures w14:val="standardContextual"/>
        </w:rPr>
      </w:pPr>
      <w:r w:rsidRPr="004A5029">
        <w:rPr>
          <w:rFonts w:ascii="Times New Roman" w:hAnsi="Times New Roman" w:cs="Times New Roman"/>
          <w:color w:val="000000" w:themeColor="text1"/>
        </w:rPr>
        <w:lastRenderedPageBreak/>
        <w:t>1.</w:t>
      </w:r>
      <w:r w:rsidR="004A2AF5" w:rsidRPr="004A5029">
        <w:rPr>
          <w:rFonts w:ascii="Times New Roman" w:eastAsia="Calibri" w:hAnsi="Times New Roman" w:cs="Times New Roman"/>
          <w:i/>
          <w:iCs/>
          <w:color w:val="000000" w:themeColor="text1"/>
          <w:kern w:val="2"/>
          <w:sz w:val="24"/>
          <w:szCs w:val="24"/>
          <w14:ligatures w14:val="standardContextual"/>
        </w:rPr>
        <w:t xml:space="preserve"> </w:t>
      </w:r>
      <w:r w:rsidR="004A2AF5" w:rsidRPr="004A5029">
        <w:rPr>
          <w:rFonts w:ascii="Times New Roman" w:eastAsia="Calibri" w:hAnsi="Times New Roman" w:cs="Times New Roman"/>
          <w:color w:val="000000" w:themeColor="text1"/>
          <w:kern w:val="2"/>
          <w14:ligatures w14:val="standardContextual"/>
        </w:rPr>
        <w:t xml:space="preserve">In attuazione dei principi di solidarietà sociale e di sussidiarietà orizzontale, la pubblica amministrazione può apprestare, in relazione ad attività a spiccata valenza sociale, modelli organizzativi di </w:t>
      </w:r>
      <w:r w:rsidR="004A2AF5" w:rsidRPr="004A5029">
        <w:rPr>
          <w:rFonts w:ascii="Times New Roman" w:eastAsia="Calibri" w:hAnsi="Times New Roman" w:cs="Times New Roman"/>
          <w:b/>
          <w:bCs/>
          <w:color w:val="000000" w:themeColor="text1"/>
          <w:kern w:val="2"/>
          <w14:ligatures w14:val="standardContextual"/>
        </w:rPr>
        <w:t>amministrazione condivisa</w:t>
      </w:r>
      <w:r w:rsidR="004A2AF5" w:rsidRPr="004A5029">
        <w:rPr>
          <w:rFonts w:ascii="Times New Roman" w:eastAsia="Calibri" w:hAnsi="Times New Roman" w:cs="Times New Roman"/>
          <w:color w:val="000000" w:themeColor="text1"/>
          <w:kern w:val="2"/>
          <w14:ligatures w14:val="standardContextual"/>
        </w:rPr>
        <w:t xml:space="preserve">, privi di rapporti sinallagmatici, fondati sulla condivisione della funzione amministrativa con </w:t>
      </w:r>
      <w:r w:rsidR="004A2AF5" w:rsidRPr="004A5029">
        <w:rPr>
          <w:rFonts w:ascii="Times New Roman" w:eastAsia="Calibri" w:hAnsi="Times New Roman" w:cs="Times New Roman"/>
          <w:b/>
          <w:bCs/>
          <w:strike/>
          <w:color w:val="000000" w:themeColor="text1"/>
          <w:kern w:val="2"/>
          <w14:ligatures w14:val="standardContextual"/>
        </w:rPr>
        <w:t>i privati, sempre che</w:t>
      </w:r>
      <w:r w:rsidR="004A2AF5" w:rsidRPr="004A5029">
        <w:rPr>
          <w:rFonts w:ascii="Times New Roman" w:eastAsia="Calibri" w:hAnsi="Times New Roman" w:cs="Times New Roman"/>
          <w:b/>
          <w:bCs/>
          <w:color w:val="000000" w:themeColor="text1"/>
          <w:kern w:val="2"/>
          <w14:ligatures w14:val="standardContextual"/>
        </w:rPr>
        <w:t xml:space="preserve"> </w:t>
      </w:r>
      <w:r w:rsidR="004A2AF5" w:rsidRPr="004A5029">
        <w:rPr>
          <w:rFonts w:ascii="Times New Roman" w:eastAsia="Calibri" w:hAnsi="Times New Roman" w:cs="Times New Roman"/>
          <w:color w:val="000000" w:themeColor="text1"/>
          <w:kern w:val="2"/>
          <w14:ligatures w14:val="standardContextual"/>
        </w:rPr>
        <w:t>gli enti del Terzo settore</w:t>
      </w:r>
      <w:r w:rsidR="004A2AF5" w:rsidRPr="004A5029">
        <w:rPr>
          <w:rFonts w:ascii="Times New Roman" w:eastAsia="Calibri" w:hAnsi="Times New Roman" w:cs="Times New Roman"/>
          <w:b/>
          <w:bCs/>
          <w:color w:val="000000" w:themeColor="text1"/>
          <w:kern w:val="2"/>
          <w14:ligatures w14:val="standardContextual"/>
        </w:rPr>
        <w:t xml:space="preserve"> di cui al </w:t>
      </w:r>
      <w:r w:rsidR="004A2AF5" w:rsidRPr="004A5029">
        <w:rPr>
          <w:rFonts w:ascii="Times New Roman" w:eastAsia="Calibri" w:hAnsi="Times New Roman" w:cs="Times New Roman"/>
          <w:b/>
          <w:bCs/>
          <w:color w:val="000000" w:themeColor="text1"/>
          <w:kern w:val="2"/>
          <w:shd w:val="clear" w:color="auto" w:fill="FFFFFF"/>
          <w14:ligatures w14:val="standardContextual"/>
        </w:rPr>
        <w:t>codice del Terzo settore di cui al</w:t>
      </w:r>
      <w:r w:rsidR="004A2AF5" w:rsidRPr="004A5029">
        <w:rPr>
          <w:rFonts w:ascii="Times New Roman" w:eastAsia="Calibri" w:hAnsi="Times New Roman" w:cs="Times New Roman"/>
          <w:b/>
          <w:bCs/>
          <w:color w:val="000000" w:themeColor="text1"/>
          <w:kern w:val="2"/>
          <w14:ligatures w14:val="standardContextual"/>
        </w:rPr>
        <w:t xml:space="preserve"> decreto legislativo 3 luglio 2017, n. 117, sempre che gli stessi </w:t>
      </w:r>
      <w:r w:rsidR="004A2AF5" w:rsidRPr="004A5029">
        <w:rPr>
          <w:rFonts w:ascii="Times New Roman" w:eastAsia="Calibri" w:hAnsi="Times New Roman" w:cs="Times New Roman"/>
          <w:b/>
          <w:bCs/>
          <w:strike/>
          <w:color w:val="000000" w:themeColor="text1"/>
          <w:kern w:val="2"/>
          <w14:ligatures w14:val="standardContextual"/>
        </w:rPr>
        <w:t>i quali</w:t>
      </w:r>
      <w:r w:rsidR="004A2AF5" w:rsidRPr="004A5029">
        <w:rPr>
          <w:rFonts w:ascii="Times New Roman" w:eastAsia="Calibri" w:hAnsi="Times New Roman" w:cs="Times New Roman"/>
          <w:b/>
          <w:bCs/>
          <w:color w:val="000000" w:themeColor="text1"/>
          <w:kern w:val="2"/>
          <w14:ligatures w14:val="standardContextual"/>
        </w:rPr>
        <w:t xml:space="preserve"> </w:t>
      </w:r>
      <w:r w:rsidR="004A2AF5" w:rsidRPr="004A5029">
        <w:rPr>
          <w:rFonts w:ascii="Times New Roman" w:eastAsia="Calibri" w:hAnsi="Times New Roman" w:cs="Times New Roman"/>
          <w:color w:val="000000" w:themeColor="text1"/>
          <w:kern w:val="2"/>
          <w14:ligatures w14:val="standardContextual"/>
        </w:rPr>
        <w:t xml:space="preserve">contribuiscano al perseguimento delle finalità sociali in condizioni di pari trattamento, in modo effettivo e trasparente e in base al principio del risultato. </w:t>
      </w:r>
      <w:r w:rsidR="004A2AF5" w:rsidRPr="004A5029">
        <w:rPr>
          <w:rFonts w:ascii="Times New Roman" w:eastAsia="Calibri" w:hAnsi="Times New Roman" w:cs="Times New Roman"/>
          <w:bCs/>
          <w:color w:val="000000" w:themeColor="text1"/>
          <w:kern w:val="2"/>
          <w14:ligatures w14:val="standardContextual"/>
        </w:rPr>
        <w:t>N</w:t>
      </w:r>
      <w:r w:rsidR="004A2AF5" w:rsidRPr="004A5029">
        <w:rPr>
          <w:rFonts w:ascii="Times New Roman" w:eastAsia="Calibri" w:hAnsi="Times New Roman" w:cs="Times New Roman"/>
          <w:bCs/>
          <w:color w:val="000000" w:themeColor="text1"/>
          <w:kern w:val="2"/>
          <w:shd w:val="clear" w:color="auto" w:fill="FFFFFF"/>
          <w14:ligatures w14:val="standardContextual"/>
        </w:rPr>
        <w:t xml:space="preserve">on rientrano nel campo di applicazione del presente codice gli istituti disciplinati dal Titolo VII </w:t>
      </w:r>
      <w:r w:rsidR="004A2AF5" w:rsidRPr="004A5029">
        <w:rPr>
          <w:rFonts w:ascii="Times New Roman" w:eastAsia="Calibri" w:hAnsi="Times New Roman" w:cs="Times New Roman"/>
          <w:b/>
          <w:color w:val="000000" w:themeColor="text1"/>
          <w:kern w:val="2"/>
          <w:shd w:val="clear" w:color="auto" w:fill="FFFFFF"/>
          <w14:ligatures w14:val="standardContextual"/>
        </w:rPr>
        <w:t>del codice del Terzo settore</w:t>
      </w:r>
      <w:r w:rsidR="004A2AF5" w:rsidRPr="004A5029">
        <w:rPr>
          <w:rFonts w:ascii="Times New Roman" w:eastAsia="Calibri" w:hAnsi="Times New Roman" w:cs="Times New Roman"/>
          <w:b/>
          <w:color w:val="000000" w:themeColor="text1"/>
          <w:kern w:val="2"/>
          <w14:ligatures w14:val="standardContextual"/>
        </w:rPr>
        <w:t>,</w:t>
      </w:r>
      <w:r w:rsidR="004A2AF5" w:rsidRPr="004A5029">
        <w:rPr>
          <w:rFonts w:ascii="Times New Roman" w:eastAsia="Calibri" w:hAnsi="Times New Roman" w:cs="Times New Roman"/>
          <w:b/>
          <w:color w:val="000000" w:themeColor="text1"/>
          <w:kern w:val="2"/>
          <w:shd w:val="clear" w:color="auto" w:fill="FFFFFF"/>
          <w14:ligatures w14:val="standardContextual"/>
        </w:rPr>
        <w:t xml:space="preserve"> di cui al decreto legislativo </w:t>
      </w:r>
      <w:r w:rsidR="004A2AF5" w:rsidRPr="004A5029">
        <w:rPr>
          <w:rFonts w:ascii="Times New Roman" w:eastAsia="Calibri" w:hAnsi="Times New Roman" w:cs="Times New Roman"/>
          <w:b/>
          <w:strike/>
          <w:color w:val="000000" w:themeColor="text1"/>
          <w:kern w:val="2"/>
          <w:shd w:val="clear" w:color="auto" w:fill="FFFFFF"/>
          <w14:ligatures w14:val="standardContextual"/>
        </w:rPr>
        <w:t xml:space="preserve">3 luglio 2017, </w:t>
      </w:r>
      <w:r w:rsidR="004A2AF5" w:rsidRPr="004A5029">
        <w:rPr>
          <w:rFonts w:ascii="Times New Roman" w:eastAsia="Calibri" w:hAnsi="Times New Roman" w:cs="Times New Roman"/>
          <w:b/>
          <w:color w:val="000000" w:themeColor="text1"/>
          <w:kern w:val="2"/>
          <w:shd w:val="clear" w:color="auto" w:fill="FFFFFF"/>
          <w14:ligatures w14:val="standardContextual"/>
        </w:rPr>
        <w:t>n. 117 del 2017.</w:t>
      </w:r>
    </w:p>
    <w:p w14:paraId="16B82459" w14:textId="2B3D55E8" w:rsidR="00BA4061" w:rsidRPr="004A5029" w:rsidRDefault="00BA4061" w:rsidP="00446F27">
      <w:pPr>
        <w:jc w:val="both"/>
        <w:rPr>
          <w:rFonts w:ascii="Times New Roman" w:hAnsi="Times New Roman" w:cs="Times New Roman"/>
          <w:bCs/>
          <w:strike/>
          <w:color w:val="000000" w:themeColor="text1"/>
        </w:rPr>
      </w:pPr>
    </w:p>
    <w:p w14:paraId="675E05EE" w14:textId="77777777" w:rsidR="00446F27" w:rsidRPr="004A5029" w:rsidRDefault="00446F27" w:rsidP="00446F27">
      <w:pPr>
        <w:rPr>
          <w:rFonts w:ascii="Times New Roman" w:hAnsi="Times New Roman" w:cs="Times New Roman"/>
          <w:bCs/>
          <w:color w:val="000000" w:themeColor="text1"/>
        </w:rPr>
      </w:pPr>
    </w:p>
    <w:p w14:paraId="44EDAD8C"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w:t>
      </w:r>
    </w:p>
    <w:p w14:paraId="2416A1A8" w14:textId="77777777" w:rsidR="00446F27" w:rsidRPr="004A5029" w:rsidRDefault="00446F27" w:rsidP="00446F27">
      <w:pPr>
        <w:jc w:val="both"/>
        <w:rPr>
          <w:rFonts w:ascii="Times New Roman" w:hAnsi="Times New Roman" w:cs="Times New Roman"/>
          <w:i/>
          <w:iCs/>
          <w:color w:val="000000" w:themeColor="text1"/>
        </w:rPr>
      </w:pPr>
      <w:r w:rsidRPr="004A5029">
        <w:rPr>
          <w:rStyle w:val="Titolo1Carattere"/>
          <w:rFonts w:ascii="Times New Roman" w:hAnsi="Times New Roman" w:cs="Times New Roman"/>
          <w:i/>
          <w:color w:val="000000" w:themeColor="text1"/>
          <w:sz w:val="22"/>
          <w:szCs w:val="22"/>
        </w:rPr>
        <w:t>Principio di auto-organizzazione amministrativa</w:t>
      </w:r>
      <w:r w:rsidRPr="004A5029">
        <w:rPr>
          <w:rFonts w:ascii="Times New Roman" w:hAnsi="Times New Roman" w:cs="Times New Roman"/>
          <w:i/>
          <w:iCs/>
          <w:color w:val="000000" w:themeColor="text1"/>
        </w:rPr>
        <w:t>.</w:t>
      </w:r>
    </w:p>
    <w:p w14:paraId="0B3BC841" w14:textId="05DE982B"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1. Le pubbliche amministrazioni organizzano autonomamente l’esecuzione di lavori o la prestazione di beni e servizi attraverso l’auto-produzione, l’esternalizzazione e la cooperazione nel rispetto della disciplina del codice e del diritto dell’Unione</w:t>
      </w:r>
      <w:r w:rsidR="00604CC1" w:rsidRPr="004A5029">
        <w:rPr>
          <w:rFonts w:ascii="Times New Roman" w:hAnsi="Times New Roman" w:cs="Times New Roman"/>
          <w:color w:val="000000" w:themeColor="text1"/>
        </w:rPr>
        <w:t xml:space="preserve"> </w:t>
      </w:r>
      <w:r w:rsidR="00604CC1" w:rsidRPr="004A5029">
        <w:rPr>
          <w:rFonts w:ascii="Times New Roman" w:hAnsi="Times New Roman" w:cs="Times New Roman"/>
          <w:b/>
          <w:bCs/>
          <w:color w:val="000000" w:themeColor="text1"/>
        </w:rPr>
        <w:t>europea</w:t>
      </w:r>
      <w:r w:rsidRPr="004A5029">
        <w:rPr>
          <w:rFonts w:ascii="Times New Roman" w:hAnsi="Times New Roman" w:cs="Times New Roman"/>
          <w:color w:val="000000" w:themeColor="text1"/>
        </w:rPr>
        <w:t>.</w:t>
      </w:r>
    </w:p>
    <w:p w14:paraId="4096FE4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w:t>
      </w:r>
      <w:r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Le stazioni appaltanti e gli enti concedenti possono affidare direttamente a società </w:t>
      </w:r>
      <w:r w:rsidRPr="004A5029">
        <w:rPr>
          <w:rFonts w:ascii="Times New Roman" w:eastAsia="Calibri" w:hAnsi="Times New Roman" w:cs="Times New Roman"/>
          <w:bCs/>
          <w:i/>
          <w:iCs/>
          <w:color w:val="000000" w:themeColor="text1"/>
        </w:rPr>
        <w:t xml:space="preserve">in house </w:t>
      </w:r>
      <w:r w:rsidRPr="004A5029">
        <w:rPr>
          <w:rFonts w:ascii="Times New Roman" w:eastAsia="Calibri" w:hAnsi="Times New Roman" w:cs="Times New Roman"/>
          <w:bCs/>
          <w:color w:val="000000" w:themeColor="text1"/>
        </w:rPr>
        <w:t xml:space="preserve">lavori, servizi o forniture, nel rispetto dei principi di cui agli articoli 1, 2 e 3. Le stazioni appaltanti e gli enti concedenti adottano per ciascun affidamento un provvedimento motivato in cui danno conto dei vantaggi </w:t>
      </w:r>
      <w:r w:rsidRPr="004A5029">
        <w:rPr>
          <w:rFonts w:ascii="Times New Roman" w:eastAsia="Calibri" w:hAnsi="Times New Roman" w:cs="Times New Roman"/>
          <w:color w:val="000000" w:themeColor="text1"/>
        </w:rPr>
        <w:t>per la collettività</w:t>
      </w:r>
      <w:r w:rsidRPr="004A5029">
        <w:rPr>
          <w:rFonts w:ascii="Times New Roman" w:eastAsia="Calibri" w:hAnsi="Times New Roman" w:cs="Times New Roman"/>
          <w:bCs/>
          <w:color w:val="000000" w:themeColor="text1"/>
        </w:rPr>
        <w:t>, delle connesse esternalità e della congruità economica</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della prestazione, anche in relazione al perseguimento di </w:t>
      </w:r>
      <w:r w:rsidRPr="004A5029">
        <w:rPr>
          <w:rFonts w:ascii="Times New Roman" w:eastAsia="Calibri" w:hAnsi="Times New Roman" w:cs="Times New Roman"/>
          <w:color w:val="000000" w:themeColor="text1"/>
        </w:rPr>
        <w:t>obiettivi</w:t>
      </w:r>
      <w:r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color w:val="000000" w:themeColor="text1"/>
        </w:rPr>
        <w:t xml:space="preserve">di universalità, socialità, efficienza, economicità, qualità </w:t>
      </w:r>
      <w:r w:rsidRPr="004A5029">
        <w:rPr>
          <w:rFonts w:ascii="Times New Roman" w:eastAsia="Calibri" w:hAnsi="Times New Roman" w:cs="Times New Roman"/>
          <w:bCs/>
          <w:color w:val="000000" w:themeColor="text1"/>
        </w:rPr>
        <w:t xml:space="preserve">della prestazione, celerità del procedimento e razionale </w:t>
      </w:r>
      <w:r w:rsidRPr="004A5029">
        <w:rPr>
          <w:rFonts w:ascii="Times New Roman" w:eastAsia="Calibri" w:hAnsi="Times New Roman" w:cs="Times New Roman"/>
          <w:color w:val="000000" w:themeColor="text1"/>
        </w:rPr>
        <w:t>impiego di risorse pubbliche</w:t>
      </w:r>
      <w:r w:rsidRPr="004A5029">
        <w:rPr>
          <w:rFonts w:ascii="Times New Roman" w:eastAsia="Calibri" w:hAnsi="Times New Roman" w:cs="Times New Roman"/>
          <w:bCs/>
          <w:color w:val="000000" w:themeColor="text1"/>
        </w:rPr>
        <w:t xml:space="preserve">. In caso di prestazioni strumentali, il provvedimento si intende sufficientemente motivato qualora dia conto dei vantaggi in termini di economicità, di celerità o di perseguimento di interessi strategici. I vantaggi di economicità possono emergere anche mediante la comparazione con gli standard di riferimento della società Consip S.p.a. e delle altre centrali di committenza, con i parametri ufficiali elaborati da altri enti regionali nazionali o esteri oppure, in mancanza, con gli </w:t>
      </w:r>
      <w:r w:rsidRPr="004A5029">
        <w:rPr>
          <w:rFonts w:ascii="Times New Roman" w:eastAsia="Calibri" w:hAnsi="Times New Roman" w:cs="Times New Roman"/>
          <w:bCs/>
          <w:i/>
          <w:color w:val="000000" w:themeColor="text1"/>
        </w:rPr>
        <w:t>standard</w:t>
      </w:r>
      <w:r w:rsidRPr="004A5029">
        <w:rPr>
          <w:rFonts w:ascii="Times New Roman" w:eastAsia="Calibri" w:hAnsi="Times New Roman" w:cs="Times New Roman"/>
          <w:bCs/>
          <w:color w:val="000000" w:themeColor="text1"/>
        </w:rPr>
        <w:t xml:space="preserve"> di mercato</w:t>
      </w:r>
      <w:r w:rsidRPr="004A5029">
        <w:rPr>
          <w:rFonts w:ascii="Times New Roman" w:hAnsi="Times New Roman" w:cs="Times New Roman"/>
          <w:bCs/>
          <w:color w:val="000000" w:themeColor="text1"/>
        </w:rPr>
        <w:t>.</w:t>
      </w:r>
    </w:p>
    <w:p w14:paraId="53321A67" w14:textId="6F0CF6C2" w:rsidR="00446F27" w:rsidRPr="004A5029" w:rsidRDefault="00446F27" w:rsidP="00446F27">
      <w:pPr>
        <w:jc w:val="both"/>
        <w:rPr>
          <w:rFonts w:ascii="Times New Roman" w:hAnsi="Times New Roman" w:cs="Times New Roman"/>
          <w:b/>
          <w:color w:val="000000" w:themeColor="text1"/>
        </w:rPr>
      </w:pPr>
      <w:r w:rsidRPr="004A5029">
        <w:rPr>
          <w:rFonts w:ascii="Times New Roman" w:eastAsia="Calibri" w:hAnsi="Times New Roman" w:cs="Times New Roman"/>
          <w:bCs/>
          <w:color w:val="000000" w:themeColor="text1"/>
        </w:rPr>
        <w:t xml:space="preserve">3. L’affidamento </w:t>
      </w:r>
      <w:r w:rsidRPr="004A5029">
        <w:rPr>
          <w:rFonts w:ascii="Times New Roman" w:eastAsia="Calibri" w:hAnsi="Times New Roman" w:cs="Times New Roman"/>
          <w:bCs/>
          <w:i/>
          <w:iCs/>
          <w:color w:val="000000" w:themeColor="text1"/>
        </w:rPr>
        <w:t>in house</w:t>
      </w:r>
      <w:r w:rsidRPr="004A5029">
        <w:rPr>
          <w:rFonts w:ascii="Times New Roman" w:eastAsia="Calibri" w:hAnsi="Times New Roman" w:cs="Times New Roman"/>
          <w:bCs/>
          <w:color w:val="000000" w:themeColor="text1"/>
        </w:rPr>
        <w:t xml:space="preserve"> di servizi di interesse economico generale di livello locale è disciplinato dal decreto legislativo </w:t>
      </w:r>
      <w:r w:rsidR="00604CC1" w:rsidRPr="004A5029">
        <w:rPr>
          <w:rFonts w:ascii="Times New Roman" w:eastAsia="Calibri" w:hAnsi="Times New Roman" w:cs="Times New Roman"/>
          <w:b/>
          <w:color w:val="000000" w:themeColor="text1"/>
        </w:rPr>
        <w:t>23 dicembre 2022, n. 201</w:t>
      </w:r>
      <w:r w:rsidR="004A2AF5" w:rsidRPr="004A5029">
        <w:rPr>
          <w:rFonts w:ascii="Times New Roman" w:eastAsia="Calibri" w:hAnsi="Times New Roman" w:cs="Times New Roman"/>
          <w:b/>
          <w:color w:val="000000" w:themeColor="text1"/>
        </w:rPr>
        <w:t xml:space="preserve"> </w:t>
      </w:r>
      <w:r w:rsidRPr="004A5029">
        <w:rPr>
          <w:rFonts w:ascii="Times New Roman" w:eastAsia="Calibri" w:hAnsi="Times New Roman" w:cs="Times New Roman"/>
          <w:b/>
          <w:strike/>
          <w:color w:val="000000" w:themeColor="text1"/>
        </w:rPr>
        <w:t>attuativo della delega di cui all’articolo 8 della legge 5 agosto 2022, n. 118</w:t>
      </w:r>
      <w:r w:rsidRPr="004A5029">
        <w:rPr>
          <w:rFonts w:ascii="Times New Roman" w:eastAsia="Calibri" w:hAnsi="Times New Roman" w:cs="Times New Roman"/>
          <w:b/>
          <w:color w:val="000000" w:themeColor="text1"/>
        </w:rPr>
        <w:t>.</w:t>
      </w:r>
    </w:p>
    <w:p w14:paraId="37E3CC2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4. La cooperazione tra stazioni appaltanti o enti concedenti volta al perseguimento di obiettivi di interesse comune</w:t>
      </w:r>
      <w:r w:rsidRPr="004A5029">
        <w:rPr>
          <w:rFonts w:ascii="Times New Roman" w:hAnsi="Times New Roman" w:cs="Times New Roman"/>
          <w:color w:val="000000" w:themeColor="text1"/>
        </w:rPr>
        <w:t xml:space="preserve"> non rientra </w:t>
      </w:r>
      <w:r w:rsidRPr="004A5029">
        <w:rPr>
          <w:rFonts w:ascii="Times New Roman" w:hAnsi="Times New Roman" w:cs="Times New Roman"/>
          <w:bCs/>
          <w:color w:val="000000" w:themeColor="text1"/>
        </w:rPr>
        <w:t xml:space="preserve">nell’ambito </w:t>
      </w:r>
      <w:r w:rsidRPr="004A5029">
        <w:rPr>
          <w:rFonts w:ascii="Times New Roman" w:hAnsi="Times New Roman" w:cs="Times New Roman"/>
          <w:color w:val="000000" w:themeColor="text1"/>
        </w:rPr>
        <w:t xml:space="preserve">di applicazione del codice quando </w:t>
      </w:r>
      <w:r w:rsidRPr="004A5029">
        <w:rPr>
          <w:rFonts w:ascii="Times New Roman" w:hAnsi="Times New Roman" w:cs="Times New Roman"/>
          <w:bCs/>
          <w:color w:val="000000" w:themeColor="text1"/>
        </w:rPr>
        <w:t xml:space="preserve">concorrono tutte </w:t>
      </w:r>
      <w:r w:rsidRPr="004A5029">
        <w:rPr>
          <w:rFonts w:ascii="Times New Roman" w:hAnsi="Times New Roman" w:cs="Times New Roman"/>
          <w:color w:val="000000" w:themeColor="text1"/>
        </w:rPr>
        <w:t>le</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seguenti condizioni:</w:t>
      </w:r>
    </w:p>
    <w:p w14:paraId="6CAFA819" w14:textId="77777777" w:rsidR="00F47850"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interviene esclusivamente tra due o più stazioni appaltanti o enti concedenti, anche con competenze diverse;</w:t>
      </w:r>
    </w:p>
    <w:p w14:paraId="222CFEF8" w14:textId="77777777" w:rsidR="00F47850"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garantisce la effettiva partecipazione di tutte le parti allo svolgimento di compiti funzionali all’attività di interesse comune, in un’ottica esclusivamente collaborativa e senza alcun rapporto sinallagmatico tra prestazioni;</w:t>
      </w:r>
    </w:p>
    <w:p w14:paraId="794270B9" w14:textId="77777777" w:rsidR="00F47850"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determina una convergenza sinergica su attività di interesse comune, pur nella eventuale diversità del fine perseguito da ciascuna amministrazione, purché l’accordo non tenda a realizzare la missione istituzionale di una sola delle amministrazioni aderenti;</w:t>
      </w:r>
    </w:p>
    <w:p w14:paraId="6876A7F4" w14:textId="71E1A9F8" w:rsidR="00446F27" w:rsidRPr="004A5029" w:rsidRDefault="00446F27" w:rsidP="00593AD0">
      <w:pPr>
        <w:jc w:val="both"/>
        <w:rPr>
          <w:rStyle w:val="normaltextrun"/>
          <w:rFonts w:ascii="Times New Roman" w:hAnsi="Times New Roman" w:cs="Times New Roman"/>
          <w:color w:val="000000" w:themeColor="text1"/>
        </w:rPr>
      </w:pPr>
      <w:r w:rsidRPr="004A5029">
        <w:rPr>
          <w:rFonts w:ascii="Times New Roman" w:hAnsi="Times New Roman" w:cs="Times New Roman"/>
          <w:bCs/>
          <w:color w:val="000000" w:themeColor="text1"/>
        </w:rPr>
        <w:t>d)</w:t>
      </w:r>
      <w:r w:rsidRPr="004A5029">
        <w:rPr>
          <w:rFonts w:ascii="Times New Roman" w:hAnsi="Times New Roman" w:cs="Times New Roman"/>
          <w:color w:val="000000" w:themeColor="text1"/>
        </w:rPr>
        <w:t xml:space="preserve"> le stazioni appaltanti o gli enti concedenti partecipanti svolgono sul mercato aperto meno del 20 per cento delle attività interessate dalla cooperazione.</w:t>
      </w:r>
    </w:p>
    <w:p w14:paraId="2FC17F8B" w14:textId="77777777" w:rsidR="00446F27" w:rsidRPr="004A5029" w:rsidRDefault="00446F27" w:rsidP="00446F27">
      <w:pPr>
        <w:jc w:val="both"/>
        <w:rPr>
          <w:rFonts w:ascii="Times New Roman" w:hAnsi="Times New Roman" w:cs="Times New Roman"/>
          <w:color w:val="000000" w:themeColor="text1"/>
        </w:rPr>
      </w:pPr>
    </w:p>
    <w:p w14:paraId="01B6D77E" w14:textId="77777777" w:rsidR="00CE0BF3" w:rsidRDefault="00CE0BF3" w:rsidP="00446F27">
      <w:pPr>
        <w:jc w:val="both"/>
        <w:rPr>
          <w:rFonts w:ascii="Times New Roman" w:hAnsi="Times New Roman" w:cs="Times New Roman"/>
          <w:b/>
          <w:color w:val="000000" w:themeColor="text1"/>
        </w:rPr>
      </w:pPr>
    </w:p>
    <w:p w14:paraId="5BBE944E" w14:textId="172857A3"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lastRenderedPageBreak/>
        <w:t>Articolo 8.</w:t>
      </w:r>
    </w:p>
    <w:p w14:paraId="78D8274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heme="majorEastAsia" w:hAnsi="Times New Roman" w:cs="Times New Roman"/>
          <w:i/>
          <w:iCs/>
          <w:color w:val="000000" w:themeColor="text1"/>
        </w:rPr>
        <w:t>Principio di autonomia contrattuale</w:t>
      </w:r>
      <w:r w:rsidRPr="004A5029">
        <w:rPr>
          <w:rFonts w:ascii="Times New Roman" w:hAnsi="Times New Roman" w:cs="Times New Roman"/>
          <w:i/>
          <w:iCs/>
          <w:color w:val="000000" w:themeColor="text1"/>
        </w:rPr>
        <w:t>. Divieto di prestazioni d’opera intellettuale a titolo gratuito.</w:t>
      </w:r>
    </w:p>
    <w:p w14:paraId="3D71BC2C" w14:textId="77777777" w:rsidR="00446F27" w:rsidRPr="004A5029" w:rsidRDefault="00446F27" w:rsidP="00446F27">
      <w:pPr>
        <w:jc w:val="both"/>
        <w:rPr>
          <w:rFonts w:ascii="Times New Roman" w:hAnsi="Times New Roman" w:cs="Times New Roman"/>
          <w:bCs/>
          <w:color w:val="000000" w:themeColor="text1"/>
          <w:shd w:val="clear" w:color="auto" w:fill="FFFFFF"/>
        </w:rPr>
      </w:pPr>
      <w:r w:rsidRPr="004A5029">
        <w:rPr>
          <w:rFonts w:ascii="Times New Roman" w:hAnsi="Times New Roman" w:cs="Times New Roman"/>
          <w:bCs/>
          <w:color w:val="000000" w:themeColor="text1"/>
        </w:rPr>
        <w:t>1. Nel perseguire le proprie finalità istituzionali le pubbliche amministrazioni sono dotate di autonomia contrattuale e possono concludere qualsiasi contratto, anche gratuito, salvi i divieti espressamente previsti dal codice e da altre disposizioni di legge.</w:t>
      </w:r>
    </w:p>
    <w:p w14:paraId="371D3254" w14:textId="68B8CCFD"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shd w:val="clear" w:color="auto" w:fill="FFFFFF"/>
        </w:rPr>
        <w:t>2. Le prestazioni d’opera intellettuale non possono essere rese dai professionisti gratuitamente</w:t>
      </w:r>
      <w:r w:rsidR="00DE26E9" w:rsidRPr="004A5029">
        <w:rPr>
          <w:rFonts w:ascii="Times New Roman" w:eastAsia="Times New Roman" w:hAnsi="Times New Roman" w:cs="Times New Roman"/>
          <w:b/>
          <w:bCs/>
          <w:color w:val="000000" w:themeColor="text1"/>
          <w:shd w:val="clear" w:color="auto" w:fill="FFFFFF"/>
        </w:rPr>
        <w:t xml:space="preserve">, </w:t>
      </w:r>
      <w:r w:rsidR="00DE26E9" w:rsidRPr="004A5029">
        <w:rPr>
          <w:rFonts w:ascii="Times New Roman" w:eastAsia="Times New Roman" w:hAnsi="Times New Roman" w:cs="Times New Roman"/>
          <w:color w:val="000000" w:themeColor="text1"/>
          <w:shd w:val="clear" w:color="auto" w:fill="FFFFFF"/>
        </w:rPr>
        <w:t>salvo che in casi eccezionali e previa adeguata motivazione</w:t>
      </w:r>
      <w:r w:rsidRPr="004A5029">
        <w:rPr>
          <w:rFonts w:ascii="Times New Roman" w:eastAsia="Times New Roman" w:hAnsi="Times New Roman" w:cs="Times New Roman"/>
          <w:color w:val="000000" w:themeColor="text1"/>
          <w:shd w:val="clear" w:color="auto" w:fill="FFFFFF"/>
        </w:rPr>
        <w:t xml:space="preserve">. </w:t>
      </w:r>
      <w:r w:rsidR="00DE26E9" w:rsidRPr="004A5029">
        <w:rPr>
          <w:rFonts w:ascii="Times New Roman" w:eastAsia="Times New Roman" w:hAnsi="Times New Roman" w:cs="Times New Roman"/>
          <w:color w:val="000000" w:themeColor="text1"/>
          <w:shd w:val="clear" w:color="auto" w:fill="FFFFFF"/>
        </w:rPr>
        <w:t>Salvo i predetti casi eccezionali,</w:t>
      </w:r>
      <w:r w:rsidR="00DE26E9" w:rsidRPr="004A5029">
        <w:rPr>
          <w:rFonts w:ascii="Times New Roman" w:eastAsia="Times New Roman" w:hAnsi="Times New Roman" w:cs="Times New Roman"/>
          <w:b/>
          <w:bCs/>
          <w:color w:val="000000" w:themeColor="text1"/>
          <w:shd w:val="clear" w:color="auto" w:fill="FFFFFF"/>
        </w:rPr>
        <w:t xml:space="preserve"> </w:t>
      </w:r>
      <w:r w:rsidRPr="004A5029">
        <w:rPr>
          <w:rFonts w:ascii="Times New Roman" w:eastAsia="Times New Roman" w:hAnsi="Times New Roman" w:cs="Times New Roman"/>
          <w:color w:val="000000" w:themeColor="text1"/>
          <w:shd w:val="clear" w:color="auto" w:fill="FFFFFF"/>
        </w:rPr>
        <w:t>la pubblica amministrazione garantisce comunque l’applicazione del principio dell’equo compenso.</w:t>
      </w:r>
    </w:p>
    <w:p w14:paraId="3A975C9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 pubbliche amministrazioni possono ricevere per donazione beni o prestazioni rispondenti all’interesse pubblico senza obbligo di gara. Restano ferme le disposizioni del codice civile in materia di forma, revocazione e azione di riduzione delle donazioni.</w:t>
      </w:r>
    </w:p>
    <w:p w14:paraId="0A4F7224" w14:textId="77777777" w:rsidR="00446F27" w:rsidRPr="004A5029" w:rsidRDefault="00446F27" w:rsidP="00446F27">
      <w:pPr>
        <w:rPr>
          <w:rFonts w:ascii="Times New Roman" w:hAnsi="Times New Roman" w:cs="Times New Roman"/>
          <w:color w:val="000000" w:themeColor="text1"/>
        </w:rPr>
      </w:pPr>
    </w:p>
    <w:p w14:paraId="2A6E5F63" w14:textId="77777777" w:rsidR="00446F27" w:rsidRPr="004A5029" w:rsidRDefault="00446F27" w:rsidP="00446F27">
      <w:pPr>
        <w:rPr>
          <w:rFonts w:ascii="Times New Roman" w:hAnsi="Times New Roman" w:cs="Times New Roman"/>
          <w:color w:val="000000" w:themeColor="text1"/>
        </w:rPr>
      </w:pPr>
      <w:bookmarkStart w:id="5" w:name="_Toc112864108"/>
      <w:r w:rsidRPr="004A5029">
        <w:rPr>
          <w:rFonts w:ascii="Times New Roman" w:hAnsi="Times New Roman" w:cs="Times New Roman"/>
          <w:b/>
          <w:color w:val="000000" w:themeColor="text1"/>
        </w:rPr>
        <w:t>Articolo 9.</w:t>
      </w:r>
    </w:p>
    <w:p w14:paraId="4A09D741" w14:textId="77777777"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Principio di conservazione dell’equilibrio contrattuale.</w:t>
      </w:r>
      <w:bookmarkEnd w:id="5"/>
    </w:p>
    <w:p w14:paraId="1C843B2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Se sopravvengono circostanze straordinarie e imprevedibili, estranee alla normale alea</w:t>
      </w:r>
      <w:r w:rsidRPr="004A5029">
        <w:rPr>
          <w:rFonts w:ascii="Times New Roman" w:hAnsi="Times New Roman" w:cs="Times New Roman"/>
          <w:color w:val="000000" w:themeColor="text1"/>
        </w:rPr>
        <w:t>,</w:t>
      </w:r>
      <w:r w:rsidRPr="004A5029">
        <w:rPr>
          <w:rFonts w:ascii="Times New Roman" w:hAnsi="Times New Roman" w:cs="Times New Roman"/>
          <w:bCs/>
          <w:color w:val="000000" w:themeColor="text1"/>
        </w:rPr>
        <w:t xml:space="preserve"> all’ordinaria fluttuazione economica e al rischio di mercato e tali da alterare in maniera rilevante l’equilibrio originario del contratto, la parte svantaggiata, che non abbia volontariamente assunto il relativo rischio, ha diritto alla rinegoziazione secondo buona fede delle condizioni contrattuali. Gli oneri per la rinegoziazione sono riconosciuti all’esecutore a valere sulle somme a disposizione indicate nel quadro economico dell’intervento, alle voci imprevisti e accantonamenti e, se necessario, anche utilizzando le economie da ribasso d’asta.</w:t>
      </w:r>
    </w:p>
    <w:p w14:paraId="76661B7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Nell’ambito delle risorse individuate al comma 1, la rinegoziazione si limita al ripristino dell’originario equilibrio del contratto oggetto dell’affidamento, quale risultante dal bando e dal provvedimento di aggiudicazione, senza alterarne la sostanza economica.</w:t>
      </w:r>
    </w:p>
    <w:p w14:paraId="72BB0FC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Se le circostanze sopravvenute di cui al comma 1 rendono la prestazione, in parte o temporaneamente, inutile o inutilizzabile per uno dei contraenti, questi ha diritto a una riduzione proporzionale del corrispettivo, secondo le regole dell’impossibilità parziale.</w:t>
      </w:r>
    </w:p>
    <w:p w14:paraId="24EDF567" w14:textId="446AB2F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Le stazioni appaltanti e gli enti concedenti favoriscono l’inserimento nel contratto di clausole di rinegoziazione, dandone pubblicità nel bando o nell’avviso di indizione della gara, specie quando il contratto risulta particolarmente esposto per la sua durata, per il contesto economico di riferimento o per altre circostanze</w:t>
      </w:r>
      <w:r w:rsidR="00407103"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al rischio delle interferenze da sopravvenienze.</w:t>
      </w:r>
    </w:p>
    <w:p w14:paraId="4075A8FF" w14:textId="149CF961"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5. In applicazione del principio di conservazione dell’equilibrio contrattuale si applicano le disposizioni di cui agli articoli 60 e 120.</w:t>
      </w:r>
    </w:p>
    <w:p w14:paraId="5AE48A43" w14:textId="77777777" w:rsidR="00446F27" w:rsidRPr="004A5029" w:rsidRDefault="00446F27" w:rsidP="00446F27">
      <w:pPr>
        <w:rPr>
          <w:rFonts w:ascii="Times New Roman" w:hAnsi="Times New Roman" w:cs="Times New Roman"/>
          <w:color w:val="000000" w:themeColor="text1"/>
        </w:rPr>
      </w:pPr>
    </w:p>
    <w:p w14:paraId="66C7CC09" w14:textId="77777777" w:rsidR="00446F27" w:rsidRPr="004A5029" w:rsidRDefault="00446F27" w:rsidP="00DE26E9">
      <w:pPr>
        <w:rPr>
          <w:rFonts w:ascii="Times New Roman" w:hAnsi="Times New Roman" w:cs="Times New Roman"/>
          <w:color w:val="000000" w:themeColor="text1"/>
        </w:rPr>
      </w:pPr>
      <w:bookmarkStart w:id="6" w:name="_Toc112864109"/>
      <w:r w:rsidRPr="004A5029">
        <w:rPr>
          <w:rFonts w:ascii="Times New Roman" w:hAnsi="Times New Roman" w:cs="Times New Roman"/>
          <w:b/>
          <w:color w:val="000000" w:themeColor="text1"/>
        </w:rPr>
        <w:t>Articolo 10.</w:t>
      </w:r>
    </w:p>
    <w:p w14:paraId="33F7974A" w14:textId="77777777" w:rsidR="00446F27" w:rsidRPr="004A5029" w:rsidRDefault="00446F27" w:rsidP="00446F27">
      <w:pPr>
        <w:jc w:val="both"/>
        <w:rPr>
          <w:rFonts w:ascii="Times New Roman" w:hAnsi="Times New Roman" w:cs="Times New Roman"/>
          <w:bCs/>
          <w:i/>
          <w:iCs/>
          <w:color w:val="000000" w:themeColor="text1"/>
        </w:rPr>
      </w:pPr>
      <w:r w:rsidRPr="004A5029">
        <w:rPr>
          <w:rFonts w:ascii="Times New Roman" w:hAnsi="Times New Roman" w:cs="Times New Roman"/>
          <w:i/>
          <w:color w:val="000000" w:themeColor="text1"/>
        </w:rPr>
        <w:t>Principi di tassatività delle cause di esclusione e di massima partecipazione</w:t>
      </w:r>
      <w:r w:rsidRPr="004A5029">
        <w:rPr>
          <w:rFonts w:ascii="Times New Roman" w:hAnsi="Times New Roman" w:cs="Times New Roman"/>
          <w:bCs/>
          <w:i/>
          <w:iCs/>
          <w:color w:val="000000" w:themeColor="text1"/>
        </w:rPr>
        <w:t>.</w:t>
      </w:r>
      <w:bookmarkEnd w:id="6"/>
    </w:p>
    <w:p w14:paraId="78CAB7B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1. I contratti pubblici non sono affidati agli operatori economici nei confronti dei quali sia stata accertata la sussistenza di cause di esclusione espressamente definite dal codice.</w:t>
      </w:r>
    </w:p>
    <w:p w14:paraId="01802F1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Le cause di esclusione di cui agli articoli 94 e 95 sono tassative e integrano di diritto i bandi e le lettere di invito; </w:t>
      </w:r>
      <w:r w:rsidRPr="004A5029">
        <w:rPr>
          <w:rFonts w:ascii="Times New Roman" w:eastAsia="Times New Roman" w:hAnsi="Times New Roman" w:cs="Times New Roman"/>
          <w:color w:val="000000" w:themeColor="text1"/>
        </w:rPr>
        <w:t>le clausole che prevedono cause ulteriori di esclusione sono nulle e si considerano non apposte</w:t>
      </w:r>
      <w:r w:rsidRPr="004A5029">
        <w:rPr>
          <w:rFonts w:ascii="Times New Roman" w:eastAsia="Times New Roman" w:hAnsi="Times New Roman" w:cs="Times New Roman"/>
          <w:i/>
          <w:iCs/>
          <w:color w:val="000000" w:themeColor="text1"/>
        </w:rPr>
        <w:t>.</w:t>
      </w:r>
    </w:p>
    <w:p w14:paraId="5B6CBE5B" w14:textId="77777777" w:rsidR="00446F27" w:rsidRPr="004A5029" w:rsidRDefault="00446F27" w:rsidP="00446F27">
      <w:pPr>
        <w:jc w:val="both"/>
        <w:rPr>
          <w:rFonts w:ascii="Times New Roman" w:hAnsi="Times New Roman" w:cs="Times New Roman"/>
          <w:color w:val="000000" w:themeColor="text1"/>
          <w:lang w:eastAsia="it-IT"/>
        </w:rPr>
      </w:pPr>
      <w:r w:rsidRPr="004A5029">
        <w:rPr>
          <w:rFonts w:ascii="Times New Roman" w:hAnsi="Times New Roman" w:cs="Times New Roman"/>
          <w:bCs/>
          <w:color w:val="000000" w:themeColor="text1"/>
        </w:rPr>
        <w:lastRenderedPageBreak/>
        <w:t xml:space="preserve">3. Fermi i necessari </w:t>
      </w:r>
      <w:r w:rsidRPr="004A5029">
        <w:rPr>
          <w:rFonts w:ascii="Times New Roman" w:hAnsi="Times New Roman" w:cs="Times New Roman"/>
          <w:color w:val="000000" w:themeColor="text1"/>
        </w:rPr>
        <w:t>requisiti</w:t>
      </w:r>
      <w:r w:rsidRPr="004A5029">
        <w:rPr>
          <w:rFonts w:ascii="Times New Roman" w:hAnsi="Times New Roman" w:cs="Times New Roman"/>
          <w:bCs/>
          <w:color w:val="000000" w:themeColor="text1"/>
        </w:rPr>
        <w:t xml:space="preserve"> di abilitazione all’esercizio dell’attività professionale, le stazioni appaltanti e gli enti concedenti possono introdurre requisiti speciali, di carattere economico-finanziario e tecnico-professionale, attinenti e proporzionati all’oggetto del contratto, </w:t>
      </w:r>
      <w:r w:rsidRPr="004A5029">
        <w:rPr>
          <w:rFonts w:ascii="Times New Roman" w:hAnsi="Times New Roman" w:cs="Times New Roman"/>
          <w:color w:val="000000" w:themeColor="text1"/>
        </w:rPr>
        <w:t>tenendo presente l’interesse pubblico al più ampio numero di potenziali</w:t>
      </w:r>
      <w:r w:rsidRPr="004A5029">
        <w:rPr>
          <w:rFonts w:ascii="Times New Roman" w:hAnsi="Times New Roman" w:cs="Times New Roman"/>
          <w:bCs/>
          <w:color w:val="000000" w:themeColor="text1"/>
        </w:rPr>
        <w:t xml:space="preserve"> concorrenti e favorendo, purché sia compatibile con le prestazioni da acquisire e con l’esigenza di realizzare economie di scala funzionali alla riduzione della spesa pubblica, </w:t>
      </w:r>
      <w:r w:rsidRPr="004A5029">
        <w:rPr>
          <w:rFonts w:ascii="Times New Roman" w:hAnsi="Times New Roman" w:cs="Times New Roman"/>
          <w:color w:val="000000" w:themeColor="text1"/>
        </w:rPr>
        <w:t>l’accesso</w:t>
      </w:r>
      <w:r w:rsidRPr="004A5029">
        <w:rPr>
          <w:rFonts w:ascii="Times New Roman" w:hAnsi="Times New Roman" w:cs="Times New Roman"/>
          <w:bCs/>
          <w:color w:val="000000" w:themeColor="text1"/>
        </w:rPr>
        <w:t xml:space="preserve"> al mercato e la possibilità di crescita delle micro, piccole e medie imprese.</w:t>
      </w:r>
    </w:p>
    <w:p w14:paraId="50F40DEB" w14:textId="77777777" w:rsidR="00446F27" w:rsidRPr="004A5029" w:rsidRDefault="00446F27" w:rsidP="00446F27">
      <w:pPr>
        <w:rPr>
          <w:rFonts w:ascii="Times New Roman" w:hAnsi="Times New Roman" w:cs="Times New Roman"/>
          <w:color w:val="000000" w:themeColor="text1"/>
        </w:rPr>
      </w:pPr>
    </w:p>
    <w:p w14:paraId="6FDD7E78" w14:textId="77777777" w:rsidR="00446F27" w:rsidRPr="004A5029" w:rsidRDefault="00446F27" w:rsidP="00446F27">
      <w:pPr>
        <w:rPr>
          <w:rFonts w:ascii="Times New Roman" w:eastAsia="Calibri" w:hAnsi="Times New Roman" w:cs="Times New Roman"/>
          <w:b/>
          <w:bCs/>
          <w:color w:val="000000" w:themeColor="text1"/>
        </w:rPr>
      </w:pPr>
      <w:bookmarkStart w:id="7" w:name="_Toc112864112"/>
      <w:r w:rsidRPr="004A5029">
        <w:rPr>
          <w:rFonts w:ascii="Times New Roman" w:eastAsia="Calibri" w:hAnsi="Times New Roman" w:cs="Times New Roman"/>
          <w:b/>
          <w:bCs/>
          <w:color w:val="000000" w:themeColor="text1"/>
        </w:rPr>
        <w:t xml:space="preserve">Articolo 11. </w:t>
      </w:r>
    </w:p>
    <w:p w14:paraId="48C8E8D2" w14:textId="77777777" w:rsidR="00446F27" w:rsidRPr="004A5029" w:rsidRDefault="00446F27" w:rsidP="00446F27">
      <w:pPr>
        <w:pStyle w:val="Paragrafoelenco"/>
        <w:tabs>
          <w:tab w:val="left" w:pos="851"/>
        </w:tabs>
        <w:ind w:left="0"/>
        <w:contextualSpacing w:val="0"/>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 xml:space="preserve">Principio di applicazione dei contratti collettivi nazionali di settore. </w:t>
      </w:r>
      <w:bookmarkEnd w:id="7"/>
      <w:r w:rsidRPr="004A5029">
        <w:rPr>
          <w:rFonts w:ascii="Times New Roman" w:hAnsi="Times New Roman" w:cs="Times New Roman"/>
          <w:i/>
          <w:iCs/>
          <w:color w:val="000000" w:themeColor="text1"/>
        </w:rPr>
        <w:t>Inadempienze contributive e ritardo nei pagamenti.</w:t>
      </w:r>
    </w:p>
    <w:p w14:paraId="409F3259" w14:textId="77777777" w:rsidR="00446F27" w:rsidRPr="004A5029" w:rsidRDefault="00446F27" w:rsidP="00446F27">
      <w:pPr>
        <w:jc w:val="both"/>
        <w:rPr>
          <w:rFonts w:ascii="Times New Roman" w:eastAsia="Calibri" w:hAnsi="Times New Roman" w:cs="Times New Roman"/>
          <w:bCs/>
          <w:color w:val="000000" w:themeColor="text1"/>
          <w:lang w:eastAsia="it-IT"/>
        </w:rPr>
      </w:pPr>
      <w:r w:rsidRPr="004A5029">
        <w:rPr>
          <w:rFonts w:ascii="Times New Roman" w:eastAsia="Calibri" w:hAnsi="Times New Roman" w:cs="Times New Roman"/>
          <w:bCs/>
          <w:color w:val="000000" w:themeColor="text1"/>
          <w:lang w:eastAsia="it-IT"/>
        </w:rPr>
        <w:t>1. Al personale impiegato nei lavori, servizi e forniture oggetto di appalti pubblici e concessioni è applicato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o della concessione svolta dall’impresa anche in maniera prevalente.</w:t>
      </w:r>
    </w:p>
    <w:p w14:paraId="7399CF09" w14:textId="77777777" w:rsidR="00446F27" w:rsidRPr="004A5029" w:rsidRDefault="00446F27" w:rsidP="00446F27">
      <w:pPr>
        <w:jc w:val="both"/>
        <w:rPr>
          <w:rFonts w:ascii="Times New Roman" w:eastAsia="Calibri" w:hAnsi="Times New Roman" w:cs="Times New Roman"/>
          <w:bCs/>
          <w:color w:val="000000" w:themeColor="text1"/>
          <w:lang w:eastAsia="it-IT"/>
        </w:rPr>
      </w:pPr>
      <w:r w:rsidRPr="004A5029">
        <w:rPr>
          <w:rFonts w:ascii="Times New Roman" w:eastAsia="Calibri" w:hAnsi="Times New Roman" w:cs="Times New Roman"/>
          <w:bCs/>
          <w:color w:val="000000" w:themeColor="text1"/>
          <w:lang w:eastAsia="it-IT"/>
        </w:rPr>
        <w:t>2. Nei bandi e negli inviti le stazioni appaltanti e gli enti concedenti indicano il contratto collettivo applicabile al personale dipendente impiegato nell'appalto o nella concessione, in conformità al comma 1.</w:t>
      </w:r>
    </w:p>
    <w:p w14:paraId="0521FC26" w14:textId="77777777" w:rsidR="00446F27" w:rsidRPr="004A5029" w:rsidRDefault="00446F27" w:rsidP="00446F27">
      <w:pPr>
        <w:jc w:val="both"/>
        <w:rPr>
          <w:rFonts w:ascii="Times New Roman" w:eastAsia="Calibri" w:hAnsi="Times New Roman" w:cs="Times New Roman"/>
          <w:bCs/>
          <w:color w:val="000000" w:themeColor="text1"/>
          <w:lang w:eastAsia="it-IT"/>
        </w:rPr>
      </w:pPr>
      <w:r w:rsidRPr="004A5029">
        <w:rPr>
          <w:rFonts w:ascii="Times New Roman" w:eastAsia="Calibri" w:hAnsi="Times New Roman" w:cs="Times New Roman"/>
          <w:bCs/>
          <w:color w:val="000000" w:themeColor="text1"/>
          <w:lang w:eastAsia="it-IT"/>
        </w:rPr>
        <w:t>3. Gli operatori economici possono indicare nella propria offerta il differente contratto collettivo da essi applicato, purché garantisca ai dipendenti le stesse tutele di quello indicato dalla stazione appaltante o dall’ente concedente.</w:t>
      </w:r>
    </w:p>
    <w:p w14:paraId="53882DB0" w14:textId="77777777" w:rsidR="00446F27" w:rsidRPr="004A5029" w:rsidRDefault="00446F27" w:rsidP="00446F27">
      <w:pPr>
        <w:jc w:val="both"/>
        <w:rPr>
          <w:rFonts w:ascii="Times New Roman" w:eastAsia="Calibri" w:hAnsi="Times New Roman" w:cs="Times New Roman"/>
          <w:bCs/>
          <w:color w:val="000000" w:themeColor="text1"/>
          <w:lang w:eastAsia="it-IT"/>
        </w:rPr>
      </w:pPr>
      <w:r w:rsidRPr="004A5029">
        <w:rPr>
          <w:rFonts w:ascii="Times New Roman" w:eastAsia="Calibri" w:hAnsi="Times New Roman" w:cs="Times New Roman"/>
          <w:bCs/>
          <w:color w:val="000000" w:themeColor="text1"/>
          <w:lang w:eastAsia="it-IT"/>
        </w:rPr>
        <w:t>4.</w:t>
      </w:r>
      <w:r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lang w:eastAsia="it-IT"/>
        </w:rPr>
        <w:t>Nei casi di cui al comma 3, prima di procedere all’affidamento o all’aggiudicazione le stazioni appaltanti e gli enti concedenti acquisiscono la dichiarazione con la quale l’operatore economico individuato si impegna ad applicare il contratto collettivo nazionale e territoriale indicato nell’esecuzione delle prestazioni oggetto del contratto per tutta la sua durata, ovvero la dichiarazione di equivalenza delle tutele. In quest’ultimo caso, la dichiarazione è anche verificata con le modalità di cui all’articolo 110.</w:t>
      </w:r>
    </w:p>
    <w:p w14:paraId="1A99147E"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Le stazioni appaltanti </w:t>
      </w:r>
      <w:r w:rsidRPr="004A5029">
        <w:rPr>
          <w:rFonts w:ascii="Times New Roman" w:eastAsia="Calibri" w:hAnsi="Times New Roman" w:cs="Times New Roman"/>
          <w:bCs/>
          <w:color w:val="000000" w:themeColor="text1"/>
          <w:lang w:eastAsia="it-IT"/>
        </w:rPr>
        <w:t xml:space="preserve">e gli enti concedenti </w:t>
      </w:r>
      <w:r w:rsidRPr="004A5029">
        <w:rPr>
          <w:rFonts w:ascii="Times New Roman" w:hAnsi="Times New Roman" w:cs="Times New Roman"/>
          <w:bCs/>
          <w:color w:val="000000" w:themeColor="text1"/>
        </w:rPr>
        <w:t>assicurano, in tutti i casi, che le medesime tutele normative ed economiche siano garantite ai lavoratori in subappalto.</w:t>
      </w:r>
    </w:p>
    <w:p w14:paraId="7E1442D0" w14:textId="6AA5567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6. In caso di inadempienza contributiva risultante dal documento unico di regolarità contributiva relativo a personale dipendente dell'affidatario o del subappaltatore o dei soggetti titolari di subappalti e cottimi, impiegato nell’esecuzione del contratto, la stazione appaltante trattiene dal certificato di pagamento l’importo corrispondente all’inadempienza per il successivo versamento diretto agli enti previdenziali e assicurativi, compresa, nei lavori, la cassa edile. In ogni caso sull’importo netto progressivo delle prestazioni è operata una ritenuta dello 0,50 per cento; le ritenute possono essere svincolate soltanto in sede di liquidazione finale, dopo l'approvazione da parte della stazione appaltante del certificato di collaudo o di verifica di conformità, previo rilascio del documento unico di regolarità contributiva. In caso di ritardo nel pagamento delle retribuzioni dovute al personale di cui al primo periodo, il responsabile unico del progetto invita per iscritto il soggetto inadempiente, ed in ogni caso l’affidatario, a provvedervi entro i successivi </w:t>
      </w:r>
      <w:r w:rsidRPr="004A5029">
        <w:rPr>
          <w:rFonts w:ascii="Times New Roman" w:hAnsi="Times New Roman" w:cs="Times New Roman"/>
          <w:b/>
          <w:strike/>
          <w:color w:val="000000" w:themeColor="text1"/>
        </w:rPr>
        <w:t>15</w:t>
      </w:r>
      <w:r w:rsidRPr="004A5029">
        <w:rPr>
          <w:rFonts w:ascii="Times New Roman" w:hAnsi="Times New Roman" w:cs="Times New Roman"/>
          <w:bCs/>
          <w:color w:val="000000" w:themeColor="text1"/>
        </w:rPr>
        <w:t xml:space="preserve"> </w:t>
      </w:r>
      <w:r w:rsidR="00407103" w:rsidRPr="004A5029">
        <w:rPr>
          <w:rFonts w:ascii="Times New Roman" w:hAnsi="Times New Roman" w:cs="Times New Roman"/>
          <w:b/>
          <w:color w:val="000000" w:themeColor="text1"/>
        </w:rPr>
        <w:t xml:space="preserve">quindici </w:t>
      </w:r>
      <w:r w:rsidRPr="004A5029">
        <w:rPr>
          <w:rFonts w:ascii="Times New Roman" w:hAnsi="Times New Roman" w:cs="Times New Roman"/>
          <w:bCs/>
          <w:color w:val="000000" w:themeColor="text1"/>
        </w:rPr>
        <w:t xml:space="preserve">giorni. Ove non sia stata contestata formalmente e motivatamente la fondatezza della richiesta entro il termine </w:t>
      </w:r>
      <w:r w:rsidR="00364325" w:rsidRPr="004A5029">
        <w:rPr>
          <w:rFonts w:ascii="Times New Roman" w:hAnsi="Times New Roman" w:cs="Times New Roman"/>
          <w:bCs/>
          <w:color w:val="000000" w:themeColor="text1"/>
        </w:rPr>
        <w:t>di cui al terzo periodo</w:t>
      </w:r>
      <w:r w:rsidRPr="004A5029">
        <w:rPr>
          <w:rFonts w:ascii="Times New Roman" w:hAnsi="Times New Roman" w:cs="Times New Roman"/>
          <w:bCs/>
          <w:color w:val="000000" w:themeColor="text1"/>
        </w:rPr>
        <w:t>,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w:t>
      </w:r>
    </w:p>
    <w:p w14:paraId="77A52294" w14:textId="77777777" w:rsidR="00446F27" w:rsidRPr="004A5029" w:rsidRDefault="00446F27" w:rsidP="00446F27">
      <w:pPr>
        <w:rPr>
          <w:rFonts w:ascii="Times New Roman" w:hAnsi="Times New Roman" w:cs="Times New Roman"/>
          <w:color w:val="000000" w:themeColor="text1"/>
        </w:rPr>
      </w:pPr>
    </w:p>
    <w:p w14:paraId="64FA0D48" w14:textId="77777777" w:rsidR="00CE0BF3" w:rsidRDefault="00CE0BF3" w:rsidP="00446F27">
      <w:pPr>
        <w:jc w:val="both"/>
        <w:rPr>
          <w:rFonts w:ascii="Times New Roman" w:eastAsiaTheme="majorEastAsia" w:hAnsi="Times New Roman" w:cs="Times New Roman"/>
          <w:b/>
          <w:bCs/>
          <w:color w:val="000000" w:themeColor="text1"/>
        </w:rPr>
      </w:pPr>
      <w:bookmarkStart w:id="8" w:name="_Toc112864105"/>
    </w:p>
    <w:p w14:paraId="11325766" w14:textId="77777777" w:rsidR="00CE0BF3" w:rsidRDefault="00CE0BF3" w:rsidP="00446F27">
      <w:pPr>
        <w:jc w:val="both"/>
        <w:rPr>
          <w:rFonts w:ascii="Times New Roman" w:eastAsiaTheme="majorEastAsia" w:hAnsi="Times New Roman" w:cs="Times New Roman"/>
          <w:b/>
          <w:bCs/>
          <w:color w:val="000000" w:themeColor="text1"/>
        </w:rPr>
      </w:pPr>
    </w:p>
    <w:p w14:paraId="5F8345C4" w14:textId="67DC8049" w:rsidR="00446F27" w:rsidRPr="004A5029" w:rsidRDefault="00446F27" w:rsidP="00446F27">
      <w:pPr>
        <w:jc w:val="both"/>
        <w:rPr>
          <w:rFonts w:ascii="Times New Roman" w:eastAsiaTheme="majorEastAsia" w:hAnsi="Times New Roman" w:cs="Times New Roman"/>
          <w:b/>
          <w:color w:val="000000" w:themeColor="text1"/>
        </w:rPr>
      </w:pPr>
      <w:r w:rsidRPr="004A5029">
        <w:rPr>
          <w:rFonts w:ascii="Times New Roman" w:eastAsiaTheme="majorEastAsia" w:hAnsi="Times New Roman" w:cs="Times New Roman"/>
          <w:b/>
          <w:bCs/>
          <w:color w:val="000000" w:themeColor="text1"/>
        </w:rPr>
        <w:t>Articolo 12</w:t>
      </w:r>
      <w:bookmarkEnd w:id="8"/>
      <w:r w:rsidRPr="004A5029">
        <w:rPr>
          <w:rFonts w:ascii="Times New Roman" w:eastAsiaTheme="majorEastAsia" w:hAnsi="Times New Roman" w:cs="Times New Roman"/>
          <w:b/>
          <w:bCs/>
          <w:color w:val="000000" w:themeColor="text1"/>
        </w:rPr>
        <w:t>.</w:t>
      </w:r>
    </w:p>
    <w:p w14:paraId="6F64E1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heme="majorEastAsia" w:hAnsi="Times New Roman" w:cs="Times New Roman"/>
          <w:i/>
          <w:iCs/>
          <w:color w:val="000000" w:themeColor="text1"/>
        </w:rPr>
        <w:t xml:space="preserve">Rinvio esterno. </w:t>
      </w:r>
    </w:p>
    <w:p w14:paraId="21D6F11A"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shd w:val="clear" w:color="auto" w:fill="FFFFFF"/>
        </w:rPr>
        <w:t xml:space="preserve">1. </w:t>
      </w:r>
      <w:r w:rsidRPr="004A5029">
        <w:rPr>
          <w:rFonts w:ascii="Times New Roman" w:hAnsi="Times New Roman" w:cs="Times New Roman"/>
          <w:color w:val="000000" w:themeColor="text1"/>
        </w:rPr>
        <w:t>Per quanto non espressamente previsto nel codice:</w:t>
      </w:r>
    </w:p>
    <w:p w14:paraId="33161D8A" w14:textId="77777777" w:rsidR="00F47850"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alle procedure di affidamento e alle altre attività amministrative in materia di contratti si applicano le disposizioni di cui alla </w:t>
      </w:r>
      <w:hyperlink r:id="rId11" w:anchor="id=10LX0000110183ART0,__m=document" w:history="1">
        <w:r w:rsidRPr="004A5029">
          <w:rPr>
            <w:rFonts w:ascii="Times New Roman" w:hAnsi="Times New Roman" w:cs="Times New Roman"/>
            <w:iCs/>
            <w:color w:val="000000" w:themeColor="text1"/>
          </w:rPr>
          <w:t>legge 7 agosto 1990, n. 241</w:t>
        </w:r>
      </w:hyperlink>
      <w:r w:rsidRPr="004A5029">
        <w:rPr>
          <w:rFonts w:ascii="Times New Roman" w:hAnsi="Times New Roman" w:cs="Times New Roman"/>
          <w:iCs/>
          <w:color w:val="000000" w:themeColor="text1"/>
        </w:rPr>
        <w:t>;</w:t>
      </w:r>
      <w:r w:rsidRPr="004A5029">
        <w:rPr>
          <w:rFonts w:ascii="Times New Roman" w:hAnsi="Times New Roman" w:cs="Times New Roman"/>
          <w:color w:val="000000" w:themeColor="text1"/>
        </w:rPr>
        <w:t xml:space="preserve"> </w:t>
      </w:r>
    </w:p>
    <w:p w14:paraId="2B5770B4" w14:textId="515132C9" w:rsidR="00446F27" w:rsidRPr="004A5029" w:rsidRDefault="00446F27" w:rsidP="00593AD0">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alla stipula del contratto e alla fase di esecuzione si applicano le disposizioni del codice civile.</w:t>
      </w:r>
    </w:p>
    <w:p w14:paraId="007DCDA8"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p>
    <w:p w14:paraId="6BCF8877" w14:textId="77777777" w:rsidR="00B922F7" w:rsidRPr="004A5029" w:rsidRDefault="00446F27" w:rsidP="00446F27">
      <w:pPr>
        <w:jc w:val="center"/>
        <w:rPr>
          <w:rFonts w:ascii="Times New Roman" w:hAnsi="Times New Roman" w:cs="Times New Roman"/>
          <w:b/>
          <w:noProof/>
          <w:color w:val="000000" w:themeColor="text1"/>
        </w:rPr>
      </w:pPr>
      <w:r w:rsidRPr="004A5029">
        <w:rPr>
          <w:rFonts w:ascii="Times New Roman" w:hAnsi="Times New Roman" w:cs="Times New Roman"/>
          <w:b/>
          <w:noProof/>
          <w:color w:val="000000" w:themeColor="text1"/>
        </w:rPr>
        <w:t xml:space="preserve">Titolo II </w:t>
      </w:r>
    </w:p>
    <w:p w14:paraId="66B5EBE6" w14:textId="7BD66AE3" w:rsidR="00446F27" w:rsidRPr="004A5029" w:rsidRDefault="00446F27" w:rsidP="00446F27">
      <w:pPr>
        <w:jc w:val="center"/>
        <w:rPr>
          <w:rFonts w:ascii="Times New Roman" w:hAnsi="Times New Roman" w:cs="Times New Roman"/>
          <w:b/>
          <w:noProof/>
          <w:color w:val="000000" w:themeColor="text1"/>
          <w:u w:val="single"/>
        </w:rPr>
      </w:pPr>
      <w:r w:rsidRPr="004A5029">
        <w:rPr>
          <w:rFonts w:ascii="Times New Roman" w:hAnsi="Times New Roman" w:cs="Times New Roman"/>
          <w:b/>
          <w:noProof/>
          <w:color w:val="000000" w:themeColor="text1"/>
        </w:rPr>
        <w:t>L’ambito di applicazione, il responsabile unico e le fasi dell’affidamento.</w:t>
      </w:r>
    </w:p>
    <w:p w14:paraId="450EA2D7" w14:textId="77777777" w:rsidR="00446F27" w:rsidRPr="004A5029" w:rsidRDefault="00446F27" w:rsidP="00446F27">
      <w:pPr>
        <w:jc w:val="both"/>
        <w:rPr>
          <w:rFonts w:ascii="Times New Roman" w:hAnsi="Times New Roman" w:cs="Times New Roman"/>
          <w:color w:val="000000" w:themeColor="text1"/>
        </w:rPr>
      </w:pPr>
    </w:p>
    <w:p w14:paraId="72BFD9DF"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hAnsi="Times New Roman" w:cs="Times New Roman"/>
          <w:b/>
          <w:color w:val="000000" w:themeColor="text1"/>
        </w:rPr>
        <w:t xml:space="preserve">Articolo </w:t>
      </w:r>
      <w:bookmarkStart w:id="9" w:name="_Toc111898692"/>
      <w:bookmarkStart w:id="10" w:name="_Toc112667627"/>
      <w:bookmarkStart w:id="11" w:name="_Toc112739438"/>
      <w:bookmarkStart w:id="12" w:name="_Toc112864117"/>
      <w:r w:rsidRPr="004A5029">
        <w:rPr>
          <w:rFonts w:ascii="Times New Roman" w:hAnsi="Times New Roman" w:cs="Times New Roman"/>
          <w:b/>
          <w:color w:val="000000" w:themeColor="text1"/>
        </w:rPr>
        <w:t>13.</w:t>
      </w:r>
    </w:p>
    <w:p w14:paraId="1E98D19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heme="majorEastAsia" w:hAnsi="Times New Roman" w:cs="Times New Roman"/>
          <w:i/>
          <w:color w:val="000000" w:themeColor="text1"/>
        </w:rPr>
        <w:t>Ambito di applicazione</w:t>
      </w:r>
      <w:bookmarkEnd w:id="9"/>
      <w:bookmarkEnd w:id="10"/>
      <w:bookmarkEnd w:id="11"/>
      <w:bookmarkEnd w:id="12"/>
      <w:r w:rsidRPr="004A5029">
        <w:rPr>
          <w:rFonts w:ascii="Times New Roman" w:hAnsi="Times New Roman" w:cs="Times New Roman"/>
          <w:i/>
          <w:color w:val="000000" w:themeColor="text1"/>
        </w:rPr>
        <w:t>.</w:t>
      </w:r>
    </w:p>
    <w:p w14:paraId="0B6B75D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disposizioni del codice si applicano ai contratti di appalto e di concessione.</w:t>
      </w:r>
    </w:p>
    <w:p w14:paraId="3A2D340E" w14:textId="77777777"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bCs/>
          <w:color w:val="000000" w:themeColor="text1"/>
        </w:rPr>
        <w:t>2. Le disposizioni del codice non si applicano ai contratti esclusi, ai contratti attivi e ai contratti a titolo gratuito, anche qualora essi offrano opportunità di guadagno economico, anche indiretto.</w:t>
      </w:r>
    </w:p>
    <w:p w14:paraId="108C8771" w14:textId="06F27FA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Le disposizioni del codice non si applicano ai contratti di società e alle operazioni straordinarie che non comportino nuovi affidamenti di lavori, servizi e forniture. Restano ferme le disposizioni del </w:t>
      </w:r>
      <w:r w:rsidR="00F87E72" w:rsidRPr="004A5029">
        <w:rPr>
          <w:rFonts w:ascii="Times New Roman" w:hAnsi="Times New Roman" w:cs="Times New Roman"/>
          <w:b/>
          <w:bCs/>
          <w:color w:val="000000" w:themeColor="text1"/>
        </w:rPr>
        <w:t>t</w:t>
      </w:r>
      <w:r w:rsidR="00F87E72" w:rsidRPr="004A5029">
        <w:rPr>
          <w:rFonts w:ascii="Times New Roman" w:hAnsi="Times New Roman" w:cs="Times New Roman"/>
          <w:b/>
          <w:bCs/>
          <w:color w:val="000000" w:themeColor="text1"/>
          <w:shd w:val="clear" w:color="auto" w:fill="FFFFFF"/>
        </w:rPr>
        <w:t>esto unico in materia di società a partecipazione pubblica</w:t>
      </w:r>
      <w:r w:rsidR="0030786B" w:rsidRPr="004A5029">
        <w:rPr>
          <w:rFonts w:ascii="Times New Roman" w:eastAsia="Calibri" w:hAnsi="Times New Roman" w:cs="Times New Roman"/>
          <w:b/>
          <w:bCs/>
          <w:color w:val="000000" w:themeColor="text1"/>
        </w:rPr>
        <w:t>,</w:t>
      </w:r>
      <w:r w:rsidR="00F87E72" w:rsidRPr="004A5029">
        <w:rPr>
          <w:rFonts w:ascii="Times New Roman" w:hAnsi="Times New Roman" w:cs="Times New Roman"/>
          <w:b/>
          <w:bCs/>
          <w:color w:val="000000" w:themeColor="text1"/>
          <w:shd w:val="clear" w:color="auto" w:fill="FFFFFF"/>
        </w:rPr>
        <w:t xml:space="preserve"> di cui al</w:t>
      </w:r>
      <w:r w:rsidR="00F87E72" w:rsidRPr="004A5029">
        <w:rPr>
          <w:rFonts w:ascii="Times New Roman" w:hAnsi="Times New Roman" w:cs="Times New Roman"/>
          <w:color w:val="000000" w:themeColor="text1"/>
          <w:shd w:val="clear" w:color="auto" w:fill="FFFFFF"/>
        </w:rPr>
        <w:t xml:space="preserve"> </w:t>
      </w:r>
      <w:r w:rsidRPr="004A5029">
        <w:rPr>
          <w:rFonts w:ascii="Times New Roman" w:hAnsi="Times New Roman" w:cs="Times New Roman"/>
          <w:color w:val="000000" w:themeColor="text1"/>
        </w:rPr>
        <w:t>decreto legislativo 19 agosto 2016, n. 175, in materia di scelta del socio privato e di cessione di quote o di azioni.</w:t>
      </w:r>
    </w:p>
    <w:p w14:paraId="598594EA" w14:textId="5D8B7683" w:rsidR="00F84D34" w:rsidRPr="004A5029" w:rsidRDefault="00F84D34"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Con</w:t>
      </w:r>
      <w:r w:rsidR="00925DDC" w:rsidRPr="004A5029">
        <w:rPr>
          <w:rFonts w:ascii="Times New Roman" w:hAnsi="Times New Roman" w:cs="Times New Roman"/>
          <w:bCs/>
          <w:color w:val="000000" w:themeColor="text1"/>
        </w:rPr>
        <w:t xml:space="preserve"> regolamento</w:t>
      </w:r>
      <w:r w:rsidRPr="004A5029">
        <w:rPr>
          <w:rFonts w:ascii="Times New Roman" w:hAnsi="Times New Roman" w:cs="Times New Roman"/>
          <w:bCs/>
          <w:color w:val="000000" w:themeColor="text1"/>
        </w:rPr>
        <w:t xml:space="preserve"> del Ministro degli affari esteri e della cooperazione internazionale, adottato ai sensi dell’articolo 17, comma 3, della legge 23 agosto 1988, n. 400, </w:t>
      </w:r>
      <w:r w:rsidR="001E65A9" w:rsidRPr="004A5029">
        <w:rPr>
          <w:rFonts w:ascii="Times New Roman" w:hAnsi="Times New Roman" w:cs="Times New Roman"/>
          <w:bCs/>
          <w:color w:val="000000" w:themeColor="text1"/>
        </w:rPr>
        <w:t>sentita l</w:t>
      </w:r>
      <w:r w:rsidR="00475A3F" w:rsidRPr="004A5029">
        <w:rPr>
          <w:rFonts w:ascii="Times New Roman" w:hAnsi="Times New Roman" w:cs="Times New Roman"/>
          <w:bCs/>
          <w:color w:val="000000" w:themeColor="text1"/>
        </w:rPr>
        <w:t>’</w:t>
      </w:r>
      <w:r w:rsidR="00475A3F" w:rsidRPr="004A5029">
        <w:rPr>
          <w:rFonts w:ascii="Times New Roman" w:hAnsi="Times New Roman" w:cs="Times New Roman"/>
          <w:b/>
          <w:color w:val="000000" w:themeColor="text1"/>
        </w:rPr>
        <w:t xml:space="preserve">Autorità nazionale anticorruzione </w:t>
      </w:r>
      <w:r w:rsidR="00475A3F" w:rsidRPr="004A5029">
        <w:rPr>
          <w:rFonts w:ascii="Times New Roman" w:hAnsi="Times New Roman" w:cs="Times New Roman"/>
          <w:bCs/>
          <w:color w:val="000000" w:themeColor="text1"/>
        </w:rPr>
        <w:t>(</w:t>
      </w:r>
      <w:r w:rsidR="001E65A9" w:rsidRPr="004A5029">
        <w:rPr>
          <w:rFonts w:ascii="Times New Roman" w:hAnsi="Times New Roman" w:cs="Times New Roman"/>
          <w:bCs/>
          <w:color w:val="000000" w:themeColor="text1"/>
        </w:rPr>
        <w:t>ANAC</w:t>
      </w:r>
      <w:r w:rsidR="00475A3F" w:rsidRPr="004A5029">
        <w:rPr>
          <w:rFonts w:ascii="Times New Roman" w:hAnsi="Times New Roman" w:cs="Times New Roman"/>
          <w:b/>
          <w:color w:val="000000" w:themeColor="text1"/>
        </w:rPr>
        <w:t>)</w:t>
      </w:r>
      <w:r w:rsidR="001E65A9"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sono disciplinate, le procedure di scelta del contraente e l'esecuzione del contratto da svolgersi all'estero, tenuto conto dei principi fondamentali del presente codice e delle procedure applicate dall'Unione europea e dalle organizzazioni internazionali di cui l'Italia è parte. Resta ferma l'applicazione del presente codice alle procedure di affidamento svolte in Italia. </w:t>
      </w:r>
    </w:p>
    <w:p w14:paraId="75908D13" w14:textId="524ECCB3" w:rsidR="00446F27" w:rsidRPr="004A5029" w:rsidRDefault="00F84D34" w:rsidP="00446F27">
      <w:pPr>
        <w:pBdr>
          <w:top w:val="none" w:sz="0" w:space="1" w:color="auto"/>
          <w:bottom w:val="none" w:sz="0" w:space="1" w:color="auto"/>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w:t>
      </w:r>
      <w:r w:rsidR="00446F27" w:rsidRPr="004A5029">
        <w:rPr>
          <w:rFonts w:ascii="Times New Roman" w:hAnsi="Times New Roman" w:cs="Times New Roman"/>
          <w:bCs/>
          <w:color w:val="000000" w:themeColor="text1"/>
        </w:rPr>
        <w:t>. L’affidamento dei contratti di cui al comma 2 che offrono opportunità di guadagno economico, anche indiretto, avviene tenendo conto dei principi di cui agli articoli 1, 2 e 3.</w:t>
      </w:r>
    </w:p>
    <w:p w14:paraId="3A2BE4DD" w14:textId="54F947F1" w:rsidR="00F84D34" w:rsidRPr="004A5029" w:rsidRDefault="00F84D34" w:rsidP="00446F27">
      <w:pPr>
        <w:pStyle w:val="Paragrafoelenco"/>
        <w:ind w:left="0"/>
        <w:contextualSpacing w:val="0"/>
        <w:jc w:val="both"/>
        <w:rPr>
          <w:rStyle w:val="normaltextrun"/>
          <w:rFonts w:ascii="Times New Roman" w:hAnsi="Times New Roman" w:cs="Times New Roman"/>
          <w:bCs/>
          <w:color w:val="000000" w:themeColor="text1"/>
        </w:rPr>
      </w:pPr>
      <w:r w:rsidRPr="004A5029">
        <w:rPr>
          <w:rStyle w:val="normaltextrun"/>
          <w:rFonts w:ascii="Times New Roman" w:hAnsi="Times New Roman" w:cs="Times New Roman"/>
          <w:bCs/>
          <w:color w:val="000000" w:themeColor="text1"/>
          <w:shd w:val="clear" w:color="auto" w:fill="FFFFFF"/>
        </w:rPr>
        <w:t>6</w:t>
      </w:r>
      <w:r w:rsidR="00446F27" w:rsidRPr="004A5029">
        <w:rPr>
          <w:rStyle w:val="normaltextrun"/>
          <w:rFonts w:ascii="Times New Roman" w:hAnsi="Times New Roman" w:cs="Times New Roman"/>
          <w:bCs/>
          <w:color w:val="000000" w:themeColor="text1"/>
          <w:shd w:val="clear" w:color="auto" w:fill="FFFFFF"/>
        </w:rPr>
        <w:t xml:space="preserve">. </w:t>
      </w:r>
      <w:r w:rsidR="00446F27" w:rsidRPr="004A5029">
        <w:rPr>
          <w:rStyle w:val="normaltextrun"/>
          <w:rFonts w:ascii="Times New Roman" w:hAnsi="Times New Roman" w:cs="Times New Roman"/>
          <w:bCs/>
          <w:color w:val="000000" w:themeColor="text1"/>
        </w:rPr>
        <w:t>L</w:t>
      </w:r>
      <w:r w:rsidR="00446F27" w:rsidRPr="004A5029">
        <w:rPr>
          <w:rStyle w:val="normaltextrun"/>
          <w:rFonts w:ascii="Times New Roman" w:hAnsi="Times New Roman" w:cs="Times New Roman"/>
          <w:bCs/>
          <w:color w:val="000000" w:themeColor="text1"/>
          <w:shd w:val="clear" w:color="auto" w:fill="FFFFFF"/>
        </w:rPr>
        <w:t xml:space="preserve">e definizioni </w:t>
      </w:r>
      <w:r w:rsidR="00446F27" w:rsidRPr="004A5029">
        <w:rPr>
          <w:rStyle w:val="normaltextrun"/>
          <w:rFonts w:ascii="Times New Roman" w:hAnsi="Times New Roman" w:cs="Times New Roman"/>
          <w:bCs/>
          <w:color w:val="000000" w:themeColor="text1"/>
        </w:rPr>
        <w:t>del codice sono contenute nell’</w:t>
      </w:r>
      <w:r w:rsidR="00446F27" w:rsidRPr="004A5029">
        <w:rPr>
          <w:rStyle w:val="normaltextrun"/>
          <w:rFonts w:ascii="Times New Roman" w:hAnsi="Times New Roman" w:cs="Times New Roman"/>
          <w:bCs/>
          <w:color w:val="000000" w:themeColor="text1"/>
          <w:shd w:val="clear" w:color="auto" w:fill="FFFFFF"/>
        </w:rPr>
        <w:t xml:space="preserve">allegato </w:t>
      </w:r>
      <w:r w:rsidR="00446F27" w:rsidRPr="004A5029">
        <w:rPr>
          <w:rStyle w:val="normaltextrun"/>
          <w:rFonts w:ascii="Times New Roman" w:hAnsi="Times New Roman" w:cs="Times New Roman"/>
          <w:bCs/>
          <w:color w:val="000000" w:themeColor="text1"/>
        </w:rPr>
        <w:t>I.1.</w:t>
      </w:r>
    </w:p>
    <w:p w14:paraId="7A49D45F" w14:textId="137C7951" w:rsidR="001E65A9" w:rsidRPr="004A5029" w:rsidRDefault="001E65A9" w:rsidP="00446F27">
      <w:pPr>
        <w:pStyle w:val="Paragrafoelenco"/>
        <w:ind w:left="0"/>
        <w:contextualSpacing w:val="0"/>
        <w:jc w:val="both"/>
        <w:rPr>
          <w:rStyle w:val="normaltextrun"/>
          <w:rFonts w:ascii="Times New Roman" w:hAnsi="Times New Roman" w:cs="Times New Roman"/>
          <w:color w:val="000000" w:themeColor="text1"/>
        </w:rPr>
      </w:pPr>
      <w:r w:rsidRPr="004A5029">
        <w:rPr>
          <w:rStyle w:val="normaltextrun"/>
          <w:rFonts w:ascii="Times New Roman" w:hAnsi="Times New Roman" w:cs="Times New Roman"/>
          <w:color w:val="000000" w:themeColor="text1"/>
        </w:rPr>
        <w:t>7. Le disposizioni del codice si applicano, altresì, all'aggiudicazione dei lavori pubblici da realizzarsi da parte di soggetti privati, titolari di permesso di costruire o di un altro titolo abilitativo, che assumono in via diretta l'esecuzione delle opere di urbanizzazione a scomputo totale o parziale del contributo previsto per il rilascio del permesso, ai sensi dell'articolo 16, comma 2, del</w:t>
      </w:r>
      <w:r w:rsidRPr="004A5029">
        <w:rPr>
          <w:rStyle w:val="normaltextrun"/>
          <w:rFonts w:ascii="Times New Roman" w:hAnsi="Times New Roman" w:cs="Times New Roman"/>
          <w:b/>
          <w:bCs/>
          <w:color w:val="000000" w:themeColor="text1"/>
        </w:rPr>
        <w:t xml:space="preserve"> </w:t>
      </w:r>
      <w:r w:rsidR="001B5CEA" w:rsidRPr="004A5029">
        <w:rPr>
          <w:rFonts w:ascii="Times New Roman" w:hAnsi="Times New Roman" w:cs="Times New Roman"/>
          <w:b/>
          <w:bCs/>
          <w:color w:val="000000" w:themeColor="text1"/>
        </w:rPr>
        <w:t>testo unico delle disposizioni legislative e regolamentari in materia di edilizia</w:t>
      </w:r>
      <w:r w:rsidR="0030786B" w:rsidRPr="004A5029">
        <w:rPr>
          <w:rFonts w:ascii="Times New Roman" w:eastAsia="Calibri" w:hAnsi="Times New Roman" w:cs="Times New Roman"/>
          <w:color w:val="000000" w:themeColor="text1"/>
        </w:rPr>
        <w:t>,</w:t>
      </w:r>
      <w:r w:rsidR="001B5CEA" w:rsidRPr="004A5029">
        <w:rPr>
          <w:rFonts w:ascii="Times New Roman" w:hAnsi="Times New Roman" w:cs="Times New Roman"/>
          <w:b/>
          <w:bCs/>
          <w:color w:val="000000" w:themeColor="text1"/>
        </w:rPr>
        <w:t xml:space="preserve"> di cui al</w:t>
      </w:r>
      <w:r w:rsidR="001B5CEA" w:rsidRPr="004A5029">
        <w:rPr>
          <w:rFonts w:ascii="Times New Roman" w:hAnsi="Times New Roman" w:cs="Times New Roman"/>
          <w:color w:val="000000" w:themeColor="text1"/>
        </w:rPr>
        <w:t xml:space="preserve"> </w:t>
      </w:r>
      <w:r w:rsidRPr="004A5029">
        <w:rPr>
          <w:rStyle w:val="normaltextrun"/>
          <w:rFonts w:ascii="Times New Roman" w:hAnsi="Times New Roman" w:cs="Times New Roman"/>
          <w:color w:val="000000" w:themeColor="text1"/>
        </w:rPr>
        <w:t>decreto del Presidente della Repubblica 6 giugno 2001, n. 380, e dell'articolo 28, comma 5, della legge 17 agosto 1942, n. 1150, ovvero eseguono le relative opere in regime di convenzione. L’allegato I.12 individua le modalità di affidamento delle opere di urbanizzazione a scomputo del contributo di costruzione.</w:t>
      </w:r>
    </w:p>
    <w:p w14:paraId="3DD355C9" w14:textId="77777777" w:rsidR="00446F27" w:rsidRPr="004A5029" w:rsidRDefault="00446F27" w:rsidP="00446F27">
      <w:pPr>
        <w:rPr>
          <w:rFonts w:ascii="Times New Roman" w:hAnsi="Times New Roman" w:cs="Times New Roman"/>
          <w:color w:val="000000" w:themeColor="text1"/>
        </w:rPr>
      </w:pPr>
    </w:p>
    <w:p w14:paraId="31B6D416" w14:textId="77777777" w:rsidR="00CE0BF3" w:rsidRDefault="00CE0BF3" w:rsidP="00446F27">
      <w:pPr>
        <w:jc w:val="both"/>
        <w:rPr>
          <w:rFonts w:ascii="Times New Roman" w:hAnsi="Times New Roman" w:cs="Times New Roman"/>
          <w:b/>
          <w:bCs/>
          <w:color w:val="000000" w:themeColor="text1"/>
        </w:rPr>
      </w:pPr>
    </w:p>
    <w:p w14:paraId="01206A04" w14:textId="77777777" w:rsidR="00CE0BF3" w:rsidRDefault="00CE0BF3" w:rsidP="00446F27">
      <w:pPr>
        <w:jc w:val="both"/>
        <w:rPr>
          <w:rFonts w:ascii="Times New Roman" w:hAnsi="Times New Roman" w:cs="Times New Roman"/>
          <w:b/>
          <w:bCs/>
          <w:color w:val="000000" w:themeColor="text1"/>
        </w:rPr>
      </w:pPr>
    </w:p>
    <w:p w14:paraId="3038307C" w14:textId="4DF312AE"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14.</w:t>
      </w:r>
    </w:p>
    <w:p w14:paraId="0ED181B9"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Calibri" w:hAnsi="Times New Roman" w:cs="Times New Roman"/>
          <w:i/>
          <w:iCs/>
          <w:color w:val="000000" w:themeColor="text1"/>
        </w:rPr>
        <w:t xml:space="preserve">Soglie di rilevanza europea e metodi di calcolo dell’importo stimato degli appalti. </w:t>
      </w:r>
      <w:r w:rsidRPr="004A5029">
        <w:rPr>
          <w:rFonts w:ascii="Times New Roman" w:eastAsia="Garamond" w:hAnsi="Times New Roman" w:cs="Times New Roman"/>
          <w:i/>
          <w:iCs/>
          <w:color w:val="000000" w:themeColor="text1"/>
        </w:rPr>
        <w:t>Disciplina dei contratti misti.</w:t>
      </w:r>
    </w:p>
    <w:p w14:paraId="7CB2E34D"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color w:val="000000" w:themeColor="text1"/>
        </w:rPr>
        <w:t xml:space="preserve">1. </w:t>
      </w:r>
      <w:r w:rsidRPr="004A5029">
        <w:rPr>
          <w:rFonts w:ascii="Times New Roman" w:eastAsia="Calibri" w:hAnsi="Times New Roman" w:cs="Times New Roman"/>
          <w:iCs/>
          <w:color w:val="000000" w:themeColor="text1"/>
        </w:rPr>
        <w:t>Per l'applicazione del codice le soglie di rilevanza europea sono:</w:t>
      </w:r>
    </w:p>
    <w:p w14:paraId="5C2FCAAD" w14:textId="77777777"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euro 5.382.000 per gli appalti pubblici di lavori e per le concessioni;</w:t>
      </w:r>
    </w:p>
    <w:p w14:paraId="7E780FA6" w14:textId="77777777"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b) euro </w:t>
      </w:r>
      <w:r w:rsidRPr="004A5029">
        <w:rPr>
          <w:rFonts w:ascii="Times New Roman" w:eastAsia="Calibri" w:hAnsi="Times New Roman" w:cs="Times New Roman"/>
          <w:bCs/>
          <w:iCs/>
          <w:color w:val="000000" w:themeColor="text1"/>
        </w:rPr>
        <w:t>140.000</w:t>
      </w:r>
      <w:r w:rsidRPr="004A5029">
        <w:rPr>
          <w:rFonts w:ascii="Times New Roman" w:eastAsia="Calibri" w:hAnsi="Times New Roman" w:cs="Times New Roman"/>
          <w:iCs/>
          <w:color w:val="000000" w:themeColor="text1"/>
        </w:rPr>
        <w:t xml:space="preserve"> per gli appalti pubblici di forniture, di servizi e per i concorsi pubblici di progettazione aggiudicati dalle </w:t>
      </w:r>
      <w:r w:rsidRPr="004A5029">
        <w:rPr>
          <w:rFonts w:ascii="Times New Roman" w:eastAsia="Calibri" w:hAnsi="Times New Roman" w:cs="Times New Roman"/>
          <w:bCs/>
          <w:iCs/>
          <w:color w:val="000000" w:themeColor="text1"/>
        </w:rPr>
        <w:t xml:space="preserve">stazioni appaltanti </w:t>
      </w:r>
      <w:r w:rsidRPr="004A5029">
        <w:rPr>
          <w:rFonts w:ascii="Times New Roman" w:eastAsia="Calibri" w:hAnsi="Times New Roman" w:cs="Times New Roman"/>
          <w:iCs/>
          <w:color w:val="000000" w:themeColor="text1"/>
        </w:rPr>
        <w:t xml:space="preserve">che sono autorità governative centrali indicate nell'allegato </w:t>
      </w:r>
      <w:r w:rsidRPr="004A5029">
        <w:rPr>
          <w:rFonts w:ascii="Times New Roman" w:eastAsia="Calibri" w:hAnsi="Times New Roman" w:cs="Times New Roman"/>
          <w:bCs/>
          <w:iCs/>
          <w:color w:val="000000" w:themeColor="text1"/>
        </w:rPr>
        <w:t>I alla direttiva 2014/24/UE del Parlamento europeo e del Consiglio, del 26 febbraio 2014;</w:t>
      </w:r>
      <w:r w:rsidRPr="004A5029">
        <w:rPr>
          <w:rFonts w:ascii="Times New Roman" w:eastAsia="Calibri" w:hAnsi="Times New Roman" w:cs="Times New Roman"/>
          <w:iCs/>
          <w:color w:val="000000" w:themeColor="text1"/>
        </w:rPr>
        <w:t xml:space="preserve"> se gli appalti pubblici di forniture sono aggiudicati da </w:t>
      </w:r>
      <w:r w:rsidRPr="004A5029">
        <w:rPr>
          <w:rFonts w:ascii="Times New Roman" w:eastAsia="Calibri" w:hAnsi="Times New Roman" w:cs="Times New Roman"/>
          <w:bCs/>
          <w:iCs/>
          <w:color w:val="000000" w:themeColor="text1"/>
        </w:rPr>
        <w:t xml:space="preserve">stazioni appaltanti </w:t>
      </w:r>
      <w:r w:rsidRPr="004A5029">
        <w:rPr>
          <w:rFonts w:ascii="Times New Roman" w:eastAsia="Calibri" w:hAnsi="Times New Roman" w:cs="Times New Roman"/>
          <w:iCs/>
          <w:color w:val="000000" w:themeColor="text1"/>
        </w:rPr>
        <w:t xml:space="preserve">operanti nel settore della difesa, questa soglia si applica solo agli appalti concernenti i prodotti menzionati nell'allegato </w:t>
      </w:r>
      <w:r w:rsidRPr="004A5029">
        <w:rPr>
          <w:rFonts w:ascii="Times New Roman" w:eastAsia="Calibri" w:hAnsi="Times New Roman" w:cs="Times New Roman"/>
          <w:bCs/>
          <w:iCs/>
          <w:color w:val="000000" w:themeColor="text1"/>
        </w:rPr>
        <w:t xml:space="preserve">III alla </w:t>
      </w:r>
      <w:r w:rsidRPr="004A5029">
        <w:rPr>
          <w:rFonts w:ascii="Times New Roman" w:eastAsia="Calibri" w:hAnsi="Times New Roman" w:cs="Times New Roman"/>
          <w:b/>
          <w:iCs/>
          <w:strike/>
          <w:color w:val="000000" w:themeColor="text1"/>
        </w:rPr>
        <w:t>predetta</w:t>
      </w:r>
      <w:r w:rsidRPr="004A5029">
        <w:rPr>
          <w:rFonts w:ascii="Times New Roman" w:eastAsia="Calibri" w:hAnsi="Times New Roman" w:cs="Times New Roman"/>
          <w:bCs/>
          <w:iCs/>
          <w:color w:val="000000" w:themeColor="text1"/>
        </w:rPr>
        <w:t xml:space="preserve"> direttiva</w:t>
      </w:r>
      <w:r w:rsidR="00C13D83" w:rsidRPr="004A5029">
        <w:rPr>
          <w:rFonts w:ascii="Times New Roman" w:eastAsia="Calibri" w:hAnsi="Times New Roman" w:cs="Times New Roman"/>
          <w:bCs/>
          <w:iCs/>
          <w:color w:val="000000" w:themeColor="text1"/>
        </w:rPr>
        <w:t xml:space="preserve"> </w:t>
      </w:r>
      <w:r w:rsidR="00C13D83" w:rsidRPr="004A5029">
        <w:rPr>
          <w:rFonts w:ascii="Times New Roman" w:eastAsia="Calibri" w:hAnsi="Times New Roman" w:cs="Times New Roman"/>
          <w:b/>
          <w:iCs/>
          <w:color w:val="000000" w:themeColor="text1"/>
        </w:rPr>
        <w:t>2014/24/UE</w:t>
      </w:r>
      <w:r w:rsidRPr="004A5029">
        <w:rPr>
          <w:rFonts w:ascii="Times New Roman" w:eastAsia="Calibri" w:hAnsi="Times New Roman" w:cs="Times New Roman"/>
          <w:bCs/>
          <w:iCs/>
          <w:color w:val="000000" w:themeColor="text1"/>
        </w:rPr>
        <w:t>;</w:t>
      </w:r>
    </w:p>
    <w:p w14:paraId="1BD4A59E" w14:textId="77FF60D6"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c) euro </w:t>
      </w:r>
      <w:r w:rsidRPr="004A5029">
        <w:rPr>
          <w:rFonts w:ascii="Times New Roman" w:eastAsia="Calibri" w:hAnsi="Times New Roman" w:cs="Times New Roman"/>
          <w:bCs/>
          <w:iCs/>
          <w:color w:val="000000" w:themeColor="text1"/>
        </w:rPr>
        <w:t>215.000</w:t>
      </w:r>
      <w:r w:rsidRPr="004A5029">
        <w:rPr>
          <w:rFonts w:ascii="Times New Roman" w:eastAsia="Calibri" w:hAnsi="Times New Roman" w:cs="Times New Roman"/>
          <w:iCs/>
          <w:color w:val="000000" w:themeColor="text1"/>
        </w:rPr>
        <w:t xml:space="preserve"> per gli appalti pubblici di forniture, di servizi e per i concorsi pubblici di progettazione aggiudicati da </w:t>
      </w:r>
      <w:r w:rsidRPr="004A5029">
        <w:rPr>
          <w:rFonts w:ascii="Times New Roman" w:eastAsia="Calibri" w:hAnsi="Times New Roman" w:cs="Times New Roman"/>
          <w:bCs/>
          <w:iCs/>
          <w:color w:val="000000" w:themeColor="text1"/>
        </w:rPr>
        <w:t>stazioni appaltanti</w:t>
      </w:r>
      <w:r w:rsidRPr="004A5029">
        <w:rPr>
          <w:rFonts w:ascii="Times New Roman" w:eastAsia="Calibri" w:hAnsi="Times New Roman" w:cs="Times New Roman"/>
          <w:iCs/>
          <w:color w:val="000000" w:themeColor="text1"/>
        </w:rPr>
        <w:t xml:space="preserve"> sub-centrali; </w:t>
      </w:r>
      <w:r w:rsidRPr="004A5029">
        <w:rPr>
          <w:rFonts w:ascii="Times New Roman" w:eastAsia="Calibri" w:hAnsi="Times New Roman" w:cs="Times New Roman"/>
          <w:bCs/>
          <w:iCs/>
          <w:color w:val="000000" w:themeColor="text1"/>
        </w:rPr>
        <w:t>questa</w:t>
      </w:r>
      <w:r w:rsidRPr="004A5029">
        <w:rPr>
          <w:rFonts w:ascii="Times New Roman" w:eastAsia="Calibri" w:hAnsi="Times New Roman" w:cs="Times New Roman"/>
          <w:iCs/>
          <w:color w:val="000000" w:themeColor="text1"/>
        </w:rPr>
        <w:t xml:space="preserve"> soglia si applica anche agli appalti pubblici di forniture aggiudicati dalle autorità governative centrali che operano nel settore della difesa, </w:t>
      </w:r>
      <w:r w:rsidRPr="004A5029">
        <w:rPr>
          <w:rFonts w:ascii="Times New Roman" w:eastAsia="Calibri" w:hAnsi="Times New Roman" w:cs="Times New Roman"/>
          <w:bCs/>
          <w:iCs/>
          <w:color w:val="000000" w:themeColor="text1"/>
        </w:rPr>
        <w:t>quando</w:t>
      </w:r>
      <w:r w:rsidRPr="004A5029">
        <w:rPr>
          <w:rFonts w:ascii="Times New Roman" w:eastAsia="Calibri" w:hAnsi="Times New Roman" w:cs="Times New Roman"/>
          <w:iCs/>
          <w:color w:val="000000" w:themeColor="text1"/>
        </w:rPr>
        <w:t xml:space="preserve"> </w:t>
      </w:r>
      <w:r w:rsidRPr="004A5029">
        <w:rPr>
          <w:rFonts w:ascii="Times New Roman" w:eastAsia="Calibri" w:hAnsi="Times New Roman" w:cs="Times New Roman"/>
          <w:bCs/>
          <w:iCs/>
          <w:color w:val="000000" w:themeColor="text1"/>
        </w:rPr>
        <w:t>gli</w:t>
      </w:r>
      <w:r w:rsidRPr="004A5029">
        <w:rPr>
          <w:rFonts w:ascii="Times New Roman" w:eastAsia="Calibri" w:hAnsi="Times New Roman" w:cs="Times New Roman"/>
          <w:iCs/>
          <w:color w:val="000000" w:themeColor="text1"/>
        </w:rPr>
        <w:t xml:space="preserve"> appalti concernono prodotti non menzionati </w:t>
      </w:r>
      <w:r w:rsidRPr="004A5029">
        <w:rPr>
          <w:rFonts w:ascii="Times New Roman" w:eastAsia="Calibri" w:hAnsi="Times New Roman" w:cs="Times New Roman"/>
          <w:b/>
          <w:bCs/>
          <w:iCs/>
          <w:strike/>
          <w:color w:val="000000" w:themeColor="text1"/>
        </w:rPr>
        <w:t>nel predetto</w:t>
      </w:r>
      <w:r w:rsidRPr="004A5029">
        <w:rPr>
          <w:rFonts w:ascii="Times New Roman" w:eastAsia="Calibri" w:hAnsi="Times New Roman" w:cs="Times New Roman"/>
          <w:bCs/>
          <w:iCs/>
          <w:color w:val="000000" w:themeColor="text1"/>
        </w:rPr>
        <w:t xml:space="preserve"> </w:t>
      </w:r>
      <w:r w:rsidR="00E005BA" w:rsidRPr="004A5029">
        <w:rPr>
          <w:rFonts w:ascii="Times New Roman" w:eastAsia="Calibri" w:hAnsi="Times New Roman" w:cs="Times New Roman"/>
          <w:b/>
          <w:iCs/>
          <w:color w:val="000000" w:themeColor="text1"/>
        </w:rPr>
        <w:t>nell’</w:t>
      </w:r>
      <w:r w:rsidRPr="004A5029">
        <w:rPr>
          <w:rFonts w:ascii="Times New Roman" w:eastAsia="Calibri" w:hAnsi="Times New Roman" w:cs="Times New Roman"/>
          <w:bCs/>
          <w:iCs/>
          <w:color w:val="000000" w:themeColor="text1"/>
        </w:rPr>
        <w:t>allegato III</w:t>
      </w:r>
      <w:r w:rsidR="00C13D83" w:rsidRPr="004A5029">
        <w:rPr>
          <w:rFonts w:ascii="Times New Roman" w:eastAsia="Calibri" w:hAnsi="Times New Roman" w:cs="Times New Roman"/>
          <w:bCs/>
          <w:iCs/>
          <w:color w:val="000000" w:themeColor="text1"/>
        </w:rPr>
        <w:t xml:space="preserve"> </w:t>
      </w:r>
      <w:r w:rsidR="00C13D83" w:rsidRPr="004A5029">
        <w:rPr>
          <w:rFonts w:ascii="Times New Roman" w:eastAsia="Calibri" w:hAnsi="Times New Roman" w:cs="Times New Roman"/>
          <w:b/>
          <w:iCs/>
          <w:color w:val="000000" w:themeColor="text1"/>
        </w:rPr>
        <w:t>alla direttiva</w:t>
      </w:r>
      <w:r w:rsidR="00C13D83" w:rsidRPr="004A5029">
        <w:rPr>
          <w:rFonts w:ascii="Times New Roman" w:eastAsia="Calibri" w:hAnsi="Times New Roman" w:cs="Times New Roman"/>
          <w:bCs/>
          <w:iCs/>
          <w:color w:val="000000" w:themeColor="text1"/>
        </w:rPr>
        <w:t xml:space="preserve"> </w:t>
      </w:r>
      <w:r w:rsidR="00C13D83" w:rsidRPr="004A5029">
        <w:rPr>
          <w:rFonts w:ascii="Times New Roman" w:eastAsia="Calibri" w:hAnsi="Times New Roman" w:cs="Times New Roman"/>
          <w:b/>
          <w:iCs/>
          <w:color w:val="000000" w:themeColor="text1"/>
        </w:rPr>
        <w:t>2014/24/UE</w:t>
      </w:r>
      <w:r w:rsidRPr="004A5029">
        <w:rPr>
          <w:rFonts w:ascii="Times New Roman" w:eastAsia="Calibri" w:hAnsi="Times New Roman" w:cs="Times New Roman"/>
          <w:bCs/>
          <w:iCs/>
          <w:color w:val="000000" w:themeColor="text1"/>
        </w:rPr>
        <w:t>;</w:t>
      </w:r>
    </w:p>
    <w:p w14:paraId="6C5D1DB9" w14:textId="3920010A" w:rsidR="00446F27"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d) euro 750.000 per gli appalti di servizi sociali e </w:t>
      </w:r>
      <w:r w:rsidRPr="004A5029">
        <w:rPr>
          <w:rFonts w:ascii="Times New Roman" w:eastAsia="Calibri" w:hAnsi="Times New Roman" w:cs="Times New Roman"/>
          <w:bCs/>
          <w:iCs/>
          <w:color w:val="000000" w:themeColor="text1"/>
        </w:rPr>
        <w:t>assimilati</w:t>
      </w:r>
      <w:r w:rsidRPr="004A5029">
        <w:rPr>
          <w:rFonts w:ascii="Times New Roman" w:eastAsia="Calibri" w:hAnsi="Times New Roman" w:cs="Times New Roman"/>
          <w:iCs/>
          <w:color w:val="000000" w:themeColor="text1"/>
        </w:rPr>
        <w:t xml:space="preserve"> elencati all'allegato </w:t>
      </w:r>
      <w:r w:rsidRPr="004A5029">
        <w:rPr>
          <w:rFonts w:ascii="Times New Roman" w:eastAsia="Calibri" w:hAnsi="Times New Roman" w:cs="Times New Roman"/>
          <w:bCs/>
          <w:iCs/>
          <w:color w:val="000000" w:themeColor="text1"/>
        </w:rPr>
        <w:t xml:space="preserve">XIV alla direttiva </w:t>
      </w:r>
      <w:r w:rsidR="00C13D83" w:rsidRPr="004A5029">
        <w:rPr>
          <w:rFonts w:ascii="Times New Roman" w:eastAsia="Calibri" w:hAnsi="Times New Roman" w:cs="Times New Roman"/>
          <w:b/>
          <w:iCs/>
          <w:color w:val="000000" w:themeColor="text1"/>
        </w:rPr>
        <w:t>201</w:t>
      </w:r>
      <w:r w:rsidR="00C13D83" w:rsidRPr="004A5029">
        <w:rPr>
          <w:rFonts w:ascii="Times New Roman" w:eastAsia="Calibri" w:hAnsi="Times New Roman" w:cs="Times New Roman"/>
          <w:b/>
          <w:color w:val="000000" w:themeColor="text1"/>
        </w:rPr>
        <w:t>4/24/UE</w:t>
      </w:r>
      <w:r w:rsidR="00C13D83" w:rsidRPr="004A5029">
        <w:rPr>
          <w:rFonts w:ascii="Times New Roman" w:eastAsia="Calibri" w:hAnsi="Times New Roman" w:cs="Times New Roman"/>
          <w:bCs/>
          <w:strike/>
          <w:color w:val="000000" w:themeColor="text1"/>
        </w:rPr>
        <w:t xml:space="preserve"> </w:t>
      </w:r>
      <w:r w:rsidRPr="004A5029">
        <w:rPr>
          <w:rFonts w:ascii="Times New Roman" w:eastAsia="Calibri" w:hAnsi="Times New Roman" w:cs="Times New Roman"/>
          <w:b/>
          <w:strike/>
          <w:color w:val="000000" w:themeColor="text1"/>
        </w:rPr>
        <w:t>sopracitata</w:t>
      </w:r>
      <w:r w:rsidRPr="004A5029">
        <w:rPr>
          <w:rFonts w:ascii="Times New Roman" w:eastAsia="Calibri" w:hAnsi="Times New Roman" w:cs="Times New Roman"/>
          <w:bCs/>
          <w:color w:val="000000" w:themeColor="text1"/>
        </w:rPr>
        <w:t>.</w:t>
      </w:r>
    </w:p>
    <w:p w14:paraId="610B5FBE"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2. Nei settori speciali le soglie di rilevanza europea sono:</w:t>
      </w:r>
    </w:p>
    <w:p w14:paraId="21AA48E3" w14:textId="77777777"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euro 5.382.000 per gli appalti di lavori;</w:t>
      </w:r>
    </w:p>
    <w:p w14:paraId="3F077476" w14:textId="77777777"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b) euro 431.000 per gli appalti di forniture, di servizi e per i concorsi pubblici di progettazione;</w:t>
      </w:r>
    </w:p>
    <w:p w14:paraId="4EBE3A9D" w14:textId="3D7E093D" w:rsidR="00446F27"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c) euro 1.000.000 per i contratti di servizi, per i servizi sociali e </w:t>
      </w:r>
      <w:r w:rsidRPr="004A5029">
        <w:rPr>
          <w:rFonts w:ascii="Times New Roman" w:eastAsia="Calibri" w:hAnsi="Times New Roman" w:cs="Times New Roman"/>
          <w:bCs/>
          <w:iCs/>
          <w:color w:val="000000" w:themeColor="text1"/>
        </w:rPr>
        <w:t>assimilati</w:t>
      </w:r>
      <w:r w:rsidRPr="004A5029">
        <w:rPr>
          <w:rFonts w:ascii="Times New Roman" w:eastAsia="Calibri" w:hAnsi="Times New Roman" w:cs="Times New Roman"/>
          <w:iCs/>
          <w:color w:val="000000" w:themeColor="text1"/>
        </w:rPr>
        <w:t xml:space="preserve"> elencati </w:t>
      </w:r>
      <w:r w:rsidRPr="004A5029">
        <w:rPr>
          <w:rFonts w:ascii="Times New Roman" w:eastAsia="Calibri" w:hAnsi="Times New Roman" w:cs="Times New Roman"/>
          <w:b/>
          <w:iCs/>
          <w:strike/>
          <w:color w:val="000000" w:themeColor="text1"/>
        </w:rPr>
        <w:t>nel summenzionato</w:t>
      </w:r>
      <w:r w:rsidRPr="004A5029">
        <w:rPr>
          <w:rFonts w:ascii="Times New Roman" w:eastAsia="Calibri" w:hAnsi="Times New Roman" w:cs="Times New Roman"/>
          <w:iCs/>
          <w:color w:val="000000" w:themeColor="text1"/>
        </w:rPr>
        <w:t xml:space="preserve"> </w:t>
      </w:r>
      <w:r w:rsidR="00E005BA" w:rsidRPr="004A5029">
        <w:rPr>
          <w:rFonts w:ascii="Times New Roman" w:eastAsia="Calibri" w:hAnsi="Times New Roman" w:cs="Times New Roman"/>
          <w:b/>
          <w:iCs/>
          <w:color w:val="000000" w:themeColor="text1"/>
        </w:rPr>
        <w:t>nell’</w:t>
      </w:r>
      <w:r w:rsidRPr="004A5029">
        <w:rPr>
          <w:rFonts w:ascii="Times New Roman" w:eastAsia="Calibri" w:hAnsi="Times New Roman" w:cs="Times New Roman"/>
          <w:iCs/>
          <w:color w:val="000000" w:themeColor="text1"/>
        </w:rPr>
        <w:t>alle</w:t>
      </w:r>
      <w:r w:rsidRPr="004A5029">
        <w:rPr>
          <w:rFonts w:ascii="Times New Roman" w:eastAsia="Calibri" w:hAnsi="Times New Roman" w:cs="Times New Roman"/>
          <w:color w:val="000000" w:themeColor="text1"/>
        </w:rPr>
        <w:t xml:space="preserve">gato </w:t>
      </w:r>
      <w:r w:rsidRPr="004A5029">
        <w:rPr>
          <w:rFonts w:ascii="Times New Roman" w:eastAsia="Calibri" w:hAnsi="Times New Roman" w:cs="Times New Roman"/>
          <w:bCs/>
          <w:color w:val="000000" w:themeColor="text1"/>
        </w:rPr>
        <w:t>XIV</w:t>
      </w:r>
      <w:r w:rsidR="00C13D83" w:rsidRPr="004A5029">
        <w:rPr>
          <w:rFonts w:ascii="Times New Roman" w:eastAsia="Calibri" w:hAnsi="Times New Roman" w:cs="Times New Roman"/>
          <w:bCs/>
          <w:color w:val="000000" w:themeColor="text1"/>
        </w:rPr>
        <w:t xml:space="preserve"> </w:t>
      </w:r>
      <w:r w:rsidR="00C13D83" w:rsidRPr="004A5029">
        <w:rPr>
          <w:rFonts w:ascii="Times New Roman" w:eastAsia="Calibri" w:hAnsi="Times New Roman" w:cs="Times New Roman"/>
          <w:b/>
          <w:color w:val="000000" w:themeColor="text1"/>
        </w:rPr>
        <w:t>alla direttiva 2014/24/UE</w:t>
      </w:r>
      <w:r w:rsidRPr="004A5029">
        <w:rPr>
          <w:rFonts w:ascii="Times New Roman" w:eastAsia="Calibri" w:hAnsi="Times New Roman" w:cs="Times New Roman"/>
          <w:bCs/>
          <w:color w:val="000000" w:themeColor="text1"/>
        </w:rPr>
        <w:t>.</w:t>
      </w:r>
    </w:p>
    <w:p w14:paraId="0175778D" w14:textId="711041EA"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3. Le soglie di cui al presente articolo sono periodicamente rideterminate con provvedimento della Commissione europea</w:t>
      </w:r>
      <w:r w:rsidRPr="004A5029">
        <w:rPr>
          <w:rFonts w:ascii="Times New Roman" w:eastAsia="Calibri" w:hAnsi="Times New Roman" w:cs="Times New Roman"/>
          <w:b/>
          <w:bCs/>
          <w:iCs/>
          <w:color w:val="000000" w:themeColor="text1"/>
        </w:rPr>
        <w:t>,</w:t>
      </w:r>
      <w:r w:rsidRPr="004A5029">
        <w:rPr>
          <w:rFonts w:ascii="Times New Roman" w:eastAsia="Calibri" w:hAnsi="Times New Roman" w:cs="Times New Roman"/>
          <w:b/>
          <w:bCs/>
          <w:iCs/>
          <w:strike/>
          <w:color w:val="000000" w:themeColor="text1"/>
        </w:rPr>
        <w:t xml:space="preserve"> immediatamente applicabile con la pubblicazione</w:t>
      </w:r>
      <w:r w:rsidRPr="004A5029">
        <w:rPr>
          <w:rFonts w:ascii="Times New Roman" w:eastAsia="Calibri" w:hAnsi="Times New Roman" w:cs="Times New Roman"/>
          <w:b/>
          <w:bCs/>
          <w:iCs/>
          <w:color w:val="000000" w:themeColor="text1"/>
        </w:rPr>
        <w:t xml:space="preserve"> </w:t>
      </w:r>
      <w:r w:rsidR="00D8081E" w:rsidRPr="004A5029">
        <w:rPr>
          <w:rFonts w:ascii="Times New Roman" w:eastAsia="Calibri" w:hAnsi="Times New Roman" w:cs="Times New Roman"/>
          <w:b/>
          <w:bCs/>
          <w:iCs/>
          <w:color w:val="000000" w:themeColor="text1"/>
        </w:rPr>
        <w:t>pubblicato</w:t>
      </w:r>
      <w:r w:rsidR="00D8081E" w:rsidRPr="004A5029">
        <w:rPr>
          <w:rFonts w:ascii="Times New Roman" w:eastAsia="Calibri" w:hAnsi="Times New Roman" w:cs="Times New Roman"/>
          <w:iCs/>
          <w:color w:val="000000" w:themeColor="text1"/>
        </w:rPr>
        <w:t xml:space="preserve"> </w:t>
      </w:r>
      <w:r w:rsidRPr="004A5029">
        <w:rPr>
          <w:rFonts w:ascii="Times New Roman" w:eastAsia="Calibri" w:hAnsi="Times New Roman" w:cs="Times New Roman"/>
          <w:iCs/>
          <w:color w:val="000000" w:themeColor="text1"/>
        </w:rPr>
        <w:t xml:space="preserve">nella </w:t>
      </w:r>
      <w:r w:rsidR="008E3EC3" w:rsidRPr="004A5029">
        <w:rPr>
          <w:rFonts w:ascii="Times New Roman" w:eastAsia="Calibri" w:hAnsi="Times New Roman" w:cs="Times New Roman"/>
          <w:iCs/>
          <w:color w:val="000000" w:themeColor="text1"/>
        </w:rPr>
        <w:t xml:space="preserve">Gazzetta </w:t>
      </w:r>
      <w:r w:rsidR="00165AF7" w:rsidRPr="004A5029">
        <w:rPr>
          <w:rFonts w:ascii="Times New Roman" w:hAnsi="Times New Roman" w:cs="Times New Roman"/>
          <w:color w:val="000000" w:themeColor="text1"/>
        </w:rPr>
        <w:t>u</w:t>
      </w:r>
      <w:r w:rsidRPr="004A5029">
        <w:rPr>
          <w:rFonts w:ascii="Times New Roman" w:eastAsia="Calibri" w:hAnsi="Times New Roman" w:cs="Times New Roman"/>
          <w:iCs/>
          <w:color w:val="000000" w:themeColor="text1"/>
        </w:rPr>
        <w:t>fficiale dell'Unione europea.</w:t>
      </w:r>
    </w:p>
    <w:p w14:paraId="6E63F178" w14:textId="17530809"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4. Il calcolo dell’importo stimato di un appalto pubblico di lavori, servizi e forniture è basato sull'importo totale pagabile, al netto dell'</w:t>
      </w:r>
      <w:r w:rsidR="00C13D83" w:rsidRPr="004A5029">
        <w:rPr>
          <w:rFonts w:ascii="Times New Roman" w:eastAsia="Calibri" w:hAnsi="Times New Roman" w:cs="Times New Roman"/>
          <w:b/>
          <w:bCs/>
          <w:iCs/>
          <w:color w:val="000000" w:themeColor="text1"/>
        </w:rPr>
        <w:t>imposta sul valore aggiunto (</w:t>
      </w:r>
      <w:r w:rsidRPr="004A5029">
        <w:rPr>
          <w:rFonts w:ascii="Times New Roman" w:eastAsia="Calibri" w:hAnsi="Times New Roman" w:cs="Times New Roman"/>
          <w:iCs/>
          <w:color w:val="000000" w:themeColor="text1"/>
        </w:rPr>
        <w:t>IVA</w:t>
      </w:r>
      <w:r w:rsidR="00C13D83" w:rsidRPr="004A5029">
        <w:rPr>
          <w:rFonts w:ascii="Times New Roman" w:eastAsia="Calibri" w:hAnsi="Times New Roman" w:cs="Times New Roman"/>
          <w:b/>
          <w:bCs/>
          <w:iCs/>
          <w:color w:val="000000" w:themeColor="text1"/>
        </w:rPr>
        <w:t>)</w:t>
      </w:r>
      <w:r w:rsidRPr="004A5029">
        <w:rPr>
          <w:rFonts w:ascii="Times New Roman" w:eastAsia="Calibri" w:hAnsi="Times New Roman" w:cs="Times New Roman"/>
          <w:iCs/>
          <w:color w:val="000000" w:themeColor="text1"/>
        </w:rPr>
        <w:t>, valutato dalla stazione appaltante. Il calcolo tiene conto dell'importo massimo stimato, ivi compresa qualsiasi forma di eventuali opzioni o rinnovi del contratto esplicitamente stabiliti nei documenti di gara. Quando la stazione appaltante prevede premi o pagamenti per i candidati o gli offerenti, ne tiene conto nel calcolo dell’importo stimato dell'appalto.</w:t>
      </w:r>
    </w:p>
    <w:p w14:paraId="1D94887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5. Se una stazione appaltante </w:t>
      </w:r>
      <w:r w:rsidRPr="00AE3A63">
        <w:rPr>
          <w:rFonts w:ascii="Times New Roman" w:eastAsia="Calibri" w:hAnsi="Times New Roman" w:cs="Times New Roman"/>
          <w:color w:val="000000" w:themeColor="text1"/>
        </w:rPr>
        <w:t>o un ente concedente</w:t>
      </w:r>
      <w:r w:rsidRPr="004A5029">
        <w:rPr>
          <w:rFonts w:ascii="Times New Roman" w:eastAsia="Calibri" w:hAnsi="Times New Roman" w:cs="Times New Roman"/>
          <w:color w:val="000000" w:themeColor="text1"/>
        </w:rPr>
        <w:t xml:space="preserve"> sono composti da unità operative distinte, il calcolo dell’importo stimato di un appalto </w:t>
      </w:r>
      <w:r w:rsidRPr="00AE3A63">
        <w:rPr>
          <w:rFonts w:ascii="Times New Roman" w:eastAsia="Calibri" w:hAnsi="Times New Roman" w:cs="Times New Roman"/>
          <w:color w:val="000000" w:themeColor="text1"/>
        </w:rPr>
        <w:t>o di una concessione</w:t>
      </w:r>
      <w:r w:rsidRPr="004A5029">
        <w:rPr>
          <w:rFonts w:ascii="Times New Roman" w:eastAsia="Calibri" w:hAnsi="Times New Roman" w:cs="Times New Roman"/>
          <w:color w:val="000000" w:themeColor="text1"/>
        </w:rPr>
        <w:t xml:space="preserve"> tiene conto dell’importo totale stimato per tutte le singole unità operative. Se un'unità operativa distinta è responsabile in modo indipendente del proprio appalto </w:t>
      </w:r>
      <w:r w:rsidRPr="00AE3A63">
        <w:rPr>
          <w:rFonts w:ascii="Times New Roman" w:eastAsia="Calibri" w:hAnsi="Times New Roman" w:cs="Times New Roman"/>
          <w:color w:val="000000" w:themeColor="text1"/>
        </w:rPr>
        <w:t>o della propria concessione</w:t>
      </w:r>
      <w:r w:rsidRPr="004A5029">
        <w:rPr>
          <w:rFonts w:ascii="Times New Roman" w:eastAsia="Calibri" w:hAnsi="Times New Roman" w:cs="Times New Roman"/>
          <w:color w:val="000000" w:themeColor="text1"/>
        </w:rPr>
        <w:t xml:space="preserve"> o di determinate categorie </w:t>
      </w:r>
      <w:r w:rsidRPr="00410F09">
        <w:rPr>
          <w:rFonts w:ascii="Times New Roman" w:eastAsia="Calibri" w:hAnsi="Times New Roman" w:cs="Times New Roman"/>
          <w:color w:val="000000" w:themeColor="text1"/>
        </w:rPr>
        <w:t>di essi</w:t>
      </w:r>
      <w:r w:rsidRPr="004A5029">
        <w:rPr>
          <w:rFonts w:ascii="Times New Roman" w:eastAsia="Calibri" w:hAnsi="Times New Roman" w:cs="Times New Roman"/>
          <w:color w:val="000000" w:themeColor="text1"/>
        </w:rPr>
        <w:t>, il relativo importo può essere stimato con riferimento all’importo attribuito dall'unità operativa distinta.</w:t>
      </w:r>
    </w:p>
    <w:p w14:paraId="1D69434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 xml:space="preserve">6. La scelta del metodo per il calcolo dell’importo stimato di un appalto </w:t>
      </w:r>
      <w:r w:rsidRPr="00410F09">
        <w:rPr>
          <w:rFonts w:ascii="Times New Roman" w:eastAsia="Calibri" w:hAnsi="Times New Roman" w:cs="Times New Roman"/>
          <w:iCs/>
          <w:color w:val="000000" w:themeColor="text1"/>
        </w:rPr>
        <w:t>o concessione</w:t>
      </w:r>
      <w:r w:rsidRPr="004A5029">
        <w:rPr>
          <w:rFonts w:ascii="Times New Roman" w:eastAsia="Calibri" w:hAnsi="Times New Roman" w:cs="Times New Roman"/>
          <w:iCs/>
          <w:color w:val="000000" w:themeColor="text1"/>
        </w:rPr>
        <w:t xml:space="preserve"> non può essere fatta per evitare l’applicazione delle disposizioni del codice relative alle soglie europee. Un appalto non può essere frazionato per evitare l'applicazione delle norme del codice, tranne nel caso in cui ragioni oggettive lo giustifichino.</w:t>
      </w:r>
    </w:p>
    <w:p w14:paraId="0ACD6A90" w14:textId="6520651D"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7. L’</w:t>
      </w:r>
      <w:r w:rsidRPr="004A5029">
        <w:rPr>
          <w:rFonts w:ascii="Times New Roman" w:eastAsia="Calibri" w:hAnsi="Times New Roman" w:cs="Times New Roman"/>
          <w:iCs/>
          <w:color w:val="000000" w:themeColor="text1"/>
        </w:rPr>
        <w:t>importo</w:t>
      </w:r>
      <w:r w:rsidRPr="004A5029">
        <w:rPr>
          <w:rFonts w:ascii="Times New Roman" w:eastAsia="Times New Roman" w:hAnsi="Times New Roman" w:cs="Times New Roman"/>
          <w:color w:val="000000" w:themeColor="text1"/>
        </w:rPr>
        <w:t xml:space="preserve"> stimato dell'appalto </w:t>
      </w:r>
      <w:r w:rsidRPr="008D5FDA">
        <w:rPr>
          <w:rFonts w:ascii="Times New Roman" w:eastAsia="Times New Roman" w:hAnsi="Times New Roman" w:cs="Times New Roman"/>
          <w:bCs/>
          <w:color w:val="000000" w:themeColor="text1"/>
        </w:rPr>
        <w:t>o concessione</w:t>
      </w:r>
      <w:r w:rsidRPr="004A5029">
        <w:rPr>
          <w:rFonts w:ascii="Times New Roman" w:eastAsia="Times New Roman" w:hAnsi="Times New Roman" w:cs="Times New Roman"/>
          <w:color w:val="000000" w:themeColor="text1"/>
        </w:rPr>
        <w:t xml:space="preserve"> è quantificato al momento dell'invio dell'avviso di indizione di gara o del bando di gara o, nei casi in cui non sia prevista un'indizione di gara, al momento in cui la</w:t>
      </w:r>
      <w:r w:rsidRPr="004A5029">
        <w:rPr>
          <w:rFonts w:ascii="Times New Roman" w:eastAsia="Times New Roman" w:hAnsi="Times New Roman" w:cs="Times New Roman"/>
          <w:bCs/>
          <w:color w:val="000000" w:themeColor="text1"/>
        </w:rPr>
        <w:t xml:space="preserve"> stazione appaltante o l’ente concedente </w:t>
      </w:r>
      <w:r w:rsidRPr="004A5029">
        <w:rPr>
          <w:rFonts w:ascii="Times New Roman" w:eastAsia="Times New Roman" w:hAnsi="Times New Roman" w:cs="Times New Roman"/>
          <w:color w:val="000000" w:themeColor="text1"/>
        </w:rPr>
        <w:t>avvia la procedura di affidamento del contratto.</w:t>
      </w:r>
    </w:p>
    <w:p w14:paraId="06FC1EF3"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8. Per gli appalti pubblici di lavori il calcolo dell’</w:t>
      </w:r>
      <w:r w:rsidRPr="004A5029">
        <w:rPr>
          <w:rFonts w:ascii="Times New Roman" w:eastAsia="Calibri" w:hAnsi="Times New Roman" w:cs="Times New Roman"/>
          <w:iCs/>
          <w:color w:val="000000" w:themeColor="text1"/>
        </w:rPr>
        <w:t>importo</w:t>
      </w:r>
      <w:r w:rsidRPr="004A5029">
        <w:rPr>
          <w:rFonts w:ascii="Times New Roman" w:eastAsia="Times New Roman" w:hAnsi="Times New Roman" w:cs="Times New Roman"/>
          <w:color w:val="000000" w:themeColor="text1"/>
        </w:rPr>
        <w:t xml:space="preserve"> stimato tiene conto dell'importo dei lavori stessi nonché dell’importo complessivo stimato di tutte le forniture e servizi messi a disposizione dell'aggiudicatario </w:t>
      </w:r>
      <w:r w:rsidRPr="004A5029">
        <w:rPr>
          <w:rFonts w:ascii="Times New Roman" w:eastAsia="Times New Roman" w:hAnsi="Times New Roman" w:cs="Times New Roman"/>
          <w:bCs/>
          <w:color w:val="000000" w:themeColor="text1"/>
        </w:rPr>
        <w:t xml:space="preserve">dalla stazione appaltante, </w:t>
      </w:r>
      <w:r w:rsidRPr="004A5029">
        <w:rPr>
          <w:rFonts w:ascii="Times New Roman" w:eastAsia="Times New Roman" w:hAnsi="Times New Roman" w:cs="Times New Roman"/>
          <w:color w:val="000000" w:themeColor="text1"/>
        </w:rPr>
        <w:t>a condizione che siano necessari all'esecuzione dei lavori. L’</w:t>
      </w:r>
      <w:r w:rsidRPr="004A5029">
        <w:rPr>
          <w:rFonts w:ascii="Times New Roman" w:eastAsia="Calibri" w:hAnsi="Times New Roman" w:cs="Times New Roman"/>
          <w:iCs/>
          <w:color w:val="000000" w:themeColor="text1"/>
        </w:rPr>
        <w:t>importo</w:t>
      </w:r>
      <w:r w:rsidRPr="004A5029">
        <w:rPr>
          <w:rFonts w:ascii="Times New Roman" w:eastAsia="Times New Roman" w:hAnsi="Times New Roman" w:cs="Times New Roman"/>
          <w:color w:val="000000" w:themeColor="text1"/>
        </w:rPr>
        <w:t xml:space="preserve"> delle forniture o dei servizi non necessari all'esecuzione di uno specifico appalto di lavori non può essere aggiunto all</w:t>
      </w:r>
      <w:r w:rsidRPr="004A5029">
        <w:rPr>
          <w:rFonts w:ascii="Times New Roman" w:eastAsia="Calibri" w:hAnsi="Times New Roman" w:cs="Times New Roman"/>
          <w:iCs/>
          <w:color w:val="000000" w:themeColor="text1"/>
        </w:rPr>
        <w:t>’importo</w:t>
      </w:r>
      <w:r w:rsidRPr="004A5029">
        <w:rPr>
          <w:rFonts w:ascii="Times New Roman" w:eastAsia="Times New Roman" w:hAnsi="Times New Roman" w:cs="Times New Roman"/>
          <w:color w:val="000000" w:themeColor="text1"/>
        </w:rPr>
        <w:t xml:space="preserve"> dell'appalto di lavori in modo da sottrarre l'acquisto di tali forniture o servizi dall'applicazione delle disposizioni del codice.</w:t>
      </w:r>
    </w:p>
    <w:p w14:paraId="19A9E0DB"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9. Per i contratti relativi a lavori e servizi:</w:t>
      </w:r>
    </w:p>
    <w:p w14:paraId="75BF80D4" w14:textId="77777777" w:rsidR="00F4785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quando un'opera prevista o una prestazione di servizi può dare luogo ad appalti aggiudicati per lotti distinti, è computato l’importo complessivo stimato della totalità di tali lotti;</w:t>
      </w:r>
    </w:p>
    <w:p w14:paraId="31599620" w14:textId="19E80975" w:rsidR="00446F27"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b) quando l’importo cumulato dei lotti è pari o superiore alle soglie di cui ai commi 1 e 2, le disposizioni del codice si applicano all'aggiudicazione di ciascun lotto.</w:t>
      </w:r>
    </w:p>
    <w:p w14:paraId="0781D197"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10. Per gli appalti di forniture:</w:t>
      </w:r>
    </w:p>
    <w:p w14:paraId="27BBD762" w14:textId="77777777" w:rsidR="00593AD0"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quando un progetto volto ad ottenere forniture omogenee può dare luogo ad appalti aggiudicati per lotti distinti, nell'applicazione delle soglie di cui ai commi 1 e 2 è computato l’importo complessivo stimato della totalità di tali lotti;</w:t>
      </w:r>
    </w:p>
    <w:p w14:paraId="6829085B" w14:textId="56481E36" w:rsidR="00446F27" w:rsidRPr="004A5029" w:rsidRDefault="00446F27" w:rsidP="00593AD0">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b) quando l’importo cumulato dei lotti è pari o superiore alle soglie di cui ai commi 1 e 2, le disposizioni del codice si applicano all'aggiudicazione di ciascun lotto.</w:t>
      </w:r>
    </w:p>
    <w:p w14:paraId="1CDECA70"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11. In deroga a quanto previsto dai commi 9 e 10, le </w:t>
      </w:r>
      <w:r w:rsidRPr="004A5029">
        <w:rPr>
          <w:rFonts w:ascii="Times New Roman" w:eastAsia="Calibri" w:hAnsi="Times New Roman" w:cs="Times New Roman"/>
          <w:bCs/>
          <w:color w:val="000000" w:themeColor="text1"/>
        </w:rPr>
        <w:t xml:space="preserve">stazioni appaltanti </w:t>
      </w:r>
      <w:r w:rsidRPr="004A5029">
        <w:rPr>
          <w:rFonts w:ascii="Times New Roman" w:eastAsia="Calibri" w:hAnsi="Times New Roman" w:cs="Times New Roman"/>
          <w:color w:val="000000" w:themeColor="text1"/>
        </w:rPr>
        <w:t>possono aggiudicare l'appalto per singoli lotti senza applicare le disposizioni del codice</w:t>
      </w:r>
      <w:r w:rsidRPr="004A5029">
        <w:rPr>
          <w:rFonts w:ascii="Times New Roman" w:eastAsia="Calibri" w:hAnsi="Times New Roman" w:cs="Times New Roman"/>
          <w:b/>
          <w:bCs/>
          <w:strike/>
          <w:color w:val="000000" w:themeColor="text1"/>
        </w:rPr>
        <w:t>,</w:t>
      </w:r>
      <w:r w:rsidRPr="004A5029">
        <w:rPr>
          <w:rFonts w:ascii="Times New Roman" w:eastAsia="Calibri" w:hAnsi="Times New Roman" w:cs="Times New Roman"/>
          <w:color w:val="000000" w:themeColor="text1"/>
        </w:rPr>
        <w:t xml:space="preserve"> quando </w:t>
      </w:r>
      <w:r w:rsidRPr="004A5029">
        <w:rPr>
          <w:rFonts w:ascii="Times New Roman" w:eastAsia="Calibri" w:hAnsi="Times New Roman" w:cs="Times New Roman"/>
          <w:iCs/>
          <w:color w:val="000000" w:themeColor="text1"/>
        </w:rPr>
        <w:t>l’importo</w:t>
      </w:r>
      <w:r w:rsidRPr="004A5029">
        <w:rPr>
          <w:rFonts w:ascii="Times New Roman" w:eastAsia="Calibri" w:hAnsi="Times New Roman" w:cs="Times New Roman"/>
          <w:color w:val="000000" w:themeColor="text1"/>
        </w:rPr>
        <w:t xml:space="preserve"> stimato al netto dell'IVA del lotto sia inferiore a euro 80.000 per le forniture o i servizi, oppure a euro 1.000.000 per i lavori, purché </w:t>
      </w:r>
      <w:r w:rsidRPr="004A5029">
        <w:rPr>
          <w:rFonts w:ascii="Times New Roman" w:eastAsia="Calibri" w:hAnsi="Times New Roman" w:cs="Times New Roman"/>
          <w:iCs/>
          <w:color w:val="000000" w:themeColor="text1"/>
        </w:rPr>
        <w:t>l’importo</w:t>
      </w:r>
      <w:r w:rsidRPr="004A5029">
        <w:rPr>
          <w:rFonts w:ascii="Times New Roman" w:eastAsia="Calibri" w:hAnsi="Times New Roman" w:cs="Times New Roman"/>
          <w:color w:val="000000" w:themeColor="text1"/>
        </w:rPr>
        <w:t xml:space="preserve"> cumulato dei lotti aggiudicati non superi il 20 per cento del</w:t>
      </w:r>
      <w:r w:rsidRPr="004A5029">
        <w:rPr>
          <w:rFonts w:ascii="Times New Roman" w:eastAsia="Calibri" w:hAnsi="Times New Roman" w:cs="Times New Roman"/>
          <w:iCs/>
          <w:color w:val="000000" w:themeColor="text1"/>
        </w:rPr>
        <w:t>l’importo</w:t>
      </w:r>
      <w:r w:rsidRPr="004A5029">
        <w:rPr>
          <w:rFonts w:ascii="Times New Roman" w:eastAsia="Calibri" w:hAnsi="Times New Roman" w:cs="Times New Roman"/>
          <w:color w:val="000000" w:themeColor="text1"/>
        </w:rPr>
        <w:t xml:space="preserve"> complessivo di tutti i lotti in cui sono stati frazionati l'opera prevista, il progetto di acquisizione delle forniture omogenee o il progetto di prestazione servizi.</w:t>
      </w:r>
    </w:p>
    <w:p w14:paraId="0835882C"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12. Se gli appalti pubblici di forniture o di servizi presentano caratteri di regolarità o sono destinati ad essere rinnovati entro un determinato periodo, è posto come base per il calcolo dell’importo stimato dell'appalto:</w:t>
      </w:r>
    </w:p>
    <w:p w14:paraId="46383C23" w14:textId="1317D2A1"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a) l’importo reale complessivo dei contratti analoghi conclusi nel corso dei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eastAsia="Calibri" w:hAnsi="Times New Roman" w:cs="Times New Roman"/>
          <w:iCs/>
          <w:color w:val="000000" w:themeColor="text1"/>
        </w:rPr>
        <w:t xml:space="preserve"> mesi precedenti o dell'esercizio precedente, rettificato, ove possibile, al fine di tenere conto dei cambiamenti in termini di quantità o di importo che potrebbero sopravvenire nei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eastAsia="Calibri" w:hAnsi="Times New Roman" w:cs="Times New Roman"/>
          <w:iCs/>
          <w:color w:val="000000" w:themeColor="text1"/>
        </w:rPr>
        <w:t xml:space="preserve"> mesi successivi al contratto iniziale;</w:t>
      </w:r>
    </w:p>
    <w:p w14:paraId="67D2FD34" w14:textId="13D66C52"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b) l’importo stimato complessivo dei contratti aggiudicati nel corso dei</w:t>
      </w:r>
      <w:r w:rsidRPr="004A5029">
        <w:rPr>
          <w:rFonts w:ascii="Times New Roman" w:eastAsia="Calibri" w:hAnsi="Times New Roman" w:cs="Times New Roman"/>
          <w:b/>
          <w:bCs/>
          <w:iCs/>
          <w:color w:val="000000" w:themeColor="text1"/>
        </w:rPr>
        <w:t xml:space="preserv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eastAsia="Calibri" w:hAnsi="Times New Roman" w:cs="Times New Roman"/>
          <w:iCs/>
          <w:color w:val="000000" w:themeColor="text1"/>
        </w:rPr>
        <w:t xml:space="preserve"> mesi successivi alla prima consegna o nel corso dell'esercizio, se questo è superiore ai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eastAsia="Calibri" w:hAnsi="Times New Roman" w:cs="Times New Roman"/>
          <w:iCs/>
          <w:color w:val="000000" w:themeColor="text1"/>
        </w:rPr>
        <w:t xml:space="preserve"> mesi.</w:t>
      </w:r>
    </w:p>
    <w:p w14:paraId="6E0D7DCF"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13. Per gli appalti pubblici di forniture aventi per oggetto la locazione finanziaria, la locazione o l'acquisto a riscatto di prodotti, l’importo da assumere come base per il calcolo dell’importo stimato dell'appalto è il seguente:</w:t>
      </w:r>
    </w:p>
    <w:p w14:paraId="596CD734" w14:textId="13C695D9"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per gli appalti pubblici di durata determinata pari o inferiore a</w:t>
      </w:r>
      <w:r w:rsidRPr="004A5029">
        <w:rPr>
          <w:rFonts w:ascii="Times New Roman" w:eastAsia="Calibri" w:hAnsi="Times New Roman" w:cs="Times New Roman"/>
          <w:b/>
          <w:bCs/>
          <w:iCs/>
          <w:color w:val="000000" w:themeColor="text1"/>
        </w:rPr>
        <w:t xml:space="preserv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eastAsia="Calibri" w:hAnsi="Times New Roman" w:cs="Times New Roman"/>
          <w:iCs/>
          <w:color w:val="000000" w:themeColor="text1"/>
        </w:rPr>
        <w:t xml:space="preserve"> mesi, l’importo stimato complessivo per la durata dell'appalto o, se la durata supera i </w:t>
      </w:r>
      <w:r w:rsidR="009F4C62" w:rsidRPr="004A5029">
        <w:rPr>
          <w:rFonts w:ascii="Times New Roman" w:hAnsi="Times New Roman" w:cs="Times New Roman"/>
          <w:strike/>
          <w:color w:val="000000" w:themeColor="text1"/>
        </w:rPr>
        <w:t>12</w:t>
      </w:r>
      <w:r w:rsidR="009F4C62" w:rsidRPr="004A5029">
        <w:rPr>
          <w:rFonts w:ascii="Times New Roman" w:hAnsi="Times New Roman" w:cs="Times New Roman"/>
          <w:color w:val="000000" w:themeColor="text1"/>
        </w:rPr>
        <w:t xml:space="preserve"> </w:t>
      </w:r>
      <w:r w:rsidR="009F4C62" w:rsidRPr="004A5029">
        <w:rPr>
          <w:rFonts w:ascii="Times New Roman" w:hAnsi="Times New Roman" w:cs="Times New Roman"/>
          <w:b/>
          <w:bCs/>
          <w:color w:val="000000" w:themeColor="text1"/>
        </w:rPr>
        <w:t>dodici</w:t>
      </w:r>
      <w:r w:rsidRPr="004A5029">
        <w:rPr>
          <w:rFonts w:ascii="Times New Roman" w:eastAsia="Calibri" w:hAnsi="Times New Roman" w:cs="Times New Roman"/>
          <w:iCs/>
          <w:color w:val="000000" w:themeColor="text1"/>
        </w:rPr>
        <w:t xml:space="preserve"> mesi, l’importo complessivo, ivi compreso l’importo stimato di quello residuo;</w:t>
      </w:r>
    </w:p>
    <w:p w14:paraId="501298C7" w14:textId="6BED5F46"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 xml:space="preserve">b) per gli appalti pubblici di durata indeterminata o che non può essere definita, l’importo mensile moltiplicato per </w:t>
      </w:r>
      <w:r w:rsidR="00B321AF" w:rsidRPr="004A5029">
        <w:rPr>
          <w:rFonts w:ascii="Times New Roman" w:eastAsia="Calibri" w:hAnsi="Times New Roman" w:cs="Times New Roman"/>
          <w:b/>
          <w:bCs/>
          <w:iCs/>
          <w:strike/>
          <w:color w:val="000000" w:themeColor="text1"/>
        </w:rPr>
        <w:t>48</w:t>
      </w:r>
      <w:r w:rsidR="00B321AF" w:rsidRPr="004A5029">
        <w:rPr>
          <w:rFonts w:ascii="Times New Roman" w:eastAsia="Calibri" w:hAnsi="Times New Roman" w:cs="Times New Roman"/>
          <w:b/>
          <w:bCs/>
          <w:iCs/>
          <w:color w:val="000000" w:themeColor="text1"/>
        </w:rPr>
        <w:t xml:space="preserve"> quarantotto</w:t>
      </w:r>
      <w:r w:rsidRPr="004A5029">
        <w:rPr>
          <w:rFonts w:ascii="Times New Roman" w:eastAsia="Calibri" w:hAnsi="Times New Roman" w:cs="Times New Roman"/>
          <w:iCs/>
          <w:color w:val="000000" w:themeColor="text1"/>
        </w:rPr>
        <w:t>.</w:t>
      </w:r>
    </w:p>
    <w:p w14:paraId="420EFAE0"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14. Per gli appalti pubblici di servizi, l’importo da porre come base per il calcolo dell’importo stimato dell'appalto, a seconda del tipo di servizio, è il seguente:</w:t>
      </w:r>
    </w:p>
    <w:p w14:paraId="26C63CC9"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a) per i servizi assicurativi il premio da pagare e altre forme di remunerazione;</w:t>
      </w:r>
    </w:p>
    <w:p w14:paraId="651D4D12"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b) per i servizi bancari e altri servizi finanziari gli onorari, le commissioni da pagare, gli interessi e altre forme di remunerazione;</w:t>
      </w:r>
    </w:p>
    <w:p w14:paraId="7A5BE0B0"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c) per gli appalti riguardanti la progettazione gli onorari, le commissioni da pagare e altre forme di remunerazione;</w:t>
      </w:r>
    </w:p>
    <w:p w14:paraId="495089A5"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d) per gli appalti pubblici di servizi che non fissano un prezzo complessivo:</w:t>
      </w:r>
    </w:p>
    <w:p w14:paraId="17DCFFAD" w14:textId="05292924"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 xml:space="preserve">1) in caso di appalti di durata determinata pari o inferiore a </w:t>
      </w:r>
      <w:r w:rsidRPr="004A5029">
        <w:rPr>
          <w:rFonts w:ascii="Times New Roman" w:eastAsia="Calibri" w:hAnsi="Times New Roman" w:cs="Times New Roman"/>
          <w:b/>
          <w:bCs/>
          <w:iCs/>
          <w:strike/>
          <w:color w:val="000000" w:themeColor="text1"/>
        </w:rPr>
        <w:t>48</w:t>
      </w:r>
      <w:r w:rsidRPr="004A5029">
        <w:rPr>
          <w:rFonts w:ascii="Times New Roman" w:eastAsia="Calibri" w:hAnsi="Times New Roman" w:cs="Times New Roman"/>
          <w:b/>
          <w:bCs/>
          <w:iCs/>
          <w:color w:val="000000" w:themeColor="text1"/>
        </w:rPr>
        <w:t xml:space="preserve"> </w:t>
      </w:r>
      <w:r w:rsidR="00A62EBA" w:rsidRPr="004A5029">
        <w:rPr>
          <w:rFonts w:ascii="Times New Roman" w:eastAsia="Calibri" w:hAnsi="Times New Roman" w:cs="Times New Roman"/>
          <w:b/>
          <w:bCs/>
          <w:iCs/>
          <w:color w:val="000000" w:themeColor="text1"/>
        </w:rPr>
        <w:t xml:space="preserve">quarantotto </w:t>
      </w:r>
      <w:r w:rsidRPr="004A5029">
        <w:rPr>
          <w:rFonts w:ascii="Times New Roman" w:eastAsia="Calibri" w:hAnsi="Times New Roman" w:cs="Times New Roman"/>
          <w:iCs/>
          <w:color w:val="000000" w:themeColor="text1"/>
        </w:rPr>
        <w:t>mesi, l’importo complessivo stimato per l'intera loro durata;</w:t>
      </w:r>
    </w:p>
    <w:p w14:paraId="4D10093C" w14:textId="33837E24"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2) in caso di appalti di durata indeterminata o superiore a</w:t>
      </w:r>
      <w:r w:rsidRPr="004A5029">
        <w:rPr>
          <w:rFonts w:ascii="Times New Roman" w:eastAsia="Calibri" w:hAnsi="Times New Roman" w:cs="Times New Roman"/>
          <w:b/>
          <w:bCs/>
          <w:iCs/>
          <w:color w:val="000000" w:themeColor="text1"/>
        </w:rPr>
        <w:t xml:space="preserve"> </w:t>
      </w:r>
      <w:r w:rsidR="00A62EBA" w:rsidRPr="004A5029">
        <w:rPr>
          <w:rFonts w:ascii="Times New Roman" w:eastAsia="Calibri" w:hAnsi="Times New Roman" w:cs="Times New Roman"/>
          <w:b/>
          <w:bCs/>
          <w:iCs/>
          <w:strike/>
          <w:color w:val="000000" w:themeColor="text1"/>
        </w:rPr>
        <w:t>48</w:t>
      </w:r>
      <w:r w:rsidR="00A62EBA" w:rsidRPr="004A5029">
        <w:rPr>
          <w:rFonts w:ascii="Times New Roman" w:eastAsia="Calibri" w:hAnsi="Times New Roman" w:cs="Times New Roman"/>
          <w:iCs/>
          <w:color w:val="000000" w:themeColor="text1"/>
        </w:rPr>
        <w:t xml:space="preserve"> </w:t>
      </w:r>
      <w:r w:rsidR="00A62EBA" w:rsidRPr="004A5029">
        <w:rPr>
          <w:rFonts w:ascii="Times New Roman" w:eastAsia="Calibri" w:hAnsi="Times New Roman" w:cs="Times New Roman"/>
          <w:b/>
          <w:bCs/>
          <w:iCs/>
          <w:color w:val="000000" w:themeColor="text1"/>
        </w:rPr>
        <w:t>quarantotto</w:t>
      </w:r>
      <w:r w:rsidRPr="004A5029">
        <w:rPr>
          <w:rFonts w:ascii="Times New Roman" w:eastAsia="Calibri" w:hAnsi="Times New Roman" w:cs="Times New Roman"/>
          <w:iCs/>
          <w:color w:val="000000" w:themeColor="text1"/>
        </w:rPr>
        <w:t xml:space="preserve"> mesi, l’importo mensile moltiplicato per 48.</w:t>
      </w:r>
    </w:p>
    <w:p w14:paraId="76A5512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15. Il calcolo dell’importo stimato di un appalto misto di servizi e forniture si fonda sull’importo totale dei servizi e delle forniture, prescindendo dalle rispettive quote. Tale calcolo comprende l’importo delle operazioni di posa e di installazione.</w:t>
      </w:r>
    </w:p>
    <w:p w14:paraId="7AF85A5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Cs/>
          <w:color w:val="000000" w:themeColor="text1"/>
        </w:rPr>
        <w:t>16. Per gli accordi quadro e per i sistemi dinamici di acquisizione, l’importo da prendere in considerazione è l’importo massimo stimato al netto dell'IVA del complesso dei contratti previsti durante l'intera durata degli accordi quadro o del sistema dinamico di acquisizione.</w:t>
      </w:r>
    </w:p>
    <w:p w14:paraId="1F671E25" w14:textId="77777777" w:rsidR="00446F27" w:rsidRPr="004A5029" w:rsidRDefault="00446F27" w:rsidP="00446F27">
      <w:pPr>
        <w:jc w:val="both"/>
        <w:rPr>
          <w:rFonts w:ascii="Times New Roman" w:eastAsia="Calibri" w:hAnsi="Times New Roman" w:cs="Times New Roman"/>
          <w:iCs/>
          <w:color w:val="000000" w:themeColor="text1"/>
        </w:rPr>
      </w:pPr>
      <w:r w:rsidRPr="004A5029">
        <w:rPr>
          <w:rFonts w:ascii="Times New Roman" w:eastAsia="Calibri" w:hAnsi="Times New Roman" w:cs="Times New Roman"/>
          <w:iCs/>
          <w:color w:val="000000" w:themeColor="text1"/>
        </w:rPr>
        <w:t>17. Nel caso di partenariati per l'innovazione, l’importo da prendere in considerazione è l’importo massimo stimato, al netto dell'IVA, delle attività di ricerca e sviluppo che si svolgeranno per tutte le fasi del previsto partenariato, nonché delle forniture, dei servizi o dei lavori da mettere a punto e fornire alla fine del partenariato.</w:t>
      </w:r>
    </w:p>
    <w:p w14:paraId="3BAA3AD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18. I contratti che hanno per oggetto due o più tipi di prestazioni sono aggiudicati secondo le disposizioni applicabili al tipo di appalto che ne costituisce l'oggetto principale. L'oggetto principale è determinato in base al</w:t>
      </w:r>
      <w:r w:rsidRPr="004A5029">
        <w:rPr>
          <w:rFonts w:ascii="Times New Roman" w:eastAsia="Calibri" w:hAnsi="Times New Roman" w:cs="Times New Roman"/>
          <w:iCs/>
          <w:color w:val="000000" w:themeColor="text1"/>
        </w:rPr>
        <w:t>l’importo</w:t>
      </w:r>
      <w:r w:rsidRPr="004A5029">
        <w:rPr>
          <w:rFonts w:ascii="Times New Roman" w:eastAsia="Garamond" w:hAnsi="Times New Roman" w:cs="Times New Roman"/>
          <w:bCs/>
          <w:color w:val="000000" w:themeColor="text1"/>
        </w:rPr>
        <w:t xml:space="preserve"> stimato più elevato tra quelli delle prestazioni oggetto dell’appalto. L’operatore economico che concorre alla procedura di affidamento di un contratto misto deve possedere i requisiti di qualificazione e capacità prescritti dal codice per ciascuna prestazione di lavori, servizi e forniture prevista dal contratto.</w:t>
      </w:r>
    </w:p>
    <w:p w14:paraId="563E351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19. Se le diverse parti di un contratto sono oggettivamente separabili, si applicano i commi 20 e 21. Se le diverse parti di un contratto sono oggettivamente non separabili, si applica il comma 23.</w:t>
      </w:r>
    </w:p>
    <w:p w14:paraId="1938FE46"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Garamond" w:hAnsi="Times New Roman" w:cs="Times New Roman"/>
          <w:bCs/>
          <w:color w:val="000000" w:themeColor="text1"/>
        </w:rPr>
        <w:t>20. Nel caso di appalti che per il loro oggetto rientrano solo in parte nel campo di applicazione del codice, le stazioni appaltanti possono scegliere di aggiudicare appalti distinti o di aggiudicare un appalto unico. Se le stazioni appaltanti scelgono di aggiudicare appalti distinti, il regime giuridico applicabile a ciascuno di tali appalti è determinato in base al suo oggetto.</w:t>
      </w:r>
    </w:p>
    <w:p w14:paraId="14C912C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 xml:space="preserve">21. I contratti misti che contengono elementi sia di appalti di forniture, lavori e servizi nei settori ordinari sia di concessioni sono aggiudicati in conformità alle disposizioni del codice che disciplinano gli appalti nei settori ordinari, purché </w:t>
      </w:r>
      <w:r w:rsidRPr="004A5029">
        <w:rPr>
          <w:rFonts w:ascii="Times New Roman" w:eastAsia="Calibri" w:hAnsi="Times New Roman" w:cs="Times New Roman"/>
          <w:iCs/>
          <w:color w:val="000000" w:themeColor="text1"/>
        </w:rPr>
        <w:t>l’importo</w:t>
      </w:r>
      <w:r w:rsidRPr="004A5029">
        <w:rPr>
          <w:rFonts w:ascii="Times New Roman" w:eastAsia="Garamond" w:hAnsi="Times New Roman" w:cs="Times New Roman"/>
          <w:bCs/>
          <w:color w:val="000000" w:themeColor="text1"/>
        </w:rPr>
        <w:t xml:space="preserve"> stimato della parte del contratto che costituisce un appalto, calcolato secondo il presente articolo, sia pari o superiore alla soglia pertinente.</w:t>
      </w:r>
    </w:p>
    <w:p w14:paraId="33B300F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22. Nel caso di appalti il cui oggetto rientra in parte nei settori ordinari e in parte nei settori speciali, le disposizioni applicabili sono determinate dai commi seguenti, fatta salva la facoltà di cui al comma 20.</w:t>
      </w:r>
    </w:p>
    <w:p w14:paraId="4C16F66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23. Se le diverse parti di un determinato contratto sono oggettivamente non separabili, il regime giuridico applicabile è determinato in base all'oggetto principale del contratto in questione.</w:t>
      </w:r>
    </w:p>
    <w:p w14:paraId="44987C8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24. Nei settori speciali, nel caso di contratti aventi ad oggetto prestazioni strumentali a più attività, le stazioni appaltanti possono scegliere di aggiudicare appalti distinti per ogni attività o di aggiudicare un appalto unico. Se le stazioni appaltanti scelgono di aggiudicare appalti distinti, il regime giuridico applicabile a ciascuno di essi è determinato in base all’attività cui è strumentale. Se le stazioni appaltanti decidono di aggiudicare un appalto unico, si applicano i commi 25 e 26. La decisione di aggiudicare un unico appalto o più appalti distinti non può essere adottata allo scopo di escludere l'appalto o gli appalti dall'ambito di applicazione del codice.</w:t>
      </w:r>
    </w:p>
    <w:p w14:paraId="2B5AC61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25. A un appalto avente ad oggetto prestazioni strumentali all'esercizio di più attività si applicano le disposizioni relative alla principale attività cui la prestazione è destinata.</w:t>
      </w:r>
    </w:p>
    <w:p w14:paraId="20FD0B39" w14:textId="77777777" w:rsidR="00446F27" w:rsidRPr="004A5029" w:rsidRDefault="00446F27" w:rsidP="00446F27">
      <w:pPr>
        <w:jc w:val="both"/>
        <w:rPr>
          <w:rFonts w:ascii="Times New Roman" w:eastAsia="Garamond" w:hAnsi="Times New Roman" w:cs="Times New Roman"/>
          <w:bCs/>
          <w:color w:val="000000" w:themeColor="text1"/>
        </w:rPr>
      </w:pPr>
      <w:r w:rsidRPr="004A5029">
        <w:rPr>
          <w:rFonts w:ascii="Times New Roman" w:eastAsia="Garamond" w:hAnsi="Times New Roman" w:cs="Times New Roman"/>
          <w:bCs/>
          <w:color w:val="000000" w:themeColor="text1"/>
        </w:rPr>
        <w:t>26. Nel caso di appalti aventi ad oggetto prestazioni per cui è oggettivamente impossibile stabilire a quale attività esse siano principalmente strumentali, le disposizioni applicabili sono determinate come segue:</w:t>
      </w:r>
    </w:p>
    <w:p w14:paraId="7EB58403" w14:textId="77777777" w:rsidR="00446F27" w:rsidRPr="004A5029" w:rsidRDefault="00446F27" w:rsidP="00446F27">
      <w:pPr>
        <w:jc w:val="both"/>
        <w:rPr>
          <w:rFonts w:ascii="Times New Roman" w:eastAsia="Garamond" w:hAnsi="Times New Roman" w:cs="Times New Roman"/>
          <w:bCs/>
          <w:color w:val="000000" w:themeColor="text1"/>
        </w:rPr>
      </w:pPr>
      <w:r w:rsidRPr="004A5029">
        <w:rPr>
          <w:rFonts w:ascii="Times New Roman" w:eastAsia="Garamond" w:hAnsi="Times New Roman" w:cs="Times New Roman"/>
          <w:bCs/>
          <w:color w:val="000000" w:themeColor="text1"/>
        </w:rPr>
        <w:t>a) l'appalto è aggiudicato secondo le disposizioni del codice che disciplinano gli appalti nei settori ordinari se una delle attività è disciplinata dalle disposizioni relative all’aggiudicazione degli appalti nei settori ordinari e l’altra dalle disposizioni relative all’aggiudicazione degli appalti nei settori speciali;</w:t>
      </w:r>
    </w:p>
    <w:p w14:paraId="2134D5D9" w14:textId="77777777" w:rsidR="00446F27" w:rsidRPr="004A5029" w:rsidRDefault="00446F27" w:rsidP="00446F27">
      <w:pPr>
        <w:jc w:val="both"/>
        <w:rPr>
          <w:rFonts w:ascii="Times New Roman" w:eastAsia="Garamond" w:hAnsi="Times New Roman" w:cs="Times New Roman"/>
          <w:bCs/>
          <w:color w:val="000000" w:themeColor="text1"/>
        </w:rPr>
      </w:pPr>
      <w:r w:rsidRPr="004A5029">
        <w:rPr>
          <w:rFonts w:ascii="Times New Roman" w:eastAsia="Garamond" w:hAnsi="Times New Roman" w:cs="Times New Roman"/>
          <w:bCs/>
          <w:color w:val="000000" w:themeColor="text1"/>
        </w:rPr>
        <w:t>b) l'appalto è aggiudicato secondo le disposizioni del codice che disciplinano gli appalti nei settori speciali se una delle attività è disciplinata dalle disposizioni relative all’aggiudicazione degli appalti nei settori speciali e l'altra dalle disposizioni relative all’aggiudicazione delle concessioni;</w:t>
      </w:r>
    </w:p>
    <w:p w14:paraId="04E3208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c) l'appalto è aggiudicato secondo le disposizioni del codice che disciplinano gli appalti nei settori speciali se una delle attività è disciplinata dalle disposizioni relative all’aggiudicazione degli appalti nei settori speciali e l'altra non è soggetta a tali disposizioni, né a quelle relative all’aggiudicazione degli appalti nei settori ordinari o alle disposizioni relative all’aggiudicazione delle concessioni.</w:t>
      </w:r>
    </w:p>
    <w:p w14:paraId="2A3C0CB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 xml:space="preserve">27. Nel caso di contratti misti che contengono elementi di appalti di forniture, lavori e servizi nei settori speciali e di concessioni, il contratto misto è aggiudicato in conformità alle disposizioni del codice che disciplinano gli appalti nei settori speciali, purché </w:t>
      </w:r>
      <w:r w:rsidRPr="004A5029">
        <w:rPr>
          <w:rFonts w:ascii="Times New Roman" w:eastAsia="Calibri" w:hAnsi="Times New Roman" w:cs="Times New Roman"/>
          <w:iCs/>
          <w:color w:val="000000" w:themeColor="text1"/>
        </w:rPr>
        <w:t>l’importo</w:t>
      </w:r>
      <w:r w:rsidRPr="004A5029">
        <w:rPr>
          <w:rFonts w:ascii="Times New Roman" w:eastAsia="Garamond" w:hAnsi="Times New Roman" w:cs="Times New Roman"/>
          <w:bCs/>
          <w:color w:val="000000" w:themeColor="text1"/>
        </w:rPr>
        <w:t xml:space="preserve"> stimato della parte del contratto che costituisce un appalto disciplinato da tali disposizioni, calcolato secondo il presente articolo, sia pari o superiore alla soglia pertinente.</w:t>
      </w:r>
    </w:p>
    <w:p w14:paraId="041C839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28. Per i contratti misti concernenti aspetti di difesa e sicurezza si applica l’articolo 137.</w:t>
      </w:r>
    </w:p>
    <w:p w14:paraId="755DBA5D" w14:textId="77777777" w:rsidR="00446F27" w:rsidRPr="004A5029" w:rsidRDefault="00446F27" w:rsidP="00446F27">
      <w:pPr>
        <w:jc w:val="both"/>
        <w:rPr>
          <w:rFonts w:ascii="Times New Roman" w:eastAsia="Garamond" w:hAnsi="Times New Roman" w:cs="Times New Roman"/>
          <w:bCs/>
          <w:color w:val="000000" w:themeColor="text1"/>
        </w:rPr>
      </w:pPr>
      <w:r w:rsidRPr="004A5029">
        <w:rPr>
          <w:rFonts w:ascii="Times New Roman" w:eastAsia="Garamond" w:hAnsi="Times New Roman" w:cs="Times New Roman"/>
          <w:bCs/>
          <w:color w:val="000000" w:themeColor="text1"/>
        </w:rPr>
        <w:t>29. Per i contratti misti di concessione si applica l’articolo 180.</w:t>
      </w:r>
    </w:p>
    <w:p w14:paraId="1A81F0B1" w14:textId="77777777" w:rsidR="00446F27" w:rsidRPr="004A5029" w:rsidRDefault="00446F27" w:rsidP="00446F27">
      <w:pPr>
        <w:jc w:val="both"/>
        <w:rPr>
          <w:rFonts w:ascii="Times New Roman" w:hAnsi="Times New Roman" w:cs="Times New Roman"/>
          <w:color w:val="000000" w:themeColor="text1"/>
        </w:rPr>
      </w:pPr>
    </w:p>
    <w:p w14:paraId="4345B2FA"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15.</w:t>
      </w:r>
    </w:p>
    <w:p w14:paraId="238A1F75" w14:textId="77777777" w:rsidR="00446F27" w:rsidRPr="004A5029" w:rsidRDefault="00446F27" w:rsidP="008A2644">
      <w:pPr>
        <w:rPr>
          <w:rFonts w:ascii="Times New Roman" w:hAnsi="Times New Roman" w:cs="Times New Roman"/>
          <w:i/>
          <w:color w:val="000000" w:themeColor="text1"/>
        </w:rPr>
      </w:pPr>
      <w:r w:rsidRPr="004A5029">
        <w:rPr>
          <w:rFonts w:ascii="Times New Roman" w:hAnsi="Times New Roman" w:cs="Times New Roman"/>
          <w:i/>
          <w:color w:val="000000" w:themeColor="text1"/>
        </w:rPr>
        <w:t>Responsabile unico del progetto (RUP).</w:t>
      </w:r>
    </w:p>
    <w:p w14:paraId="0FE503C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1. Nel primo atto di avvio dell’intervento pubblico da realizzare mediante un contratto le stazioni appaltanti e gli enti concedenti nominano nell’interesse proprio o di altre amministrazioni un responsabile unico del progetto (RUP) per le fasi di programmazione, progettazione, affidamento e per l’esecuzione di ciascuna procedura soggetta al codice</w:t>
      </w:r>
      <w:r w:rsidRPr="004A5029">
        <w:rPr>
          <w:rFonts w:ascii="Times New Roman" w:hAnsi="Times New Roman" w:cs="Times New Roman"/>
          <w:color w:val="000000" w:themeColor="text1"/>
        </w:rPr>
        <w:t>.</w:t>
      </w:r>
    </w:p>
    <w:p w14:paraId="2986271F" w14:textId="0D3F242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2. </w:t>
      </w:r>
      <w:r w:rsidRPr="004A5029">
        <w:rPr>
          <w:rFonts w:ascii="Times New Roman" w:hAnsi="Times New Roman" w:cs="Times New Roman"/>
          <w:b/>
          <w:strike/>
          <w:color w:val="000000" w:themeColor="text1"/>
        </w:rPr>
        <w:t>Il responsabile dell’unità organizzativa titolare del potere di spesa nomina</w:t>
      </w:r>
      <w:r w:rsidR="00AF35F4" w:rsidRPr="004A5029">
        <w:rPr>
          <w:rFonts w:ascii="Times New Roman" w:hAnsi="Times New Roman" w:cs="Times New Roman"/>
          <w:bCs/>
          <w:color w:val="000000" w:themeColor="text1"/>
        </w:rPr>
        <w:t xml:space="preserve"> </w:t>
      </w:r>
      <w:r w:rsidR="007945E5" w:rsidRPr="004A5029">
        <w:rPr>
          <w:rFonts w:ascii="Times New Roman" w:hAnsi="Times New Roman" w:cs="Times New Roman"/>
          <w:b/>
          <w:color w:val="000000" w:themeColor="text1"/>
        </w:rPr>
        <w:t>Le stazioni appaltanti e gli enti concedenti nominano</w:t>
      </w:r>
      <w:r w:rsidRPr="004A5029">
        <w:rPr>
          <w:rFonts w:ascii="Times New Roman" w:hAnsi="Times New Roman" w:cs="Times New Roman"/>
          <w:bCs/>
          <w:color w:val="000000" w:themeColor="text1"/>
        </w:rPr>
        <w:t xml:space="preserve"> il RUP tra i dipendenti </w:t>
      </w:r>
      <w:r w:rsidR="00AF35F4" w:rsidRPr="004A5029">
        <w:rPr>
          <w:rFonts w:ascii="Times New Roman" w:hAnsi="Times New Roman" w:cs="Times New Roman"/>
          <w:b/>
          <w:color w:val="000000" w:themeColor="text1"/>
        </w:rPr>
        <w:t>assunti anche a tempo determinato</w:t>
      </w:r>
      <w:r w:rsidR="00AF35F4"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della stazione appaltante o dell’ente concedente, preferibilmente in servizio</w:t>
      </w:r>
      <w:r w:rsidR="00FB47A7" w:rsidRPr="004A5029">
        <w:rPr>
          <w:rFonts w:ascii="Times New Roman" w:hAnsi="Times New Roman" w:cs="Times New Roman"/>
          <w:b/>
          <w:color w:val="000000" w:themeColor="text1"/>
        </w:rPr>
        <w:t xml:space="preserve"> presso l’unità organizzativa titolare del potere di spesa</w:t>
      </w:r>
      <w:r w:rsidR="00FB47A7" w:rsidRPr="004A5029">
        <w:rPr>
          <w:rFonts w:ascii="Times New Roman" w:hAnsi="Times New Roman" w:cs="Times New Roman"/>
          <w:bCs/>
          <w:color w:val="000000" w:themeColor="text1"/>
        </w:rPr>
        <w:t xml:space="preserve"> </w:t>
      </w:r>
      <w:r w:rsidR="004F5960" w:rsidRPr="004A5029">
        <w:rPr>
          <w:rFonts w:ascii="Times New Roman" w:hAnsi="Times New Roman" w:cs="Times New Roman"/>
          <w:b/>
          <w:strike/>
          <w:color w:val="000000" w:themeColor="text1"/>
        </w:rPr>
        <w:t xml:space="preserve">nell’unità </w:t>
      </w:r>
      <w:r w:rsidRPr="004A5029">
        <w:rPr>
          <w:rFonts w:ascii="Times New Roman" w:hAnsi="Times New Roman" w:cs="Times New Roman"/>
          <w:b/>
          <w:strike/>
          <w:color w:val="000000" w:themeColor="text1"/>
        </w:rPr>
        <w:t>medesima</w:t>
      </w:r>
      <w:r w:rsidRPr="004A5029">
        <w:rPr>
          <w:rFonts w:ascii="Times New Roman" w:hAnsi="Times New Roman" w:cs="Times New Roman"/>
          <w:bCs/>
          <w:color w:val="000000" w:themeColor="text1"/>
        </w:rPr>
        <w:t xml:space="preserve">, in possesso </w:t>
      </w:r>
      <w:r w:rsidR="004D0D03" w:rsidRPr="004A5029">
        <w:rPr>
          <w:rFonts w:ascii="Times New Roman" w:hAnsi="Times New Roman" w:cs="Times New Roman"/>
          <w:b/>
          <w:color w:val="000000" w:themeColor="text1"/>
        </w:rPr>
        <w:t>dei requisiti di cui all’allegato I.2 e</w:t>
      </w:r>
      <w:r w:rsidR="004D0D0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di competenze professionali adeguate in relazione ai compiti </w:t>
      </w:r>
      <w:r w:rsidR="004368AE" w:rsidRPr="004A5029">
        <w:rPr>
          <w:rFonts w:ascii="Times New Roman" w:hAnsi="Times New Roman" w:cs="Times New Roman"/>
          <w:b/>
          <w:color w:val="000000" w:themeColor="text1"/>
        </w:rPr>
        <w:t xml:space="preserve">al medesimo </w:t>
      </w:r>
      <w:r w:rsidRPr="004A5029">
        <w:rPr>
          <w:rFonts w:ascii="Times New Roman" w:hAnsi="Times New Roman" w:cs="Times New Roman"/>
          <w:b/>
          <w:strike/>
          <w:color w:val="000000" w:themeColor="text1"/>
        </w:rPr>
        <w:t>a lui</w:t>
      </w:r>
      <w:r w:rsidRPr="004A5029">
        <w:rPr>
          <w:rFonts w:ascii="Times New Roman" w:hAnsi="Times New Roman" w:cs="Times New Roman"/>
          <w:bCs/>
          <w:color w:val="000000" w:themeColor="text1"/>
        </w:rPr>
        <w:t xml:space="preserve"> affidati, nel rispetto dell’inquadramento contrattuale e delle relative mansioni. </w:t>
      </w:r>
      <w:r w:rsidRPr="004A5029">
        <w:rPr>
          <w:rFonts w:ascii="Times New Roman" w:hAnsi="Times New Roman" w:cs="Times New Roman"/>
          <w:color w:val="000000" w:themeColor="text1"/>
        </w:rPr>
        <w:t xml:space="preserve">Le stazioni appaltanti e gli enti concedenti che non sono pubbliche amministrazioni o enti pubblici individuano, secondo i propri ordinamenti, uno o più soggetti cui affidare i compiti del RUP, limitatamente al rispetto delle norme del codice alla cui osservanza sono tenute. L’ufficio di RUP è obbligatorio </w:t>
      </w:r>
      <w:r w:rsidRPr="004A5029">
        <w:rPr>
          <w:rFonts w:ascii="Times New Roman" w:hAnsi="Times New Roman" w:cs="Times New Roman"/>
          <w:bCs/>
          <w:color w:val="000000" w:themeColor="text1"/>
        </w:rPr>
        <w:t xml:space="preserve">e non può essere rifiutato. In caso di mancata nomina del RUP nell’atto di avvio dell’intervento pubblico, l’incarico è svolto dal </w:t>
      </w:r>
      <w:r w:rsidRPr="004A5029">
        <w:rPr>
          <w:rFonts w:ascii="Times New Roman" w:hAnsi="Times New Roman" w:cs="Times New Roman"/>
          <w:b/>
          <w:strike/>
          <w:color w:val="000000" w:themeColor="text1"/>
        </w:rPr>
        <w:t>medesimo</w:t>
      </w:r>
      <w:r w:rsidRPr="004A5029">
        <w:rPr>
          <w:rFonts w:ascii="Times New Roman" w:hAnsi="Times New Roman" w:cs="Times New Roman"/>
          <w:bCs/>
          <w:color w:val="000000" w:themeColor="text1"/>
        </w:rPr>
        <w:t xml:space="preserve"> responsabile </w:t>
      </w:r>
      <w:r w:rsidRPr="004A5029">
        <w:rPr>
          <w:rFonts w:ascii="Times New Roman" w:hAnsi="Times New Roman" w:cs="Times New Roman"/>
          <w:b/>
          <w:strike/>
          <w:color w:val="000000" w:themeColor="text1"/>
        </w:rPr>
        <w:t>di cui al primo periodo</w:t>
      </w:r>
      <w:r w:rsidR="007945E5" w:rsidRPr="004A5029">
        <w:rPr>
          <w:color w:val="000000" w:themeColor="text1"/>
        </w:rPr>
        <w:t xml:space="preserve"> </w:t>
      </w:r>
      <w:r w:rsidR="007945E5" w:rsidRPr="004A5029">
        <w:rPr>
          <w:rFonts w:ascii="Times New Roman" w:hAnsi="Times New Roman" w:cs="Times New Roman"/>
          <w:b/>
          <w:color w:val="000000" w:themeColor="text1"/>
        </w:rPr>
        <w:t>dell’unità organizzativa competente per l’intervento</w:t>
      </w:r>
      <w:r w:rsidRPr="004A5029">
        <w:rPr>
          <w:rFonts w:ascii="Times New Roman" w:hAnsi="Times New Roman" w:cs="Times New Roman"/>
          <w:bCs/>
          <w:color w:val="000000" w:themeColor="text1"/>
        </w:rPr>
        <w:t>.</w:t>
      </w:r>
    </w:p>
    <w:p w14:paraId="28DA847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nominativo del RUP è indicato nel bando o nell’avviso di indizione della gara, o, in mancanza, nell’invito a presentare un’offerta o nel provvedimento di affidamento diretto.</w:t>
      </w:r>
    </w:p>
    <w:p w14:paraId="3A9E8767" w14:textId="1F5FD438" w:rsidR="00446F27" w:rsidRPr="004A5029" w:rsidRDefault="00446F27" w:rsidP="00446F27">
      <w:pPr>
        <w:pStyle w:val="Paragrafoelenco"/>
        <w:ind w:left="0"/>
        <w:contextualSpacing w:val="0"/>
        <w:jc w:val="both"/>
        <w:rPr>
          <w:rStyle w:val="normaltextrun"/>
          <w:rFonts w:ascii="Times New Roman" w:hAnsi="Times New Roman" w:cs="Times New Roman"/>
          <w:i/>
          <w:iCs/>
          <w:color w:val="000000" w:themeColor="text1"/>
          <w:shd w:val="clear" w:color="auto" w:fill="FFFFFF"/>
        </w:rPr>
      </w:pPr>
      <w:r w:rsidRPr="004A5029">
        <w:rPr>
          <w:rFonts w:ascii="Times New Roman" w:hAnsi="Times New Roman" w:cs="Times New Roman"/>
          <w:bCs/>
          <w:color w:val="000000" w:themeColor="text1"/>
        </w:rPr>
        <w:t xml:space="preserve">4. Ferma restando l’unicità del RUP </w:t>
      </w:r>
      <w:r w:rsidRPr="004A5029">
        <w:rPr>
          <w:rFonts w:ascii="Times New Roman" w:hAnsi="Times New Roman" w:cs="Times New Roman"/>
          <w:b/>
          <w:strike/>
          <w:color w:val="000000" w:themeColor="text1"/>
        </w:rPr>
        <w:t>e se il RUP lo richiede</w:t>
      </w:r>
      <w:r w:rsidRPr="004A5029">
        <w:rPr>
          <w:rFonts w:ascii="Times New Roman" w:hAnsi="Times New Roman" w:cs="Times New Roman"/>
          <w:bCs/>
          <w:color w:val="000000" w:themeColor="text1"/>
        </w:rPr>
        <w:t>, le stazioni appaltanti e gli enti concedenti</w:t>
      </w:r>
      <w:r w:rsidRPr="004A5029">
        <w:rPr>
          <w:rFonts w:ascii="Times New Roman" w:hAnsi="Times New Roman" w:cs="Times New Roman"/>
          <w:b/>
          <w:strike/>
          <w:color w:val="000000" w:themeColor="text1"/>
        </w:rPr>
        <w:t>,</w:t>
      </w:r>
      <w:r w:rsidRPr="004A5029">
        <w:rPr>
          <w:rFonts w:ascii="Times New Roman" w:hAnsi="Times New Roman" w:cs="Times New Roman"/>
          <w:bCs/>
          <w:color w:val="000000" w:themeColor="text1"/>
        </w:rPr>
        <w:t xml:space="preserve"> </w:t>
      </w:r>
      <w:r w:rsidRPr="004A5029">
        <w:rPr>
          <w:rFonts w:ascii="Times New Roman" w:hAnsi="Times New Roman" w:cs="Times New Roman"/>
          <w:b/>
          <w:strike/>
          <w:color w:val="000000" w:themeColor="text1"/>
        </w:rPr>
        <w:t>ciascuno secondo il proprio ordinamento, nominano</w:t>
      </w:r>
      <w:r w:rsidRPr="004A5029">
        <w:rPr>
          <w:rFonts w:ascii="Times New Roman" w:hAnsi="Times New Roman" w:cs="Times New Roman"/>
          <w:bCs/>
          <w:color w:val="000000" w:themeColor="text1"/>
        </w:rPr>
        <w:t xml:space="preserve"> </w:t>
      </w:r>
      <w:r w:rsidR="007945E5" w:rsidRPr="004A5029">
        <w:rPr>
          <w:rFonts w:ascii="Times New Roman" w:hAnsi="Times New Roman" w:cs="Times New Roman"/>
          <w:b/>
          <w:color w:val="000000" w:themeColor="text1"/>
        </w:rPr>
        <w:t xml:space="preserve">possono individuare modelli organizzativi, i quali prevedano la </w:t>
      </w:r>
      <w:r w:rsidR="007945E5" w:rsidRPr="004A5029">
        <w:rPr>
          <w:rFonts w:ascii="Times New Roman" w:hAnsi="Times New Roman" w:cs="Times New Roman"/>
          <w:bCs/>
          <w:color w:val="000000" w:themeColor="text1"/>
        </w:rPr>
        <w:t xml:space="preserve">nomina </w:t>
      </w:r>
      <w:r w:rsidR="007945E5" w:rsidRPr="004A5029">
        <w:rPr>
          <w:rFonts w:ascii="Times New Roman" w:hAnsi="Times New Roman" w:cs="Times New Roman"/>
          <w:b/>
          <w:color w:val="000000" w:themeColor="text1"/>
        </w:rPr>
        <w:t>di</w:t>
      </w:r>
      <w:r w:rsidR="007945E5"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un responsabile di procedimento per le fasi di </w:t>
      </w:r>
      <w:r w:rsidRPr="004A5029">
        <w:rPr>
          <w:rFonts w:ascii="Times New Roman" w:hAnsi="Times New Roman" w:cs="Times New Roman"/>
          <w:color w:val="000000" w:themeColor="text1"/>
        </w:rPr>
        <w:t>programmazione, progettazione</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ed esecuzione</w:t>
      </w:r>
      <w:r w:rsidRPr="004A5029">
        <w:rPr>
          <w:rFonts w:ascii="Times New Roman" w:hAnsi="Times New Roman" w:cs="Times New Roman"/>
          <w:bCs/>
          <w:color w:val="000000" w:themeColor="text1"/>
        </w:rPr>
        <w:t xml:space="preserve"> e un responsabile di procedimento per la fase di </w:t>
      </w:r>
      <w:r w:rsidRPr="004A5029">
        <w:rPr>
          <w:rFonts w:ascii="Times New Roman" w:hAnsi="Times New Roman" w:cs="Times New Roman"/>
          <w:color w:val="000000" w:themeColor="text1"/>
        </w:rPr>
        <w:t>affidamento</w:t>
      </w:r>
      <w:r w:rsidRPr="004A5029">
        <w:rPr>
          <w:rFonts w:ascii="Times New Roman" w:hAnsi="Times New Roman" w:cs="Times New Roman"/>
          <w:bCs/>
          <w:color w:val="000000" w:themeColor="text1"/>
        </w:rPr>
        <w:t>. Le relative responsabilità sono ripartite in base ai compiti svolti in ciascuna fase, ferme restando le funzioni di supervisione, indirizzo e coordinamento del RUP.</w:t>
      </w:r>
    </w:p>
    <w:p w14:paraId="3C0539C2" w14:textId="77C9284B"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hAnsi="Times New Roman" w:cs="Times New Roman"/>
          <w:bCs/>
          <w:color w:val="000000" w:themeColor="text1"/>
        </w:rPr>
        <w:t xml:space="preserve">5. Il RUP assicura il completamento dell’intervento pubblico nei termini previsti e nel rispetto degli obiettivi connessi al suo incarico, svolgendo tutte le attività indicate nell’allegato I.2, o che siano comunque necessarie, ove non di competenza di altri organi. </w:t>
      </w:r>
      <w:r w:rsidRPr="004A5029">
        <w:rPr>
          <w:rFonts w:ascii="Times New Roman" w:eastAsia="Times New Roman" w:hAnsi="Times New Roman" w:cs="Times New Roman"/>
          <w:color w:val="000000" w:themeColor="text1"/>
        </w:rPr>
        <w:t xml:space="preserve">In sede di prima applicazione del codice, l’allegato I.2 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decreto del Ministro delle infrastrutture e dei trasporti, che lo sostituisce integralmente anche in qualità di allegato al codice.</w:t>
      </w:r>
    </w:p>
    <w:p w14:paraId="5A8F94B4" w14:textId="77777777" w:rsidR="00446F27" w:rsidRPr="004A5029" w:rsidRDefault="00446F27" w:rsidP="00446F27">
      <w:pPr>
        <w:jc w:val="both"/>
        <w:rPr>
          <w:rStyle w:val="normaltextrun"/>
          <w:rFonts w:ascii="Times New Roman" w:hAnsi="Times New Roman" w:cs="Times New Roman"/>
          <w:bCs/>
          <w:color w:val="000000" w:themeColor="text1"/>
        </w:rPr>
      </w:pPr>
      <w:r w:rsidRPr="004A5029">
        <w:rPr>
          <w:rFonts w:ascii="Times New Roman" w:hAnsi="Times New Roman" w:cs="Times New Roman"/>
          <w:color w:val="000000" w:themeColor="text1"/>
        </w:rPr>
        <w:t xml:space="preserve">6. </w:t>
      </w:r>
      <w:r w:rsidRPr="004A5029">
        <w:rPr>
          <w:rFonts w:ascii="Times New Roman" w:hAnsi="Times New Roman" w:cs="Times New Roman"/>
          <w:bCs/>
          <w:color w:val="000000" w:themeColor="text1"/>
        </w:rPr>
        <w:t xml:space="preserve">Le stazioni appaltanti e gli enti concedenti possono </w:t>
      </w:r>
      <w:r w:rsidRPr="004A5029">
        <w:rPr>
          <w:rFonts w:ascii="Times New Roman" w:hAnsi="Times New Roman" w:cs="Times New Roman"/>
          <w:color w:val="000000" w:themeColor="text1"/>
        </w:rPr>
        <w:t xml:space="preserve">istituire una struttura di supporto al RUP, </w:t>
      </w:r>
      <w:r w:rsidRPr="004A5029">
        <w:rPr>
          <w:rFonts w:ascii="Times New Roman" w:hAnsi="Times New Roman" w:cs="Times New Roman"/>
          <w:bCs/>
          <w:color w:val="000000" w:themeColor="text1"/>
        </w:rPr>
        <w:t>e possono destinare risorse finanziarie non superiori all’1 per cento dell’importo posto a base di gara per l’affidamento diretto da parte del RUP di incarichi di assistenza al medesimo.</w:t>
      </w:r>
    </w:p>
    <w:p w14:paraId="04241350" w14:textId="7C3E144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7. </w:t>
      </w:r>
      <w:r w:rsidRPr="004A5029">
        <w:rPr>
          <w:rFonts w:ascii="Times New Roman" w:hAnsi="Times New Roman" w:cs="Times New Roman"/>
          <w:b/>
          <w:strike/>
          <w:color w:val="000000" w:themeColor="text1"/>
        </w:rPr>
        <w:t>Contestualmente all’adozione del</w:t>
      </w:r>
      <w:r w:rsidRPr="004A5029">
        <w:rPr>
          <w:rFonts w:ascii="Times New Roman" w:hAnsi="Times New Roman" w:cs="Times New Roman"/>
          <w:bCs/>
          <w:color w:val="000000" w:themeColor="text1"/>
        </w:rPr>
        <w:t xml:space="preserve"> </w:t>
      </w:r>
      <w:r w:rsidR="00AF35F4" w:rsidRPr="004A5029">
        <w:rPr>
          <w:rFonts w:ascii="Times New Roman" w:hAnsi="Times New Roman" w:cs="Times New Roman"/>
          <w:b/>
          <w:color w:val="000000" w:themeColor="text1"/>
        </w:rPr>
        <w:t>Le stazioni appaltanti e gli enti concedenti, in coerenza con il</w:t>
      </w:r>
      <w:r w:rsidR="00AF35F4"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programma degli </w:t>
      </w:r>
      <w:r w:rsidRPr="004A5029">
        <w:rPr>
          <w:rFonts w:ascii="Times New Roman" w:hAnsi="Times New Roman" w:cs="Times New Roman"/>
          <w:b/>
          <w:strike/>
          <w:color w:val="000000" w:themeColor="text1"/>
        </w:rPr>
        <w:t>acquisiti</w:t>
      </w:r>
      <w:r w:rsidRPr="004A5029">
        <w:rPr>
          <w:rFonts w:ascii="Times New Roman" w:hAnsi="Times New Roman" w:cs="Times New Roman"/>
          <w:bCs/>
          <w:color w:val="000000" w:themeColor="text1"/>
        </w:rPr>
        <w:t xml:space="preserve"> </w:t>
      </w:r>
      <w:r w:rsidR="002E2850" w:rsidRPr="004A5029">
        <w:rPr>
          <w:rFonts w:ascii="Times New Roman" w:hAnsi="Times New Roman" w:cs="Times New Roman"/>
          <w:b/>
          <w:color w:val="000000" w:themeColor="text1"/>
        </w:rPr>
        <w:t xml:space="preserve">acquisti </w:t>
      </w:r>
      <w:r w:rsidRPr="004A5029">
        <w:rPr>
          <w:rFonts w:ascii="Times New Roman" w:hAnsi="Times New Roman" w:cs="Times New Roman"/>
          <w:bCs/>
          <w:color w:val="000000" w:themeColor="text1"/>
        </w:rPr>
        <w:t xml:space="preserve">di beni e servizi e del programma dei lavori pubblici di cui all’articolo 37, </w:t>
      </w:r>
      <w:r w:rsidRPr="004A5029">
        <w:rPr>
          <w:rFonts w:ascii="Times New Roman" w:hAnsi="Times New Roman" w:cs="Times New Roman"/>
          <w:b/>
          <w:strike/>
          <w:color w:val="000000" w:themeColor="text1"/>
        </w:rPr>
        <w:t>le stazioni appaltanti e gli enti concedenti adottano il connesso piano di formazione specialistica per il proprio personale</w:t>
      </w:r>
      <w:r w:rsidR="00AF35F4" w:rsidRPr="004A5029">
        <w:rPr>
          <w:rFonts w:ascii="Times New Roman" w:hAnsi="Times New Roman" w:cs="Times New Roman"/>
          <w:b/>
          <w:bCs/>
          <w:color w:val="000000" w:themeColor="text1"/>
        </w:rPr>
        <w:t xml:space="preserve"> adottano un piano di formazione per il personale che svolge funzioni relative alle procedure in materia di acquisiti di lavori, servizi e forniture</w:t>
      </w:r>
      <w:r w:rsidRPr="004A5029">
        <w:rPr>
          <w:rFonts w:ascii="Times New Roman" w:hAnsi="Times New Roman" w:cs="Times New Roman"/>
          <w:bCs/>
          <w:color w:val="000000" w:themeColor="text1"/>
        </w:rPr>
        <w:t xml:space="preserve">. </w:t>
      </w:r>
      <w:r w:rsidRPr="004A5029">
        <w:rPr>
          <w:rFonts w:ascii="Times New Roman" w:hAnsi="Times New Roman" w:cs="Times New Roman"/>
          <w:b/>
          <w:strike/>
          <w:color w:val="000000" w:themeColor="text1"/>
        </w:rPr>
        <w:t>Le attività formative del piano sono considerate per la valutazione delle prestazioni dei dipendenti e per le progressioni economiche e di carriera secondo le modalità indicate dalla contrattazione collettiva.</w:t>
      </w:r>
    </w:p>
    <w:p w14:paraId="6E25EBD3" w14:textId="77777777" w:rsidR="00446F27" w:rsidRPr="004A5029" w:rsidRDefault="00446F27" w:rsidP="00446F27">
      <w:pPr>
        <w:pStyle w:val="Paragrafoelenco"/>
        <w:ind w:left="0"/>
        <w:contextualSpacing w:val="0"/>
        <w:jc w:val="both"/>
        <w:rPr>
          <w:rStyle w:val="normaltextrun"/>
          <w:rFonts w:ascii="Times New Roman" w:hAnsi="Times New Roman" w:cs="Times New Roman"/>
          <w:i/>
          <w:iCs/>
          <w:color w:val="000000" w:themeColor="text1"/>
          <w:shd w:val="clear" w:color="auto" w:fill="FFFFFF"/>
        </w:rPr>
      </w:pPr>
      <w:r w:rsidRPr="004A5029">
        <w:rPr>
          <w:rFonts w:ascii="Times New Roman" w:hAnsi="Times New Roman" w:cs="Times New Roman"/>
          <w:color w:val="000000" w:themeColor="text1"/>
        </w:rPr>
        <w:t>8. Negli appalti pubblici di lavori aggiudicati con la formula del contraente generale e nelle altre formule di partenariato pubblico-privato, è vietata l’attribuzione dei compiti di RUP, responsabile dei lavori, direttore dei lavori o collaudatore allo stesso contraente generale, al soggetto aggiudicatario dei contratti di partenariato pubblico-privato e ai soggetti a essi collegati.</w:t>
      </w:r>
    </w:p>
    <w:p w14:paraId="0CCB1B99" w14:textId="0DFBFCC4" w:rsidR="00446F27" w:rsidRPr="004A5029" w:rsidRDefault="00446F27" w:rsidP="00446F27">
      <w:pPr>
        <w:pStyle w:val="Paragrafoelenco"/>
        <w:ind w:left="0"/>
        <w:contextualSpacing w:val="0"/>
        <w:jc w:val="both"/>
        <w:rPr>
          <w:rFonts w:ascii="Times New Roman" w:hAnsi="Times New Roman" w:cs="Times New Roman"/>
          <w:iCs/>
          <w:color w:val="000000" w:themeColor="text1"/>
          <w:shd w:val="clear" w:color="auto" w:fill="FFFFFF"/>
        </w:rPr>
      </w:pPr>
      <w:r w:rsidRPr="004A5029">
        <w:rPr>
          <w:rFonts w:ascii="Times New Roman" w:hAnsi="Times New Roman" w:cs="Times New Roman"/>
          <w:iCs/>
          <w:color w:val="000000" w:themeColor="text1"/>
          <w:shd w:val="clear" w:color="auto" w:fill="FFFFFF"/>
        </w:rPr>
        <w:t>9. Le centrali di committenza e le aggregazioni di stazioni appaltanti designano un RUP per le attività di propria competenza con i compiti e le funzioni determinate dalla specificità e complessità dei processi di acquisizione gestiti direttamente.</w:t>
      </w:r>
    </w:p>
    <w:p w14:paraId="689F32C1" w14:textId="77777777" w:rsidR="00053EE1" w:rsidRPr="004A5029" w:rsidRDefault="00053EE1" w:rsidP="00446F27">
      <w:pPr>
        <w:jc w:val="both"/>
        <w:rPr>
          <w:rFonts w:ascii="Times New Roman" w:hAnsi="Times New Roman" w:cs="Times New Roman"/>
          <w:b/>
          <w:color w:val="000000" w:themeColor="text1"/>
        </w:rPr>
      </w:pPr>
    </w:p>
    <w:p w14:paraId="6131C81F" w14:textId="7DCE2645"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w:t>
      </w:r>
    </w:p>
    <w:p w14:paraId="6CF2AC0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Conflitto di interessi.</w:t>
      </w:r>
    </w:p>
    <w:p w14:paraId="53516F3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Si ha conflitto di interessi quando </w:t>
      </w:r>
      <w:r w:rsidRPr="004A5029">
        <w:rPr>
          <w:rFonts w:ascii="Times New Roman" w:hAnsi="Times New Roman" w:cs="Times New Roman"/>
          <w:bCs/>
          <w:color w:val="000000" w:themeColor="text1"/>
        </w:rPr>
        <w:t xml:space="preserve">un soggetto che, a qualsiasi titolo, </w:t>
      </w:r>
      <w:r w:rsidRPr="004A5029">
        <w:rPr>
          <w:rFonts w:ascii="Times New Roman" w:hAnsi="Times New Roman" w:cs="Times New Roman"/>
          <w:color w:val="000000" w:themeColor="text1"/>
        </w:rPr>
        <w:t xml:space="preserve">interviene </w:t>
      </w:r>
      <w:r w:rsidRPr="004A5029">
        <w:rPr>
          <w:rFonts w:ascii="Times New Roman" w:hAnsi="Times New Roman" w:cs="Times New Roman"/>
          <w:bCs/>
          <w:color w:val="000000" w:themeColor="text1"/>
        </w:rPr>
        <w:t>con compiti funzionali nella</w:t>
      </w:r>
      <w:r w:rsidRPr="004A5029">
        <w:rPr>
          <w:rFonts w:ascii="Times New Roman" w:hAnsi="Times New Roman" w:cs="Times New Roman"/>
          <w:color w:val="000000" w:themeColor="text1"/>
        </w:rPr>
        <w:t xml:space="preserve"> procedura di aggiudicazione </w:t>
      </w:r>
      <w:r w:rsidRPr="004A5029">
        <w:rPr>
          <w:rFonts w:ascii="Times New Roman" w:hAnsi="Times New Roman" w:cs="Times New Roman"/>
          <w:bCs/>
          <w:color w:val="000000" w:themeColor="text1"/>
        </w:rPr>
        <w:t xml:space="preserve">o nella fase di esecuzione </w:t>
      </w:r>
      <w:r w:rsidRPr="004A5029">
        <w:rPr>
          <w:rFonts w:ascii="Times New Roman" w:hAnsi="Times New Roman" w:cs="Times New Roman"/>
          <w:color w:val="000000" w:themeColor="text1"/>
        </w:rPr>
        <w:t xml:space="preserve">degli appalti o delle concessioni e ne può influenzare, in qualsiasi modo, il risultato, gli esiti e la gestione, ha direttamente o indirettamente un interesse finanziario, economico o altro interesse personale che può essere percepito come una minaccia </w:t>
      </w:r>
      <w:r w:rsidRPr="004A5029">
        <w:rPr>
          <w:rFonts w:ascii="Times New Roman" w:hAnsi="Times New Roman" w:cs="Times New Roman"/>
          <w:bCs/>
          <w:color w:val="000000" w:themeColor="text1"/>
        </w:rPr>
        <w:t xml:space="preserve">concreta ed effettiva </w:t>
      </w:r>
      <w:r w:rsidRPr="004A5029">
        <w:rPr>
          <w:rFonts w:ascii="Times New Roman" w:hAnsi="Times New Roman" w:cs="Times New Roman"/>
          <w:color w:val="000000" w:themeColor="text1"/>
        </w:rPr>
        <w:t xml:space="preserve">alla sua imparzialità e indipendenza nel contesto della procedura di </w:t>
      </w:r>
      <w:r w:rsidRPr="004A5029">
        <w:rPr>
          <w:rFonts w:ascii="Times New Roman" w:hAnsi="Times New Roman" w:cs="Times New Roman"/>
          <w:bCs/>
          <w:color w:val="000000" w:themeColor="text1"/>
        </w:rPr>
        <w:t>aggiudicazione o nella fase di esecuzione.</w:t>
      </w:r>
    </w:p>
    <w:p w14:paraId="653BD8DE" w14:textId="77777777" w:rsidR="00446F27" w:rsidRPr="004A5029" w:rsidRDefault="00446F27" w:rsidP="00446F27">
      <w:pPr>
        <w:pStyle w:val="Paragrafoelenco"/>
        <w:ind w:left="0"/>
        <w:contextualSpacing w:val="0"/>
        <w:jc w:val="both"/>
        <w:rPr>
          <w:rStyle w:val="normaltextrun"/>
          <w:rFonts w:ascii="Times New Roman" w:hAnsi="Times New Roman" w:cs="Times New Roman"/>
          <w:i/>
          <w:color w:val="000000" w:themeColor="text1"/>
          <w:shd w:val="clear" w:color="auto" w:fill="FFFFFF"/>
        </w:rPr>
      </w:pPr>
      <w:r w:rsidRPr="004A5029">
        <w:rPr>
          <w:rFonts w:ascii="Times New Roman" w:hAnsi="Times New Roman" w:cs="Times New Roman"/>
          <w:color w:val="000000" w:themeColor="text1"/>
        </w:rPr>
        <w:t>2. In coerenza con il principio della fiducia e per preservare la funzionalità dell’azione amministrativa, la percepita minaccia all’imparzialità e indipendenza deve essere provata da chi invoca il conflitto sulla base di presupposti specifici e documentati e deve riferirsi a interessi effettivi, la cui soddisfazione sia conseguibile solo subordinando un interesse all’altro.</w:t>
      </w:r>
    </w:p>
    <w:p w14:paraId="38DDDEB4" w14:textId="718D04A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personale che versa nelle ipotesi di cui al comma 1 ne dà comunicazione alla stazione appaltante o all’ente concedente e si astiene dal partecipare alla procedura di aggiudicazione e all’esecuzione.</w:t>
      </w:r>
    </w:p>
    <w:p w14:paraId="49F8E15F" w14:textId="4419CAEE" w:rsidR="007F75DA" w:rsidRPr="004A5029" w:rsidRDefault="007F75DA" w:rsidP="00446F27">
      <w:pPr>
        <w:jc w:val="both"/>
        <w:rPr>
          <w:rStyle w:val="normaltextrun"/>
          <w:rFonts w:ascii="Times New Roman" w:hAnsi="Times New Roman" w:cs="Times New Roman"/>
          <w:b/>
          <w:bCs/>
          <w:color w:val="000000" w:themeColor="text1"/>
          <w:shd w:val="clear" w:color="auto" w:fill="FFFFFF"/>
        </w:rPr>
      </w:pPr>
      <w:r w:rsidRPr="004A5029">
        <w:rPr>
          <w:rStyle w:val="normaltextrun"/>
          <w:rFonts w:ascii="Times New Roman" w:hAnsi="Times New Roman" w:cs="Times New Roman"/>
          <w:b/>
          <w:bCs/>
          <w:color w:val="000000" w:themeColor="text1"/>
          <w:shd w:val="clear" w:color="auto" w:fill="FFFFFF"/>
        </w:rPr>
        <w:t xml:space="preserve">4. Le stazioni appaltanti adottano misure adeguate per individuare, prevenire e risolvere in modo efficace ogni ipotesi di conflitto di interesse nello svolgimento delle procedure di aggiudicazione </w:t>
      </w:r>
      <w:r w:rsidR="004368AE" w:rsidRPr="004A5029">
        <w:rPr>
          <w:rStyle w:val="normaltextrun"/>
          <w:rFonts w:ascii="Times New Roman" w:hAnsi="Times New Roman" w:cs="Times New Roman"/>
          <w:b/>
          <w:bCs/>
          <w:color w:val="000000" w:themeColor="text1"/>
          <w:shd w:val="clear" w:color="auto" w:fill="FFFFFF"/>
        </w:rPr>
        <w:t xml:space="preserve">ed esecuzione </w:t>
      </w:r>
      <w:r w:rsidRPr="004A5029">
        <w:rPr>
          <w:rStyle w:val="normaltextrun"/>
          <w:rFonts w:ascii="Times New Roman" w:hAnsi="Times New Roman" w:cs="Times New Roman"/>
          <w:b/>
          <w:bCs/>
          <w:color w:val="000000" w:themeColor="text1"/>
          <w:shd w:val="clear" w:color="auto" w:fill="FFFFFF"/>
        </w:rPr>
        <w:t>degli appalti e delle concessioni e vigilano affinché gli adempimenti di cui al comma 3 siano rispettati.</w:t>
      </w:r>
    </w:p>
    <w:p w14:paraId="2D1CE55D" w14:textId="77777777" w:rsidR="004368AE" w:rsidRPr="004A5029" w:rsidRDefault="004368AE" w:rsidP="00446F27">
      <w:pPr>
        <w:rPr>
          <w:rFonts w:ascii="Times New Roman" w:hAnsi="Times New Roman" w:cs="Times New Roman"/>
          <w:color w:val="000000" w:themeColor="text1"/>
        </w:rPr>
      </w:pPr>
    </w:p>
    <w:p w14:paraId="7B77455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17.</w:t>
      </w:r>
    </w:p>
    <w:p w14:paraId="555BDC6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Fasi delle procedure di affidamento</w:t>
      </w:r>
      <w:r w:rsidRPr="004A5029">
        <w:rPr>
          <w:rStyle w:val="lbl-numero-articolo"/>
          <w:rFonts w:ascii="Times New Roman" w:hAnsi="Times New Roman" w:cs="Times New Roman"/>
          <w:i/>
          <w:color w:val="000000" w:themeColor="text1"/>
        </w:rPr>
        <w:t>.</w:t>
      </w:r>
    </w:p>
    <w:p w14:paraId="6638AD0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Prima dell’avvio delle procedure di affidamento dei contratti pubblici le stazioni appaltanti e gli enti concedenti, con apposito atto, adottano la decisione di contrarre individuando gli elementi essenziali del contratto e i criteri di selezione degli operatori economici e delle offerte.</w:t>
      </w:r>
    </w:p>
    <w:p w14:paraId="137252C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2. In caso di affidamento diretto, l’atto di cui al comma 1 individua l’oggetto, l’importo e il contraente, unitamente alle ragioni della sua scelta, ai requisiti di carattere generale e, se necessari, a quelli inerenti alla capacità economico-finanziaria e tecnico-professionale</w:t>
      </w:r>
      <w:r w:rsidRPr="004A5029">
        <w:rPr>
          <w:rFonts w:ascii="Times New Roman" w:hAnsi="Times New Roman" w:cs="Times New Roman"/>
          <w:color w:val="000000" w:themeColor="text1"/>
        </w:rPr>
        <w:t>.</w:t>
      </w:r>
    </w:p>
    <w:p w14:paraId="666CC0E2" w14:textId="5B3256D1"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hAnsi="Times New Roman" w:cs="Times New Roman"/>
          <w:bCs/>
          <w:color w:val="000000" w:themeColor="text1"/>
        </w:rPr>
        <w:t>3. Le stazioni appaltanti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e gli enti concedenti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 xml:space="preserve">concludono le procedure di selezione nei termini indicati nell’allegato I.3. Il superamento dei termini costituisce silenzio inadempimento e rileva anche al fine della verifica del rispetto del dovere di buona fede, anche in pendenza di contenzioso. </w:t>
      </w:r>
      <w:r w:rsidRPr="004A5029">
        <w:rPr>
          <w:rFonts w:ascii="Times New Roman" w:eastAsia="Times New Roman" w:hAnsi="Times New Roman" w:cs="Times New Roman"/>
          <w:color w:val="000000" w:themeColor="text1"/>
        </w:rPr>
        <w:t xml:space="preserve">In sede di prima applicazione del codice, l’allegato I.3 è abrogato a decorrere dalla data di entrata in vigore di un corrispondente regolamento emanato ai sensi dell’articolo 17, comma 1, della legge 23 agosto 1988, n. 400, su proposta del Ministro delle infrastrutture e dei trasporti, sentito il Ministro </w:t>
      </w:r>
      <w:r w:rsidR="00364325" w:rsidRPr="004A5029">
        <w:rPr>
          <w:rFonts w:ascii="Times New Roman" w:eastAsia="Times New Roman" w:hAnsi="Times New Roman" w:cs="Times New Roman"/>
          <w:color w:val="000000" w:themeColor="text1"/>
        </w:rPr>
        <w:t xml:space="preserve">per </w:t>
      </w:r>
      <w:r w:rsidRPr="004A5029">
        <w:rPr>
          <w:rFonts w:ascii="Times New Roman" w:eastAsia="Times New Roman" w:hAnsi="Times New Roman" w:cs="Times New Roman"/>
          <w:color w:val="000000" w:themeColor="text1"/>
        </w:rPr>
        <w:t>la pubblica amministrazione, che lo sostituisce integralmente anche in qualità di allegato al codice.</w:t>
      </w:r>
    </w:p>
    <w:p w14:paraId="09369D4B" w14:textId="5CE4AC62" w:rsidR="00446F27" w:rsidRPr="004A5029" w:rsidRDefault="00446F27" w:rsidP="00446F27">
      <w:pPr>
        <w:jc w:val="both"/>
        <w:rPr>
          <w:rStyle w:val="normaltextrun"/>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4. </w:t>
      </w:r>
      <w:r w:rsidRPr="004A5029">
        <w:rPr>
          <w:rFonts w:ascii="Times New Roman" w:hAnsi="Times New Roman" w:cs="Times New Roman"/>
          <w:bCs/>
          <w:color w:val="000000" w:themeColor="text1"/>
        </w:rPr>
        <w:t>Ogni</w:t>
      </w:r>
      <w:r w:rsidRPr="004A5029">
        <w:rPr>
          <w:rFonts w:ascii="Times New Roman" w:hAnsi="Times New Roman" w:cs="Times New Roman"/>
          <w:color w:val="000000" w:themeColor="text1"/>
        </w:rPr>
        <w:t xml:space="preserve"> concorrente può presentare </w:t>
      </w:r>
      <w:r w:rsidRPr="004A5029">
        <w:rPr>
          <w:rFonts w:ascii="Times New Roman" w:hAnsi="Times New Roman" w:cs="Times New Roman"/>
          <w:bCs/>
          <w:color w:val="000000" w:themeColor="text1"/>
        </w:rPr>
        <w:t>una sola offerta</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che è vincolante</w:t>
      </w:r>
      <w:r w:rsidRPr="004A5029">
        <w:rPr>
          <w:rFonts w:ascii="Times New Roman" w:hAnsi="Times New Roman" w:cs="Times New Roman"/>
          <w:color w:val="000000" w:themeColor="text1"/>
        </w:rPr>
        <w:t xml:space="preserve"> </w:t>
      </w:r>
      <w:r w:rsidRPr="004A5029">
        <w:rPr>
          <w:rFonts w:ascii="Times New Roman" w:eastAsia="Arial" w:hAnsi="Times New Roman" w:cs="Times New Roman"/>
          <w:color w:val="000000" w:themeColor="text1"/>
          <w:lang w:eastAsia="it-IT"/>
        </w:rPr>
        <w:t xml:space="preserve">per il periodo indicato nel bando o nell’invito e, in caso di mancata indicazione, per </w:t>
      </w:r>
      <w:r w:rsidRPr="004A5029">
        <w:rPr>
          <w:rFonts w:ascii="Times New Roman" w:eastAsia="Arial" w:hAnsi="Times New Roman" w:cs="Times New Roman"/>
          <w:b/>
          <w:strike/>
          <w:color w:val="000000" w:themeColor="text1"/>
          <w:lang w:eastAsia="it-IT"/>
        </w:rPr>
        <w:t>180</w:t>
      </w:r>
      <w:r w:rsidRPr="004A5029">
        <w:rPr>
          <w:rFonts w:ascii="Times New Roman" w:eastAsia="Arial" w:hAnsi="Times New Roman" w:cs="Times New Roman"/>
          <w:color w:val="000000" w:themeColor="text1"/>
          <w:lang w:eastAsia="it-IT"/>
        </w:rPr>
        <w:t xml:space="preserve"> </w:t>
      </w:r>
      <w:r w:rsidR="00407103" w:rsidRPr="004A5029">
        <w:rPr>
          <w:rFonts w:ascii="Times New Roman" w:hAnsi="Times New Roman" w:cs="Times New Roman"/>
          <w:b/>
          <w:color w:val="000000" w:themeColor="text1"/>
        </w:rPr>
        <w:t xml:space="preserve">centottanta </w:t>
      </w:r>
      <w:r w:rsidRPr="004A5029">
        <w:rPr>
          <w:rFonts w:ascii="Times New Roman" w:eastAsia="Arial" w:hAnsi="Times New Roman" w:cs="Times New Roman"/>
          <w:color w:val="000000" w:themeColor="text1"/>
          <w:lang w:eastAsia="it-IT"/>
        </w:rPr>
        <w:t xml:space="preserve">giorni dalla scadenza del termine per la sua presentazione. La stazione appaltante </w:t>
      </w:r>
      <w:r w:rsidRPr="004A5029">
        <w:rPr>
          <w:rFonts w:ascii="Times New Roman" w:eastAsia="Arial" w:hAnsi="Times New Roman" w:cs="Times New Roman"/>
          <w:bCs/>
          <w:color w:val="000000" w:themeColor="text1"/>
          <w:lang w:eastAsia="it-IT"/>
        </w:rPr>
        <w:t>e l’ente concedente, con atto motivato,</w:t>
      </w:r>
      <w:r w:rsidRPr="004A5029">
        <w:rPr>
          <w:rFonts w:ascii="Times New Roman" w:eastAsia="Arial" w:hAnsi="Times New Roman" w:cs="Times New Roman"/>
          <w:color w:val="000000" w:themeColor="text1"/>
          <w:lang w:eastAsia="it-IT"/>
        </w:rPr>
        <w:t xml:space="preserve"> </w:t>
      </w:r>
      <w:r w:rsidRPr="004A5029">
        <w:rPr>
          <w:rFonts w:ascii="Times New Roman" w:eastAsia="Arial" w:hAnsi="Times New Roman" w:cs="Times New Roman"/>
          <w:bCs/>
          <w:color w:val="000000" w:themeColor="text1"/>
          <w:lang w:eastAsia="it-IT"/>
        </w:rPr>
        <w:t>possono</w:t>
      </w:r>
      <w:r w:rsidRPr="004A5029">
        <w:rPr>
          <w:rFonts w:ascii="Times New Roman" w:eastAsia="Arial" w:hAnsi="Times New Roman" w:cs="Times New Roman"/>
          <w:color w:val="000000" w:themeColor="text1"/>
          <w:lang w:eastAsia="it-IT"/>
        </w:rPr>
        <w:t xml:space="preserve"> chiedere agli offerenti il differimento </w:t>
      </w:r>
      <w:r w:rsidRPr="004A5029">
        <w:rPr>
          <w:rFonts w:ascii="Times New Roman" w:eastAsia="Arial" w:hAnsi="Times New Roman" w:cs="Times New Roman"/>
          <w:bCs/>
          <w:color w:val="000000" w:themeColor="text1"/>
          <w:lang w:eastAsia="it-IT"/>
        </w:rPr>
        <w:t>del</w:t>
      </w:r>
      <w:r w:rsidRPr="004A5029">
        <w:rPr>
          <w:rFonts w:ascii="Times New Roman" w:eastAsia="Arial" w:hAnsi="Times New Roman" w:cs="Times New Roman"/>
          <w:color w:val="000000" w:themeColor="text1"/>
          <w:lang w:eastAsia="it-IT"/>
        </w:rPr>
        <w:t xml:space="preserve"> termine.</w:t>
      </w:r>
    </w:p>
    <w:p w14:paraId="1F51768A" w14:textId="77777777" w:rsidR="00446F27" w:rsidRPr="004A5029" w:rsidRDefault="00446F27" w:rsidP="00446F27">
      <w:pPr>
        <w:jc w:val="both"/>
        <w:rPr>
          <w:rStyle w:val="normaltextrun"/>
          <w:rFonts w:ascii="Times New Roman" w:hAnsi="Times New Roman" w:cs="Times New Roman"/>
          <w:bCs/>
          <w:color w:val="000000" w:themeColor="text1"/>
          <w:highlight w:val="yellow"/>
        </w:rPr>
      </w:pPr>
      <w:r w:rsidRPr="004A5029">
        <w:rPr>
          <w:rFonts w:ascii="Times New Roman" w:hAnsi="Times New Roman" w:cs="Times New Roman"/>
          <w:bCs/>
          <w:color w:val="000000" w:themeColor="text1"/>
        </w:rPr>
        <w:t>5. L’organo preposto alla valutazione delle offerte predispone la proposta di aggiudicazione alla migliore offerta non anomala. L’organo competente a disporre l’aggiudicazione esamina la proposta, e, se la ritiene legittima e conforme all’interesse pubblico, dopo aver verificato il possesso dei requisiti in capo all’offerente, dispone l’aggiudicazione, che è immediatamente efficace.</w:t>
      </w:r>
    </w:p>
    <w:p w14:paraId="58DE745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6. L’aggiudicazione non equivale ad accettazione dell’offerta. L’offerta dell’aggiudicatario è irrevocabile fino al termine stabilito per la stipulazione del contratto.</w:t>
      </w:r>
    </w:p>
    <w:p w14:paraId="52DE1913"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7. Una volta disposta l’aggiudicazione</w:t>
      </w:r>
      <w:r w:rsidRPr="004A5029">
        <w:rPr>
          <w:rFonts w:ascii="Times New Roman" w:hAnsi="Times New Roman" w:cs="Times New Roman"/>
          <w:bCs/>
          <w:color w:val="000000" w:themeColor="text1"/>
        </w:rPr>
        <w:t xml:space="preserve">, il contratto è stipulato secondo quanto previsto dall’articolo 18. </w:t>
      </w:r>
    </w:p>
    <w:p w14:paraId="368D7E75" w14:textId="3242C93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8. Fermo quanto previsto dal</w:t>
      </w:r>
      <w:r w:rsidR="002E2850" w:rsidRPr="004A5029">
        <w:rPr>
          <w:rFonts w:ascii="Times New Roman" w:hAnsi="Times New Roman" w:cs="Times New Roman"/>
          <w:b/>
          <w:color w:val="000000" w:themeColor="text1"/>
        </w:rPr>
        <w:t>l’articolo 50,</w:t>
      </w:r>
      <w:r w:rsidRPr="004A5029">
        <w:rPr>
          <w:rFonts w:ascii="Times New Roman" w:hAnsi="Times New Roman" w:cs="Times New Roman"/>
          <w:bCs/>
          <w:color w:val="000000" w:themeColor="text1"/>
        </w:rPr>
        <w:t xml:space="preserve"> comma 6</w:t>
      </w:r>
      <w:r w:rsidR="00FB11DD" w:rsidRPr="004A5029">
        <w:rPr>
          <w:rFonts w:ascii="Times New Roman" w:hAnsi="Times New Roman" w:cs="Times New Roman"/>
          <w:b/>
          <w:color w:val="000000" w:themeColor="text1"/>
        </w:rPr>
        <w:t>,</w:t>
      </w:r>
      <w:r w:rsidRPr="004A5029">
        <w:rPr>
          <w:rFonts w:ascii="Times New Roman" w:hAnsi="Times New Roman" w:cs="Times New Roman"/>
          <w:bCs/>
          <w:strike/>
          <w:color w:val="000000" w:themeColor="text1"/>
        </w:rPr>
        <w:t xml:space="preserve"> </w:t>
      </w:r>
      <w:r w:rsidRPr="004A5029">
        <w:rPr>
          <w:rFonts w:ascii="Times New Roman" w:hAnsi="Times New Roman" w:cs="Times New Roman"/>
          <w:b/>
          <w:strike/>
          <w:color w:val="000000" w:themeColor="text1"/>
        </w:rPr>
        <w:t>dell’articolo 50</w:t>
      </w:r>
      <w:r w:rsidRPr="004A5029">
        <w:rPr>
          <w:rFonts w:ascii="Times New Roman" w:hAnsi="Times New Roman" w:cs="Times New Roman"/>
          <w:bCs/>
          <w:color w:val="000000" w:themeColor="text1"/>
        </w:rPr>
        <w:t xml:space="preserve"> l’esecuzione del contratto può essere iniziata, anche prima della stipula, per motivate ragioni. L’esecuzione è sempre iniziata prima della stipula se sussistono le</w:t>
      </w:r>
      <w:r w:rsidRPr="004A5029" w:rsidDel="0025758A">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ragioni d’urgenza di cui al comma 9.</w:t>
      </w:r>
    </w:p>
    <w:p w14:paraId="108DB16E" w14:textId="42809D4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9. L'esecuzione d'urgenza è </w:t>
      </w:r>
      <w:r w:rsidRPr="004A5029">
        <w:rPr>
          <w:rFonts w:ascii="Times New Roman" w:hAnsi="Times New Roman" w:cs="Times New Roman"/>
          <w:bCs/>
          <w:color w:val="000000" w:themeColor="text1"/>
        </w:rPr>
        <w:t>effettuata</w:t>
      </w:r>
      <w:r w:rsidRPr="004A5029">
        <w:rPr>
          <w:rFonts w:ascii="Times New Roman" w:hAnsi="Times New Roman" w:cs="Times New Roman"/>
          <w:color w:val="000000" w:themeColor="text1"/>
        </w:rPr>
        <w:t xml:space="preserve"> quando ricorrono eventi oggettivamente imprevedibili</w:t>
      </w:r>
      <w:r w:rsidR="004268CC"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per evitare situazioni di pericolo per persone, animali, cose, per l'igiene e la salute pubblica, per il patrimonio storico, artistico, culturale</w:t>
      </w:r>
      <w:r w:rsidRPr="0014393C">
        <w:rPr>
          <w:rFonts w:ascii="Times New Roman" w:hAnsi="Times New Roman" w:cs="Times New Roman"/>
          <w:b/>
          <w:bCs/>
          <w:color w:val="000000" w:themeColor="text1"/>
        </w:rPr>
        <w:t xml:space="preserve">, </w:t>
      </w:r>
      <w:r w:rsidR="004268CC" w:rsidRPr="0014393C">
        <w:rPr>
          <w:rFonts w:ascii="Times New Roman" w:hAnsi="Times New Roman" w:cs="Times New Roman"/>
          <w:b/>
          <w:bCs/>
          <w:color w:val="000000" w:themeColor="text1"/>
        </w:rPr>
        <w:t>ovvero</w:t>
      </w:r>
      <w:r w:rsidR="004268CC"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nei casi in cui la mancata esecuzione immediata della prestazione dedotta nella gara</w:t>
      </w:r>
      <w:r w:rsidR="00F33CD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determinerebbe un grave danno all'interesse pubblico che è destinata a soddisfare, ivi compresa la perdita di finanziamenti </w:t>
      </w:r>
      <w:r w:rsidRPr="004A5029">
        <w:rPr>
          <w:rFonts w:ascii="Times New Roman" w:hAnsi="Times New Roman" w:cs="Times New Roman"/>
          <w:bCs/>
          <w:color w:val="000000" w:themeColor="text1"/>
        </w:rPr>
        <w:t>dell’Unione europea</w:t>
      </w:r>
      <w:r w:rsidR="00053EE1" w:rsidRPr="004A5029">
        <w:rPr>
          <w:rFonts w:ascii="Times New Roman" w:hAnsi="Times New Roman" w:cs="Times New Roman"/>
          <w:bCs/>
          <w:color w:val="000000" w:themeColor="text1"/>
        </w:rPr>
        <w:t>.</w:t>
      </w:r>
    </w:p>
    <w:p w14:paraId="77629768" w14:textId="1AFDCD71"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bCs/>
          <w:color w:val="000000" w:themeColor="text1"/>
          <w:shd w:val="clear" w:color="auto" w:fill="FFFFFF"/>
        </w:rPr>
        <w:t>10. La pendenza di un contenzioso non può mai giustificare la sospensione della procedura o dell’aggiudicazione, salvi i poteri cautelari del giudice amministrativo e quelli di autotutela della stazione appaltante</w:t>
      </w:r>
      <w:r w:rsidR="00B31542" w:rsidRPr="004A5029">
        <w:rPr>
          <w:rFonts w:ascii="Times New Roman" w:hAnsi="Times New Roman" w:cs="Times New Roman"/>
          <w:bCs/>
          <w:color w:val="000000" w:themeColor="text1"/>
          <w:shd w:val="clear" w:color="auto" w:fill="FFFFFF"/>
        </w:rPr>
        <w:t xml:space="preserve"> </w:t>
      </w:r>
      <w:r w:rsidR="00B31542" w:rsidRPr="004A5029">
        <w:rPr>
          <w:rFonts w:ascii="Times New Roman" w:hAnsi="Times New Roman" w:cs="Times New Roman"/>
          <w:b/>
          <w:color w:val="000000" w:themeColor="text1"/>
          <w:shd w:val="clear" w:color="auto" w:fill="FFFFFF"/>
        </w:rPr>
        <w:t>o dell’ente concedente</w:t>
      </w:r>
      <w:r w:rsidRPr="004A5029">
        <w:rPr>
          <w:rFonts w:ascii="Times New Roman" w:hAnsi="Times New Roman" w:cs="Times New Roman"/>
          <w:bCs/>
          <w:color w:val="000000" w:themeColor="text1"/>
          <w:shd w:val="clear" w:color="auto" w:fill="FFFFFF"/>
        </w:rPr>
        <w:t>, da esercitarsi da parte del dirigente competente.</w:t>
      </w:r>
    </w:p>
    <w:p w14:paraId="2908EB2C" w14:textId="77777777" w:rsidR="00446F27" w:rsidRPr="004A5029" w:rsidRDefault="00446F27" w:rsidP="00446F27">
      <w:pPr>
        <w:jc w:val="both"/>
        <w:rPr>
          <w:rFonts w:ascii="Times New Roman" w:hAnsi="Times New Roman" w:cs="Times New Roman"/>
          <w:color w:val="000000" w:themeColor="text1"/>
        </w:rPr>
      </w:pPr>
    </w:p>
    <w:p w14:paraId="1561C493" w14:textId="25D1E3DD"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w:t>
      </w:r>
    </w:p>
    <w:p w14:paraId="58F1063C" w14:textId="77777777" w:rsidR="00446F27" w:rsidRPr="004A5029" w:rsidRDefault="00446F27" w:rsidP="00446F27">
      <w:pPr>
        <w:pStyle w:val="testo-leggedj-para-r1"/>
        <w:pBdr>
          <w:top w:val="none" w:sz="0" w:space="0" w:color="auto"/>
          <w:bottom w:val="none" w:sz="0" w:space="0" w:color="auto"/>
        </w:pBdr>
        <w:spacing w:after="160" w:line="259" w:lineRule="auto"/>
        <w:rPr>
          <w:rFonts w:ascii="Times New Roman" w:hAnsi="Times New Roman" w:cs="Times New Roman"/>
          <w:i/>
          <w:color w:val="000000" w:themeColor="text1"/>
          <w:sz w:val="22"/>
          <w:szCs w:val="22"/>
        </w:rPr>
      </w:pPr>
      <w:r w:rsidRPr="004A5029">
        <w:rPr>
          <w:rFonts w:ascii="Times New Roman" w:hAnsi="Times New Roman" w:cs="Times New Roman"/>
          <w:i/>
          <w:color w:val="000000" w:themeColor="text1"/>
          <w:sz w:val="22"/>
          <w:szCs w:val="22"/>
        </w:rPr>
        <w:t>Il contratto e la sua stipulazione.</w:t>
      </w:r>
    </w:p>
    <w:p w14:paraId="25139EF9" w14:textId="2946D365" w:rsidR="00446F27" w:rsidRPr="004A5029" w:rsidRDefault="00446F27" w:rsidP="0030786B">
      <w:pPr>
        <w:jc w:val="both"/>
        <w:rPr>
          <w:rFonts w:ascii="Times New Roman" w:eastAsia="Arial" w:hAnsi="Times New Roman" w:cs="Times New Roman"/>
          <w:color w:val="000000" w:themeColor="text1"/>
          <w:lang w:eastAsia="it-IT"/>
        </w:rPr>
      </w:pPr>
      <w:r w:rsidRPr="004A5029">
        <w:rPr>
          <w:rFonts w:ascii="Times New Roman" w:hAnsi="Times New Roman" w:cs="Times New Roman"/>
          <w:color w:val="000000" w:themeColor="text1"/>
        </w:rPr>
        <w:t xml:space="preserve">1. </w:t>
      </w:r>
      <w:r w:rsidRPr="004A5029">
        <w:rPr>
          <w:rFonts w:ascii="Times New Roman" w:eastAsia="Arial" w:hAnsi="Times New Roman" w:cs="Times New Roman"/>
          <w:color w:val="000000" w:themeColor="text1"/>
          <w:lang w:eastAsia="it-IT"/>
        </w:rPr>
        <w:t xml:space="preserve">Il contratto è stipulato, a pena di nullità, in forma scritta ai sensi dell’allegato I.1, articolo 3, </w:t>
      </w:r>
      <w:r w:rsidR="002E2850" w:rsidRPr="004A5029">
        <w:rPr>
          <w:rFonts w:ascii="Times New Roman" w:eastAsia="Arial" w:hAnsi="Times New Roman" w:cs="Times New Roman"/>
          <w:b/>
          <w:bCs/>
          <w:color w:val="000000" w:themeColor="text1"/>
          <w:lang w:eastAsia="it-IT"/>
        </w:rPr>
        <w:t xml:space="preserve">comma 1, </w:t>
      </w:r>
      <w:r w:rsidRPr="004A5029">
        <w:rPr>
          <w:rFonts w:ascii="Times New Roman" w:eastAsia="Arial" w:hAnsi="Times New Roman" w:cs="Times New Roman"/>
          <w:color w:val="000000" w:themeColor="text1"/>
          <w:lang w:eastAsia="it-IT"/>
        </w:rPr>
        <w:t>lettera b), in modalità elettronica</w:t>
      </w:r>
      <w:r w:rsidR="00065536" w:rsidRPr="004A5029">
        <w:rPr>
          <w:rFonts w:ascii="Times New Roman" w:eastAsia="Arial" w:hAnsi="Times New Roman" w:cs="Times New Roman"/>
          <w:color w:val="000000" w:themeColor="text1"/>
          <w:lang w:eastAsia="it-IT"/>
        </w:rPr>
        <w:t xml:space="preserve"> </w:t>
      </w:r>
      <w:r w:rsidR="00065536" w:rsidRPr="004A5029">
        <w:rPr>
          <w:rFonts w:ascii="Times New Roman" w:eastAsia="Times New Roman" w:hAnsi="Times New Roman" w:cs="Times New Roman"/>
          <w:color w:val="000000" w:themeColor="text1"/>
          <w:lang w:eastAsia="it-IT"/>
        </w:rPr>
        <w:t xml:space="preserve">nel rispetto delle pertinenti disposizioni </w:t>
      </w:r>
      <w:r w:rsidR="00571CDD" w:rsidRPr="004A5029">
        <w:rPr>
          <w:rFonts w:ascii="Times New Roman" w:eastAsia="Times New Roman" w:hAnsi="Times New Roman" w:cs="Times New Roman"/>
          <w:b/>
          <w:bCs/>
          <w:color w:val="000000" w:themeColor="text1"/>
          <w:lang w:eastAsia="it-IT"/>
        </w:rPr>
        <w:t>del c</w:t>
      </w:r>
      <w:r w:rsidR="00571CDD" w:rsidRPr="004A5029">
        <w:rPr>
          <w:rFonts w:ascii="Times New Roman" w:hAnsi="Times New Roman" w:cs="Times New Roman"/>
          <w:b/>
          <w:bCs/>
          <w:color w:val="000000" w:themeColor="text1"/>
          <w:shd w:val="clear" w:color="auto" w:fill="FFFFFF"/>
        </w:rPr>
        <w:t>odice dell'amministrazione digitale</w:t>
      </w:r>
      <w:r w:rsidR="0030786B" w:rsidRPr="004A5029">
        <w:rPr>
          <w:rFonts w:ascii="Times New Roman" w:eastAsia="Calibri" w:hAnsi="Times New Roman" w:cs="Times New Roman"/>
          <w:b/>
          <w:bCs/>
          <w:color w:val="000000" w:themeColor="text1"/>
        </w:rPr>
        <w:t>,</w:t>
      </w:r>
      <w:r w:rsidR="00571CDD" w:rsidRPr="004A5029">
        <w:rPr>
          <w:rFonts w:ascii="Times New Roman" w:eastAsia="Times New Roman" w:hAnsi="Times New Roman" w:cs="Times New Roman"/>
          <w:bCs/>
          <w:color w:val="000000" w:themeColor="text1"/>
          <w:lang w:eastAsia="it-IT"/>
        </w:rPr>
        <w:t xml:space="preserve"> </w:t>
      </w:r>
      <w:r w:rsidR="00065536" w:rsidRPr="004A5029">
        <w:rPr>
          <w:rFonts w:ascii="Times New Roman" w:eastAsia="Times New Roman" w:hAnsi="Times New Roman" w:cs="Times New Roman"/>
          <w:color w:val="000000" w:themeColor="text1"/>
          <w:lang w:eastAsia="it-IT"/>
        </w:rPr>
        <w:t xml:space="preserve">di cui al decreto legislativo </w:t>
      </w:r>
      <w:r w:rsidR="009908D0" w:rsidRPr="004A5029">
        <w:rPr>
          <w:rFonts w:ascii="Times New Roman" w:eastAsia="Times New Roman" w:hAnsi="Times New Roman" w:cs="Times New Roman"/>
          <w:color w:val="000000" w:themeColor="text1"/>
          <w:lang w:eastAsia="it-IT"/>
        </w:rPr>
        <w:t>7 marzo 2005, n. 82</w:t>
      </w:r>
      <w:r w:rsidR="00065536" w:rsidRPr="004A5029">
        <w:rPr>
          <w:rFonts w:ascii="Times New Roman" w:eastAsia="Times New Roman" w:hAnsi="Times New Roman" w:cs="Times New Roman"/>
          <w:color w:val="000000" w:themeColor="text1"/>
          <w:lang w:eastAsia="it-IT"/>
        </w:rPr>
        <w:t>,</w:t>
      </w:r>
      <w:r w:rsidRPr="004A5029">
        <w:rPr>
          <w:rFonts w:ascii="Times New Roman" w:eastAsia="Arial" w:hAnsi="Times New Roman" w:cs="Times New Roman"/>
          <w:color w:val="000000" w:themeColor="text1"/>
          <w:lang w:eastAsia="it-IT"/>
        </w:rPr>
        <w:t xml:space="preserve"> in forma pubblica amministrativa a cura dell’</w:t>
      </w:r>
      <w:r w:rsidR="002E2850" w:rsidRPr="004A5029">
        <w:rPr>
          <w:rFonts w:ascii="Times New Roman" w:eastAsia="Arial" w:hAnsi="Times New Roman" w:cs="Times New Roman"/>
          <w:b/>
          <w:bCs/>
          <w:color w:val="000000" w:themeColor="text1"/>
          <w:lang w:eastAsia="it-IT"/>
        </w:rPr>
        <w:t>u</w:t>
      </w:r>
      <w:r w:rsidRPr="004A5029">
        <w:rPr>
          <w:rFonts w:ascii="Times New Roman" w:eastAsia="Arial" w:hAnsi="Times New Roman" w:cs="Times New Roman"/>
          <w:color w:val="000000" w:themeColor="text1"/>
          <w:lang w:eastAsia="it-IT"/>
        </w:rPr>
        <w:t>fficiale rogante della stazione appaltante</w:t>
      </w:r>
      <w:r w:rsidR="00065536" w:rsidRPr="004A5029">
        <w:rPr>
          <w:rFonts w:ascii="Times New Roman" w:eastAsia="Arial" w:hAnsi="Times New Roman" w:cs="Times New Roman"/>
          <w:color w:val="000000" w:themeColor="text1"/>
          <w:lang w:eastAsia="it-IT"/>
        </w:rPr>
        <w:t>,</w:t>
      </w:r>
      <w:r w:rsidRPr="004A5029">
        <w:rPr>
          <w:rFonts w:ascii="Times New Roman" w:eastAsia="Arial" w:hAnsi="Times New Roman" w:cs="Times New Roman"/>
          <w:color w:val="000000" w:themeColor="text1"/>
          <w:lang w:eastAsia="it-IT"/>
        </w:rPr>
        <w:t xml:space="preserve"> con atto pubblico notarile informatico oppure mediante scrittura privata. In caso di procedura negoziata oppure per gli affidamenti diretti, mediante corrispondenza secondo l'uso commerciale, consistente in un apposito scambio di lettere, anche tramite posta elettronica certificata o </w:t>
      </w:r>
      <w:r w:rsidR="00065536" w:rsidRPr="004A5029">
        <w:rPr>
          <w:rFonts w:ascii="Times New Roman" w:eastAsia="Times New Roman" w:hAnsi="Times New Roman" w:cs="Times New Roman"/>
          <w:color w:val="000000" w:themeColor="text1"/>
          <w:lang w:eastAsia="it-IT"/>
        </w:rPr>
        <w:t>sistemi elettronici di recapito certificato qualificato ai sensi del regolamento UE n. 910/2014 del Parlamento europeo e del Consiglio del 23 luglio</w:t>
      </w:r>
      <w:r w:rsidR="002E2850" w:rsidRPr="004A5029">
        <w:rPr>
          <w:rFonts w:ascii="Times New Roman" w:eastAsia="Times New Roman" w:hAnsi="Times New Roman" w:cs="Times New Roman"/>
          <w:color w:val="000000" w:themeColor="text1"/>
          <w:lang w:eastAsia="it-IT"/>
        </w:rPr>
        <w:t xml:space="preserve"> </w:t>
      </w:r>
      <w:r w:rsidR="002E2850" w:rsidRPr="004A5029">
        <w:rPr>
          <w:rFonts w:ascii="Times New Roman" w:eastAsia="Times New Roman" w:hAnsi="Times New Roman" w:cs="Times New Roman"/>
          <w:b/>
          <w:bCs/>
          <w:color w:val="000000" w:themeColor="text1"/>
          <w:lang w:eastAsia="it-IT"/>
        </w:rPr>
        <w:t>2014</w:t>
      </w:r>
      <w:r w:rsidRPr="004A5029">
        <w:rPr>
          <w:rFonts w:ascii="Times New Roman" w:eastAsia="Arial" w:hAnsi="Times New Roman" w:cs="Times New Roman"/>
          <w:color w:val="000000" w:themeColor="text1"/>
          <w:lang w:eastAsia="it-IT"/>
        </w:rPr>
        <w:t>. I capitolati e il computo metrico estimativo, richiamati nel bando o nell'invito, fanno parte integrante del contratto.</w:t>
      </w:r>
    </w:p>
    <w:p w14:paraId="6E29D1ED" w14:textId="38F7274A"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2. Divenuta efficace l’aggiudicazione ai sensi dell’articolo 17, comma 5 e fatto salvo l’esercizio dei poteri di autotutela, la stipula del contratto ha luogo entro i successivi </w:t>
      </w:r>
      <w:r w:rsidRPr="004A5029">
        <w:rPr>
          <w:rFonts w:ascii="Times New Roman" w:hAnsi="Times New Roman" w:cs="Times New Roman"/>
          <w:b/>
          <w:strike/>
          <w:color w:val="000000" w:themeColor="text1"/>
          <w:sz w:val="22"/>
          <w:szCs w:val="22"/>
        </w:rPr>
        <w:t>60</w:t>
      </w:r>
      <w:r w:rsidRPr="004A5029">
        <w:rPr>
          <w:rFonts w:ascii="Times New Roman" w:hAnsi="Times New Roman" w:cs="Times New Roman"/>
          <w:bCs/>
          <w:color w:val="000000" w:themeColor="text1"/>
          <w:sz w:val="22"/>
          <w:szCs w:val="22"/>
        </w:rPr>
        <w:t xml:space="preserve"> </w:t>
      </w:r>
      <w:r w:rsidR="00407103" w:rsidRPr="004A5029">
        <w:rPr>
          <w:rFonts w:ascii="Times New Roman" w:hAnsi="Times New Roman" w:cs="Times New Roman"/>
          <w:b/>
          <w:color w:val="000000" w:themeColor="text1"/>
          <w:sz w:val="22"/>
          <w:szCs w:val="22"/>
        </w:rPr>
        <w:t xml:space="preserve">sessanta </w:t>
      </w:r>
      <w:r w:rsidRPr="004A5029">
        <w:rPr>
          <w:rFonts w:ascii="Times New Roman" w:hAnsi="Times New Roman" w:cs="Times New Roman"/>
          <w:bCs/>
          <w:color w:val="000000" w:themeColor="text1"/>
          <w:sz w:val="22"/>
          <w:szCs w:val="22"/>
        </w:rPr>
        <w:t>giorni anche in pendenza di contenzioso. È fatta eccezione:</w:t>
      </w:r>
    </w:p>
    <w:p w14:paraId="52397287" w14:textId="77777777"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a) per le ipotesi previste dal comma 4 del presente articolo e dall’articolo 55, comma 2; </w:t>
      </w:r>
    </w:p>
    <w:p w14:paraId="1EA95D4D" w14:textId="77777777" w:rsidR="00446F27" w:rsidRPr="004A5029" w:rsidRDefault="00446F27" w:rsidP="00446F27">
      <w:pPr>
        <w:pStyle w:val="testo-leggedj-para-r1"/>
        <w:spacing w:after="160" w:line="259" w:lineRule="auto"/>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 xml:space="preserve">b) nel caso di un diverso termine previsto nel bando o nell’invito a offrire; </w:t>
      </w:r>
    </w:p>
    <w:p w14:paraId="4067E022" w14:textId="77777777" w:rsidR="00446F27" w:rsidRPr="004A5029" w:rsidRDefault="00446F27" w:rsidP="00446F27">
      <w:pPr>
        <w:pStyle w:val="testo-leggedj-para-r1"/>
        <w:spacing w:after="160" w:line="259" w:lineRule="auto"/>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c) nell’ipotesi di differimento concordato con l’aggiudicatario e motivato in base all’interesse della stazione appaltante o dell’ente concedente, compatibilmente con quello generale alla sollecita esecuzione del contratto.</w:t>
      </w:r>
    </w:p>
    <w:p w14:paraId="5ACD5C15" w14:textId="60A1D60D"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3. Il contratto non può essere stipulato prima di </w:t>
      </w:r>
      <w:r w:rsidRPr="004A5029">
        <w:rPr>
          <w:rFonts w:ascii="Times New Roman" w:hAnsi="Times New Roman" w:cs="Times New Roman"/>
          <w:b/>
          <w:strike/>
          <w:color w:val="000000" w:themeColor="text1"/>
          <w:sz w:val="22"/>
          <w:szCs w:val="22"/>
        </w:rPr>
        <w:t>35</w:t>
      </w:r>
      <w:r w:rsidRPr="004A5029">
        <w:rPr>
          <w:rFonts w:ascii="Times New Roman" w:hAnsi="Times New Roman" w:cs="Times New Roman"/>
          <w:bCs/>
          <w:color w:val="000000" w:themeColor="text1"/>
          <w:sz w:val="22"/>
          <w:szCs w:val="22"/>
        </w:rPr>
        <w:t xml:space="preserve"> </w:t>
      </w:r>
      <w:r w:rsidR="00407103" w:rsidRPr="004A5029">
        <w:rPr>
          <w:rFonts w:ascii="Times New Roman" w:hAnsi="Times New Roman" w:cs="Times New Roman"/>
          <w:b/>
          <w:color w:val="000000" w:themeColor="text1"/>
          <w:sz w:val="22"/>
          <w:szCs w:val="22"/>
        </w:rPr>
        <w:t xml:space="preserve">trentacinque </w:t>
      </w:r>
      <w:r w:rsidRPr="004A5029">
        <w:rPr>
          <w:rFonts w:ascii="Times New Roman" w:hAnsi="Times New Roman" w:cs="Times New Roman"/>
          <w:bCs/>
          <w:color w:val="000000" w:themeColor="text1"/>
          <w:sz w:val="22"/>
          <w:szCs w:val="22"/>
        </w:rPr>
        <w:t>giorni dall’invio dell’ultima delle comunicazioni del provvedimento di aggiudicazione. Tale termine dilatorio non si applica nei casi:</w:t>
      </w:r>
    </w:p>
    <w:p w14:paraId="3DAA24E2" w14:textId="77777777"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a) di procedura in cui è stata presentata o ammessa una sola offerta e non sono state tempestivamente proposte impugnazioni del bando o della lettera di invito, o le impugnazioni sono già state respinte con decisione definitiva;</w:t>
      </w:r>
    </w:p>
    <w:p w14:paraId="57C40392" w14:textId="77777777"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b) di appalti basati su un accordo quadro; </w:t>
      </w:r>
    </w:p>
    <w:p w14:paraId="7FC1435C" w14:textId="77777777" w:rsidR="00446F27" w:rsidRPr="004A5029" w:rsidRDefault="00446F27" w:rsidP="00446F27">
      <w:pPr>
        <w:pStyle w:val="testo-leggedj-para-r1"/>
        <w:spacing w:after="160" w:line="259" w:lineRule="auto"/>
        <w:rPr>
          <w:rFonts w:ascii="Times New Roman" w:hAnsi="Times New Roman" w:cs="Times New Roman"/>
          <w:color w:val="000000" w:themeColor="text1"/>
          <w:sz w:val="22"/>
          <w:szCs w:val="22"/>
        </w:rPr>
      </w:pPr>
      <w:r w:rsidRPr="004A5029">
        <w:rPr>
          <w:rFonts w:ascii="Times New Roman" w:hAnsi="Times New Roman" w:cs="Times New Roman"/>
          <w:bCs/>
          <w:color w:val="000000" w:themeColor="text1"/>
          <w:sz w:val="22"/>
          <w:szCs w:val="22"/>
        </w:rPr>
        <w:t>c) di appalti specifici basati su un sistema dinamico di acquisizione;</w:t>
      </w:r>
    </w:p>
    <w:p w14:paraId="25BC4E2C" w14:textId="77777777"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d) di contratti di importo inferiore alle soglie europee, ai sensi dell’articolo 55, comma 2.</w:t>
      </w:r>
    </w:p>
    <w:p w14:paraId="146C874D" w14:textId="5D340E0B" w:rsidR="00446F27" w:rsidRPr="004A5029" w:rsidRDefault="00446F27" w:rsidP="00446F27">
      <w:pPr>
        <w:pBdr>
          <w:top w:val="none" w:sz="0" w:space="1" w:color="auto"/>
          <w:bottom w:val="none" w:sz="0" w:space="1" w:color="auto"/>
        </w:pBdr>
        <w:jc w:val="both"/>
        <w:rPr>
          <w:rFonts w:ascii="Times New Roman" w:hAnsi="Times New Roman" w:cs="Times New Roman"/>
          <w:bCs/>
          <w:color w:val="000000" w:themeColor="text1"/>
        </w:rPr>
      </w:pPr>
      <w:r w:rsidRPr="004A5029">
        <w:rPr>
          <w:rFonts w:ascii="Times New Roman" w:eastAsia="Arial" w:hAnsi="Times New Roman" w:cs="Times New Roman"/>
          <w:bCs/>
          <w:color w:val="000000" w:themeColor="text1"/>
          <w:lang w:eastAsia="it-IT"/>
        </w:rPr>
        <w:t xml:space="preserve">4. Se è proposto ricorso avverso l’aggiudicazione con contestuale domanda cautelare, il contratto non può essere stipulato dal momento della notificazione dell’istanza cautelare alla stazione appaltante o all’ente concedente fino alla pubblicazione del provvedimento cautelare di primo grado o del dispositivo o della sentenza di primo grado, in caso di decisione del merito all’udienza cautelare. L’effetto sospensivo cessa quando, in sede di esame della domanda cautelare, il giudice si dichiara incompetente ai sensi dell’articolo 15, comma 4, del </w:t>
      </w:r>
      <w:r w:rsidR="00556B29" w:rsidRPr="004A5029">
        <w:rPr>
          <w:rFonts w:ascii="Times New Roman" w:eastAsia="Arial" w:hAnsi="Times New Roman" w:cs="Times New Roman"/>
          <w:bCs/>
          <w:color w:val="000000" w:themeColor="text1"/>
          <w:lang w:eastAsia="it-IT"/>
        </w:rPr>
        <w:t>codice del processo amministrativo, di cui</w:t>
      </w:r>
      <w:r w:rsidR="00BD4B50" w:rsidRPr="004A5029">
        <w:rPr>
          <w:rFonts w:ascii="Times New Roman" w:eastAsia="Arial" w:hAnsi="Times New Roman" w:cs="Times New Roman"/>
          <w:bCs/>
          <w:color w:val="000000" w:themeColor="text1"/>
          <w:lang w:eastAsia="it-IT"/>
        </w:rPr>
        <w:t xml:space="preserve"> </w:t>
      </w:r>
      <w:r w:rsidR="00BD4B50" w:rsidRPr="004A5029">
        <w:rPr>
          <w:rFonts w:ascii="Times New Roman" w:eastAsia="Arial" w:hAnsi="Times New Roman" w:cs="Times New Roman"/>
          <w:b/>
          <w:color w:val="000000" w:themeColor="text1"/>
          <w:lang w:eastAsia="it-IT"/>
        </w:rPr>
        <w:t>all’allegato I</w:t>
      </w:r>
      <w:r w:rsidR="00556B29" w:rsidRPr="004A5029">
        <w:rPr>
          <w:rFonts w:ascii="Times New Roman" w:eastAsia="Arial" w:hAnsi="Times New Roman" w:cs="Times New Roman"/>
          <w:bCs/>
          <w:color w:val="000000" w:themeColor="text1"/>
          <w:lang w:eastAsia="it-IT"/>
        </w:rPr>
        <w:t xml:space="preserve"> al </w:t>
      </w:r>
      <w:r w:rsidRPr="004A5029">
        <w:rPr>
          <w:rFonts w:ascii="Times New Roman" w:eastAsia="Arial" w:hAnsi="Times New Roman" w:cs="Times New Roman"/>
          <w:bCs/>
          <w:color w:val="000000" w:themeColor="text1"/>
          <w:lang w:eastAsia="it-IT"/>
        </w:rPr>
        <w:t xml:space="preserve">decreto legislativo 2 luglio 2010, n. 104, o fissa con ordinanza la data di discussione del merito senza pronunciarsi sulle misure cautelari con il consenso delle parti, valevole quale implicita rinuncia all’immediato esame della domanda cautelare. </w:t>
      </w:r>
    </w:p>
    <w:p w14:paraId="512287EA" w14:textId="77777777" w:rsidR="00446F27" w:rsidRPr="004A5029" w:rsidRDefault="00446F27" w:rsidP="00446F27">
      <w:pPr>
        <w:pStyle w:val="testo-leggedj-para-r1"/>
        <w:spacing w:after="160" w:line="259" w:lineRule="auto"/>
        <w:rPr>
          <w:rFonts w:ascii="Times New Roman" w:hAnsi="Times New Roman" w:cs="Times New Roman"/>
          <w:color w:val="000000" w:themeColor="text1"/>
          <w:sz w:val="22"/>
          <w:szCs w:val="22"/>
        </w:rPr>
      </w:pPr>
      <w:r w:rsidRPr="004A5029">
        <w:rPr>
          <w:rFonts w:ascii="Times New Roman" w:hAnsi="Times New Roman" w:cs="Times New Roman"/>
          <w:bCs/>
          <w:color w:val="000000" w:themeColor="text1"/>
          <w:sz w:val="22"/>
          <w:szCs w:val="22"/>
        </w:rPr>
        <w:t>5. Se la stipula del contratto non avviene nel termine per fatto della stazione appaltante o dell’ente concedente, l’aggiudicatario può farne constatare il silenzio inadempimento o, in alternativa, può sciogliersi da ogni vincolo mediante atto notificato. All’aggiudicatario non spetta alcun indennizzo, salvo il rimborso delle spese contrattuali.</w:t>
      </w:r>
    </w:p>
    <w:p w14:paraId="0F3E32AA" w14:textId="02B2C9A3"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6. La mancata stipula del contratto nel termine fissato per fatto dell’aggiudicatario può costituire motivo di revoca dell’aggiudicazione.</w:t>
      </w:r>
    </w:p>
    <w:p w14:paraId="7ED80F8C" w14:textId="4342BD58" w:rsidR="00446F27" w:rsidRPr="004A5029" w:rsidRDefault="00446F27" w:rsidP="00446F27">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7. La mancata o tardiva stipula del contratto al di fuori delle ipotesi di cui ai </w:t>
      </w:r>
      <w:r w:rsidRPr="004A5029">
        <w:rPr>
          <w:rFonts w:ascii="Times New Roman" w:hAnsi="Times New Roman" w:cs="Times New Roman"/>
          <w:b/>
          <w:strike/>
          <w:color w:val="000000" w:themeColor="text1"/>
          <w:sz w:val="22"/>
          <w:szCs w:val="22"/>
        </w:rPr>
        <w:t>precedenti</w:t>
      </w:r>
      <w:r w:rsidRPr="004A5029">
        <w:rPr>
          <w:rFonts w:ascii="Times New Roman" w:hAnsi="Times New Roman" w:cs="Times New Roman"/>
          <w:bCs/>
          <w:color w:val="000000" w:themeColor="text1"/>
          <w:sz w:val="22"/>
          <w:szCs w:val="22"/>
        </w:rPr>
        <w:t xml:space="preserve"> commi </w:t>
      </w:r>
      <w:r w:rsidR="008A2109" w:rsidRPr="004A5029">
        <w:rPr>
          <w:rFonts w:ascii="Times New Roman" w:hAnsi="Times New Roman" w:cs="Times New Roman"/>
          <w:b/>
          <w:color w:val="000000" w:themeColor="text1"/>
          <w:sz w:val="22"/>
          <w:szCs w:val="22"/>
        </w:rPr>
        <w:t xml:space="preserve">5 e 6 </w:t>
      </w:r>
      <w:r w:rsidRPr="004A5029">
        <w:rPr>
          <w:rFonts w:ascii="Times New Roman" w:hAnsi="Times New Roman" w:cs="Times New Roman"/>
          <w:bCs/>
          <w:color w:val="000000" w:themeColor="text1"/>
          <w:sz w:val="22"/>
          <w:szCs w:val="22"/>
        </w:rPr>
        <w:t>costituisce violazione del dovere di buona fede, anche in pendenza di contenzioso.</w:t>
      </w:r>
    </w:p>
    <w:p w14:paraId="5174EA05" w14:textId="61720DB9" w:rsidR="00446F27" w:rsidRPr="004A5029" w:rsidRDefault="00446F27" w:rsidP="00446F27">
      <w:pPr>
        <w:pStyle w:val="testo-leggedj-para-r1"/>
        <w:spacing w:after="160" w:line="259" w:lineRule="auto"/>
        <w:rPr>
          <w:rFonts w:ascii="Times New Roman" w:hAnsi="Times New Roman" w:cs="Times New Roman"/>
          <w:strike/>
          <w:color w:val="000000" w:themeColor="text1"/>
          <w:sz w:val="22"/>
          <w:szCs w:val="22"/>
        </w:rPr>
      </w:pPr>
      <w:r w:rsidRPr="004A5029">
        <w:rPr>
          <w:rFonts w:ascii="Times New Roman" w:hAnsi="Times New Roman" w:cs="Times New Roman"/>
          <w:color w:val="000000" w:themeColor="text1"/>
          <w:sz w:val="22"/>
          <w:szCs w:val="22"/>
        </w:rPr>
        <w:t xml:space="preserve">8. Il contratto è sottoposto alla condizione risolutiva dell’esito negativo della sua approvazione, laddove prevista, da effettuarsi entro </w:t>
      </w:r>
      <w:r w:rsidRPr="004A5029">
        <w:rPr>
          <w:rFonts w:ascii="Times New Roman" w:hAnsi="Times New Roman" w:cs="Times New Roman"/>
          <w:b/>
          <w:bCs/>
          <w:strike/>
          <w:color w:val="000000" w:themeColor="text1"/>
          <w:sz w:val="22"/>
          <w:szCs w:val="22"/>
        </w:rPr>
        <w:t>30</w:t>
      </w:r>
      <w:r w:rsidRPr="004A5029">
        <w:rPr>
          <w:rFonts w:ascii="Times New Roman" w:hAnsi="Times New Roman" w:cs="Times New Roman"/>
          <w:color w:val="000000" w:themeColor="text1"/>
          <w:sz w:val="22"/>
          <w:szCs w:val="22"/>
        </w:rPr>
        <w:t xml:space="preserve"> </w:t>
      </w:r>
      <w:r w:rsidR="00407103" w:rsidRPr="004A5029">
        <w:rPr>
          <w:rFonts w:ascii="Times New Roman" w:hAnsi="Times New Roman" w:cs="Times New Roman"/>
          <w:b/>
          <w:bCs/>
          <w:color w:val="000000" w:themeColor="text1"/>
          <w:sz w:val="22"/>
          <w:szCs w:val="22"/>
        </w:rPr>
        <w:t xml:space="preserve">trenta </w:t>
      </w:r>
      <w:r w:rsidRPr="004A5029">
        <w:rPr>
          <w:rFonts w:ascii="Times New Roman" w:hAnsi="Times New Roman" w:cs="Times New Roman"/>
          <w:color w:val="000000" w:themeColor="text1"/>
          <w:sz w:val="22"/>
          <w:szCs w:val="22"/>
        </w:rPr>
        <w:t>giorni dalla stipula. Decorso tale termine, il contratto si intende approvato.</w:t>
      </w:r>
    </w:p>
    <w:p w14:paraId="004B8CA0" w14:textId="77777777" w:rsidR="00446F27" w:rsidRPr="004A5029" w:rsidRDefault="00446F27" w:rsidP="00446F27">
      <w:pPr>
        <w:pStyle w:val="testo-leggedj-para-r1"/>
        <w:spacing w:after="160" w:line="259" w:lineRule="auto"/>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9. Le stazioni appaltanti e gli enti concedenti hanno facoltà di stipulare contratti di assicurazione per la responsabilità civile derivante dalla conclusione del contratto e dalla prosecuzione o sospensione della sua esecuzione.</w:t>
      </w:r>
    </w:p>
    <w:p w14:paraId="121FD38A" w14:textId="38BCDBC3" w:rsidR="00446F27" w:rsidRPr="004A5029" w:rsidRDefault="00446F27" w:rsidP="00B12F8C">
      <w:pPr>
        <w:pStyle w:val="testo-leggedj-para-r1"/>
        <w:spacing w:after="160" w:line="259" w:lineRule="auto"/>
        <w:rPr>
          <w:rFonts w:ascii="Times New Roman" w:hAnsi="Times New Roman" w:cs="Times New Roman"/>
          <w:bCs/>
          <w:color w:val="000000" w:themeColor="text1"/>
          <w:sz w:val="22"/>
          <w:szCs w:val="22"/>
        </w:rPr>
      </w:pPr>
      <w:r w:rsidRPr="004A5029">
        <w:rPr>
          <w:rFonts w:ascii="Times New Roman" w:hAnsi="Times New Roman" w:cs="Times New Roman"/>
          <w:bCs/>
          <w:color w:val="000000" w:themeColor="text1"/>
          <w:sz w:val="22"/>
          <w:szCs w:val="22"/>
        </w:rPr>
        <w:t xml:space="preserve">10. Con la tabella di cui all’allegato I.4 al codice è individuato il valore dell’imposta di bollo che l’appaltatore assolve </w:t>
      </w:r>
      <w:r w:rsidRPr="004A5029">
        <w:rPr>
          <w:rFonts w:ascii="Times New Roman" w:hAnsi="Times New Roman" w:cs="Times New Roman"/>
          <w:bCs/>
          <w:i/>
          <w:iCs/>
          <w:color w:val="000000" w:themeColor="text1"/>
          <w:sz w:val="22"/>
          <w:szCs w:val="22"/>
        </w:rPr>
        <w:t>una tantum</w:t>
      </w:r>
      <w:r w:rsidRPr="004A5029">
        <w:rPr>
          <w:rFonts w:ascii="Times New Roman" w:hAnsi="Times New Roman" w:cs="Times New Roman"/>
          <w:bCs/>
          <w:color w:val="000000" w:themeColor="text1"/>
          <w:sz w:val="22"/>
          <w:szCs w:val="22"/>
        </w:rPr>
        <w:t xml:space="preserve"> al momento della stipula del contratto e in proporzione al valore dello stesso. Con la medesima tabella </w:t>
      </w:r>
      <w:r w:rsidR="00E07A23" w:rsidRPr="004A5029">
        <w:rPr>
          <w:rFonts w:ascii="Times New Roman" w:hAnsi="Times New Roman" w:cs="Times New Roman"/>
          <w:bCs/>
          <w:color w:val="000000" w:themeColor="text1"/>
          <w:sz w:val="22"/>
          <w:szCs w:val="22"/>
        </w:rPr>
        <w:t>sono</w:t>
      </w:r>
      <w:r w:rsidRPr="004A5029">
        <w:rPr>
          <w:rFonts w:ascii="Times New Roman" w:hAnsi="Times New Roman" w:cs="Times New Roman"/>
          <w:bCs/>
          <w:color w:val="000000" w:themeColor="text1"/>
          <w:sz w:val="22"/>
          <w:szCs w:val="22"/>
        </w:rPr>
        <w:t xml:space="preserve"> sostituite le modalità di calcolo e versamento dell’imposta di bollo di cui al decreto del Presidente della Repubblica 26 ottobre 1972, n. 642</w:t>
      </w:r>
      <w:r w:rsidR="009908D0" w:rsidRPr="004A5029">
        <w:rPr>
          <w:rFonts w:ascii="Times New Roman" w:hAnsi="Times New Roman" w:cs="Times New Roman"/>
          <w:b/>
          <w:color w:val="000000" w:themeColor="text1"/>
          <w:sz w:val="22"/>
          <w:szCs w:val="22"/>
        </w:rPr>
        <w:t>,</w:t>
      </w:r>
      <w:r w:rsidRPr="004A5029">
        <w:rPr>
          <w:rFonts w:ascii="Times New Roman" w:hAnsi="Times New Roman" w:cs="Times New Roman"/>
          <w:b/>
          <w:color w:val="000000" w:themeColor="text1"/>
          <w:sz w:val="22"/>
          <w:szCs w:val="22"/>
        </w:rPr>
        <w:t xml:space="preserve"> </w:t>
      </w:r>
      <w:r w:rsidRPr="004A5029">
        <w:rPr>
          <w:rFonts w:ascii="Times New Roman" w:hAnsi="Times New Roman" w:cs="Times New Roman"/>
          <w:bCs/>
          <w:color w:val="000000" w:themeColor="text1"/>
          <w:sz w:val="22"/>
          <w:szCs w:val="22"/>
        </w:rPr>
        <w:t xml:space="preserve">in materia di contratti pubblici disciplinati dal codice. </w:t>
      </w:r>
      <w:r w:rsidR="00F6070C" w:rsidRPr="004A5029">
        <w:rPr>
          <w:rFonts w:ascii="Times New Roman" w:eastAsia="Times New Roman" w:hAnsi="Times New Roman" w:cs="Times New Roman"/>
          <w:bCs/>
          <w:color w:val="000000" w:themeColor="text1"/>
          <w:sz w:val="22"/>
          <w:szCs w:val="22"/>
        </w:rPr>
        <w:t>In sede di prima applicazione del codice, l’allegato I.4 è abrogat</w:t>
      </w:r>
      <w:r w:rsidR="00E90469" w:rsidRPr="004A5029">
        <w:rPr>
          <w:rFonts w:ascii="Times New Roman" w:eastAsia="Times New Roman" w:hAnsi="Times New Roman" w:cs="Times New Roman"/>
          <w:bCs/>
          <w:color w:val="000000" w:themeColor="text1"/>
          <w:sz w:val="22"/>
          <w:szCs w:val="22"/>
        </w:rPr>
        <w:t>o</w:t>
      </w:r>
      <w:r w:rsidR="00F6070C" w:rsidRPr="004A5029">
        <w:rPr>
          <w:rFonts w:ascii="Times New Roman" w:eastAsia="Times New Roman" w:hAnsi="Times New Roman" w:cs="Times New Roman"/>
          <w:bCs/>
          <w:color w:val="000000" w:themeColor="text1"/>
          <w:sz w:val="22"/>
          <w:szCs w:val="22"/>
        </w:rPr>
        <w:t xml:space="preserve"> a decorrere dalla data di entrata in vigore di un corrispondente decreto del </w:t>
      </w:r>
      <w:r w:rsidR="00F6070C" w:rsidRPr="004A5029">
        <w:rPr>
          <w:rFonts w:ascii="Times New Roman" w:hAnsi="Times New Roman" w:cs="Times New Roman"/>
          <w:bCs/>
          <w:color w:val="000000" w:themeColor="text1"/>
          <w:sz w:val="22"/>
          <w:szCs w:val="22"/>
        </w:rPr>
        <w:t>Ministro dell’economia e delle finanze</w:t>
      </w:r>
      <w:r w:rsidR="00F6070C" w:rsidRPr="004A5029">
        <w:rPr>
          <w:rFonts w:ascii="Times New Roman" w:eastAsia="Times New Roman" w:hAnsi="Times New Roman" w:cs="Times New Roman"/>
          <w:bCs/>
          <w:color w:val="000000" w:themeColor="text1"/>
          <w:sz w:val="22"/>
          <w:szCs w:val="22"/>
        </w:rPr>
        <w:t>, che l</w:t>
      </w:r>
      <w:r w:rsidR="00E90469" w:rsidRPr="004A5029">
        <w:rPr>
          <w:rFonts w:ascii="Times New Roman" w:eastAsia="Times New Roman" w:hAnsi="Times New Roman" w:cs="Times New Roman"/>
          <w:bCs/>
          <w:color w:val="000000" w:themeColor="text1"/>
          <w:sz w:val="22"/>
          <w:szCs w:val="22"/>
        </w:rPr>
        <w:t>o</w:t>
      </w:r>
      <w:r w:rsidR="00F6070C" w:rsidRPr="004A5029">
        <w:rPr>
          <w:rFonts w:ascii="Times New Roman" w:eastAsia="Times New Roman" w:hAnsi="Times New Roman" w:cs="Times New Roman"/>
          <w:bCs/>
          <w:color w:val="000000" w:themeColor="text1"/>
          <w:sz w:val="22"/>
          <w:szCs w:val="22"/>
        </w:rPr>
        <w:t xml:space="preserve"> sostituisce integralmente anche in qualità di allegato al codice</w:t>
      </w:r>
      <w:r w:rsidR="00B12F8C" w:rsidRPr="004A5029">
        <w:rPr>
          <w:rFonts w:ascii="Times New Roman" w:eastAsia="Times New Roman" w:hAnsi="Times New Roman" w:cs="Times New Roman"/>
          <w:bCs/>
          <w:color w:val="000000" w:themeColor="text1"/>
          <w:sz w:val="22"/>
          <w:szCs w:val="22"/>
        </w:rPr>
        <w:t>.</w:t>
      </w:r>
    </w:p>
    <w:p w14:paraId="1FE2DD9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br w:type="page"/>
      </w:r>
    </w:p>
    <w:p w14:paraId="161B509F"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6422F3F5"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DELLA DIGITALIZZAZIONE DEL CICLO DI VITA DEI CONTRATTI</w:t>
      </w:r>
    </w:p>
    <w:p w14:paraId="27357532" w14:textId="77777777" w:rsidR="00446F27" w:rsidRPr="004A5029" w:rsidRDefault="00446F27" w:rsidP="00446F27">
      <w:pPr>
        <w:rPr>
          <w:rFonts w:ascii="Times New Roman" w:hAnsi="Times New Roman" w:cs="Times New Roman"/>
          <w:color w:val="000000" w:themeColor="text1"/>
        </w:rPr>
      </w:pPr>
    </w:p>
    <w:p w14:paraId="725F12C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19.</w:t>
      </w:r>
    </w:p>
    <w:p w14:paraId="5A7A9326" w14:textId="77777777" w:rsidR="00446F27" w:rsidRPr="004A5029" w:rsidRDefault="00446F27" w:rsidP="00446F27">
      <w:pPr>
        <w:rPr>
          <w:rFonts w:ascii="Times New Roman" w:hAnsi="Times New Roman" w:cs="Times New Roman"/>
          <w:color w:val="000000" w:themeColor="text1"/>
        </w:rPr>
      </w:pPr>
      <w:r w:rsidRPr="004A5029">
        <w:rPr>
          <w:rFonts w:ascii="Times New Roman" w:hAnsi="Times New Roman" w:cs="Times New Roman"/>
          <w:i/>
          <w:color w:val="000000" w:themeColor="text1"/>
        </w:rPr>
        <w:t>Principi e diritti digitali.</w:t>
      </w:r>
    </w:p>
    <w:p w14:paraId="7F88870E" w14:textId="1D28A1A9"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1. </w:t>
      </w:r>
      <w:r w:rsidR="00065536" w:rsidRPr="004A5029">
        <w:rPr>
          <w:rFonts w:ascii="Times New Roman" w:hAnsi="Times New Roman" w:cs="Times New Roman"/>
          <w:color w:val="000000" w:themeColor="text1"/>
        </w:rPr>
        <w:t xml:space="preserve">Le </w:t>
      </w:r>
      <w:r w:rsidRPr="004A5029">
        <w:rPr>
          <w:rFonts w:ascii="Times New Roman" w:hAnsi="Times New Roman" w:cs="Times New Roman"/>
          <w:color w:val="000000" w:themeColor="text1"/>
        </w:rPr>
        <w:t xml:space="preserve">stazioni appaltanti e gli enti concedenti </w:t>
      </w:r>
      <w:r w:rsidR="00065536" w:rsidRPr="004A5029">
        <w:rPr>
          <w:rFonts w:ascii="Times New Roman" w:eastAsia="Times New Roman" w:hAnsi="Times New Roman" w:cs="Times New Roman"/>
          <w:color w:val="000000" w:themeColor="text1"/>
          <w:lang w:eastAsia="it-IT"/>
        </w:rPr>
        <w:t xml:space="preserve">assicurano la digitalizzazione del ciclo di vita dei contratti nel rispetto dei principi e delle disposizioni </w:t>
      </w:r>
      <w:r w:rsidR="00571CDD" w:rsidRPr="004A5029">
        <w:rPr>
          <w:rFonts w:ascii="Times New Roman" w:eastAsia="Times New Roman" w:hAnsi="Times New Roman" w:cs="Times New Roman"/>
          <w:b/>
          <w:bCs/>
          <w:color w:val="000000" w:themeColor="text1"/>
          <w:lang w:eastAsia="it-IT"/>
        </w:rPr>
        <w:t>del c</w:t>
      </w:r>
      <w:r w:rsidR="00571CDD" w:rsidRPr="004A5029">
        <w:rPr>
          <w:rFonts w:ascii="Times New Roman" w:hAnsi="Times New Roman" w:cs="Times New Roman"/>
          <w:b/>
          <w:bCs/>
          <w:color w:val="000000" w:themeColor="text1"/>
          <w:shd w:val="clear" w:color="auto" w:fill="FFFFFF"/>
        </w:rPr>
        <w:t>odice dell'amministrazione digitale</w:t>
      </w:r>
      <w:r w:rsidR="0030786B" w:rsidRPr="004A5029">
        <w:rPr>
          <w:rFonts w:ascii="Times New Roman" w:eastAsia="Calibri" w:hAnsi="Times New Roman" w:cs="Times New Roman"/>
          <w:b/>
          <w:bCs/>
          <w:color w:val="000000" w:themeColor="text1"/>
        </w:rPr>
        <w:t>,</w:t>
      </w:r>
      <w:r w:rsidR="00571CDD" w:rsidRPr="004A5029">
        <w:rPr>
          <w:rFonts w:ascii="Times New Roman" w:eastAsia="Times New Roman" w:hAnsi="Times New Roman" w:cs="Times New Roman"/>
          <w:bCs/>
          <w:color w:val="000000" w:themeColor="text1"/>
          <w:lang w:eastAsia="it-IT"/>
        </w:rPr>
        <w:t xml:space="preserve"> </w:t>
      </w:r>
      <w:r w:rsidR="00065536" w:rsidRPr="004A5029">
        <w:rPr>
          <w:rFonts w:ascii="Times New Roman" w:eastAsia="Times New Roman" w:hAnsi="Times New Roman" w:cs="Times New Roman"/>
          <w:color w:val="000000" w:themeColor="text1"/>
          <w:lang w:eastAsia="it-IT"/>
        </w:rPr>
        <w:t xml:space="preserve">di cui al decreto legislativo 7 marzo 2005, n. 82, </w:t>
      </w:r>
      <w:r w:rsidRPr="004A5029">
        <w:rPr>
          <w:rFonts w:ascii="Times New Roman" w:hAnsi="Times New Roman" w:cs="Times New Roman"/>
          <w:color w:val="000000" w:themeColor="text1"/>
        </w:rPr>
        <w:t>garantiscono l’esercizio dei diritti di cittadinanza digitale</w:t>
      </w:r>
      <w:r w:rsidRPr="004A5029">
        <w:rPr>
          <w:rFonts w:ascii="Times New Roman" w:hAnsi="Times New Roman" w:cs="Times New Roman"/>
          <w:bCs/>
          <w:color w:val="000000" w:themeColor="text1"/>
        </w:rPr>
        <w:t xml:space="preserve"> e operano secondo i principi di neutralità tecnologica, di trasparenza, nonché di protezione dei dati personali e di sicurezza informatica.</w:t>
      </w:r>
    </w:p>
    <w:p w14:paraId="572FFD12" w14:textId="0858CE86"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In attuazione del principio dell’unicità dell’invio,</w:t>
      </w:r>
      <w:r w:rsidR="004C4996" w:rsidRPr="004A5029">
        <w:rPr>
          <w:rFonts w:ascii="Times New Roman" w:hAnsi="Times New Roman" w:cs="Times New Roman"/>
          <w:color w:val="000000" w:themeColor="text1"/>
        </w:rPr>
        <w:t xml:space="preserve"> </w:t>
      </w:r>
      <w:r w:rsidR="004C4996" w:rsidRPr="004A5029">
        <w:rPr>
          <w:rFonts w:ascii="Times New Roman" w:hAnsi="Times New Roman" w:cs="Times New Roman"/>
          <w:bCs/>
          <w:color w:val="000000" w:themeColor="text1"/>
        </w:rPr>
        <w:t xml:space="preserve">ciascun dato </w:t>
      </w:r>
      <w:bookmarkStart w:id="13" w:name="_Hlk123332719"/>
      <w:r w:rsidR="004C4996" w:rsidRPr="004A5029">
        <w:rPr>
          <w:rFonts w:ascii="Times New Roman" w:hAnsi="Times New Roman" w:cs="Times New Roman"/>
          <w:bCs/>
          <w:color w:val="000000" w:themeColor="text1"/>
        </w:rPr>
        <w:t xml:space="preserve">è fornito una sola volta a un solo sistema informativo, non può essere richiesto da altri sistemi o banche dati, ma è reso disponibile dal sistema informativo ricevente. </w:t>
      </w:r>
      <w:bookmarkEnd w:id="13"/>
      <w:r w:rsidR="004C4996" w:rsidRPr="004A5029">
        <w:rPr>
          <w:rFonts w:ascii="Times New Roman" w:hAnsi="Times New Roman" w:cs="Times New Roman"/>
          <w:bCs/>
          <w:color w:val="000000" w:themeColor="text1"/>
        </w:rPr>
        <w:t xml:space="preserve">Tale principio si applica ai dati relativi a programmazione di lavori, opere, servizi e forniture, nonché a tutte le procedure di affidamento e di realizzazione di contratti pubblici soggette al presente codice </w:t>
      </w:r>
      <w:r w:rsidR="00CE2C44" w:rsidRPr="004A5029">
        <w:rPr>
          <w:rFonts w:ascii="Times New Roman" w:hAnsi="Times New Roman" w:cs="Times New Roman"/>
          <w:bCs/>
          <w:color w:val="000000" w:themeColor="text1"/>
        </w:rPr>
        <w:t xml:space="preserve">e </w:t>
      </w:r>
      <w:r w:rsidR="004C4996" w:rsidRPr="004A5029">
        <w:rPr>
          <w:rFonts w:ascii="Times New Roman" w:hAnsi="Times New Roman" w:cs="Times New Roman"/>
          <w:bCs/>
          <w:color w:val="000000" w:themeColor="text1"/>
        </w:rPr>
        <w:t>a quelle da esso escluse, in tutto o in parte, ogni qualvolta siano imposti obblighi di comunicazione a una banca dati o a un sistema informativo.</w:t>
      </w:r>
    </w:p>
    <w:p w14:paraId="21EAA87C" w14:textId="648C8C74" w:rsidR="00446F27" w:rsidRPr="004A5029" w:rsidRDefault="00446F27" w:rsidP="00446F27">
      <w:pPr>
        <w:pStyle w:val="Paragrafoelenco"/>
        <w:ind w:left="0"/>
        <w:contextualSpacing w:val="0"/>
        <w:jc w:val="both"/>
        <w:rPr>
          <w:rStyle w:val="normaltextrun"/>
          <w:rFonts w:ascii="Times New Roman" w:hAnsi="Times New Roman" w:cs="Times New Roman"/>
          <w:i/>
          <w:color w:val="000000" w:themeColor="text1"/>
          <w:shd w:val="clear" w:color="auto" w:fill="FFFFFF"/>
        </w:rPr>
      </w:pPr>
      <w:r w:rsidRPr="004A5029">
        <w:rPr>
          <w:rFonts w:ascii="Times New Roman" w:hAnsi="Times New Roman" w:cs="Times New Roman"/>
          <w:color w:val="000000" w:themeColor="text1"/>
        </w:rPr>
        <w:t xml:space="preserve">3. Le attività e i procedimenti amministrativi connessi </w:t>
      </w:r>
      <w:r w:rsidR="00065536" w:rsidRPr="004A5029">
        <w:rPr>
          <w:rFonts w:ascii="Times New Roman" w:hAnsi="Times New Roman" w:cs="Times New Roman"/>
          <w:color w:val="000000" w:themeColor="text1"/>
        </w:rPr>
        <w:t xml:space="preserve">al </w:t>
      </w:r>
      <w:r w:rsidRPr="004A5029">
        <w:rPr>
          <w:rFonts w:ascii="Times New Roman" w:hAnsi="Times New Roman" w:cs="Times New Roman"/>
          <w:color w:val="000000" w:themeColor="text1"/>
        </w:rPr>
        <w:t>ciclo di vita dei contratti pubblici sono svolti digitalmente</w:t>
      </w:r>
      <w:r w:rsidR="00FA2740"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w:t>
      </w:r>
      <w:r w:rsidR="00FA2740" w:rsidRPr="004A5029">
        <w:rPr>
          <w:rFonts w:ascii="Times New Roman" w:eastAsia="Times New Roman" w:hAnsi="Times New Roman" w:cs="Times New Roman"/>
          <w:color w:val="000000" w:themeColor="text1"/>
          <w:lang w:eastAsia="it-IT"/>
        </w:rPr>
        <w:t xml:space="preserve">secondo le previsioni del presente codice e del </w:t>
      </w:r>
      <w:r w:rsidR="00571CDD" w:rsidRPr="004A5029">
        <w:rPr>
          <w:rFonts w:ascii="Times New Roman" w:eastAsia="Times New Roman" w:hAnsi="Times New Roman" w:cs="Times New Roman"/>
          <w:b/>
          <w:bCs/>
          <w:color w:val="000000" w:themeColor="text1"/>
          <w:lang w:eastAsia="it-IT"/>
        </w:rPr>
        <w:t>codice di cui al</w:t>
      </w:r>
      <w:r w:rsidR="00571CDD" w:rsidRPr="004A5029">
        <w:rPr>
          <w:rFonts w:ascii="Times New Roman" w:eastAsia="Times New Roman" w:hAnsi="Times New Roman" w:cs="Times New Roman"/>
          <w:color w:val="000000" w:themeColor="text1"/>
          <w:lang w:eastAsia="it-IT"/>
        </w:rPr>
        <w:t xml:space="preserve"> </w:t>
      </w:r>
      <w:r w:rsidR="00FA2740" w:rsidRPr="004A5029">
        <w:rPr>
          <w:rFonts w:ascii="Times New Roman" w:eastAsia="Times New Roman" w:hAnsi="Times New Roman" w:cs="Times New Roman"/>
          <w:color w:val="000000" w:themeColor="text1"/>
          <w:lang w:eastAsia="it-IT"/>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00FA2740" w:rsidRPr="004A5029">
        <w:rPr>
          <w:rFonts w:ascii="Times New Roman" w:eastAsia="Times New Roman" w:hAnsi="Times New Roman" w:cs="Times New Roman"/>
          <w:color w:val="000000" w:themeColor="text1"/>
          <w:lang w:eastAsia="it-IT"/>
        </w:rPr>
        <w:t xml:space="preserve">, </w:t>
      </w:r>
      <w:r w:rsidRPr="004A5029">
        <w:rPr>
          <w:rFonts w:ascii="Times New Roman" w:hAnsi="Times New Roman" w:cs="Times New Roman"/>
          <w:color w:val="000000" w:themeColor="text1"/>
        </w:rPr>
        <w:t xml:space="preserve">mediante le piattaforme e i servizi digitali infrastrutturali delle stazioni appaltanti e degli enti concedenti; i dati e le informazioni a essi relativi sono gestiti e resi fruibili in formato aperto, secondo le previsioni </w:t>
      </w:r>
      <w:r w:rsidR="00571CDD" w:rsidRPr="004A5029">
        <w:rPr>
          <w:rFonts w:ascii="Times New Roman" w:hAnsi="Times New Roman" w:cs="Times New Roman"/>
          <w:b/>
          <w:bCs/>
          <w:color w:val="000000" w:themeColor="text1"/>
        </w:rPr>
        <w:t>del codice</w:t>
      </w:r>
      <w:r w:rsidR="00571CDD"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di cui al 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hAnsi="Times New Roman" w:cs="Times New Roman"/>
          <w:color w:val="000000" w:themeColor="text1"/>
        </w:rPr>
        <w:t>.</w:t>
      </w:r>
    </w:p>
    <w:p w14:paraId="2ADE0791" w14:textId="3A9B6E30"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 soggetti titolari di banche dati adottano le necessarie misure organizzative e di revisione dei processi e dei regolamenti interni per abilitare automaticamente l'accesso digitale alle informazioni disponibili presso le banche dati di cui sono titolari, mediante le tecnologie di interoperabilità dei sistemi informativi secondo le previsioni e le modalità </w:t>
      </w:r>
      <w:r w:rsidR="00571CDD" w:rsidRPr="004A5029">
        <w:rPr>
          <w:rFonts w:ascii="Times New Roman" w:hAnsi="Times New Roman" w:cs="Times New Roman"/>
          <w:b/>
          <w:bCs/>
          <w:color w:val="000000" w:themeColor="text1"/>
        </w:rPr>
        <w:t>del codice</w:t>
      </w:r>
      <w:r w:rsidR="00571CDD"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di cui al 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hAnsi="Times New Roman" w:cs="Times New Roman"/>
          <w:color w:val="000000" w:themeColor="text1"/>
        </w:rPr>
        <w:t xml:space="preserve">. </w:t>
      </w:r>
    </w:p>
    <w:p w14:paraId="046F95EE" w14:textId="53B1B42B" w:rsidR="00446F27" w:rsidRPr="004A5029" w:rsidRDefault="00446F27" w:rsidP="00446F27">
      <w:pPr>
        <w:jc w:val="both"/>
        <w:rPr>
          <w:rStyle w:val="normaltextrun"/>
          <w:rFonts w:ascii="Times New Roman" w:hAnsi="Times New Roman" w:cs="Times New Roman"/>
          <w:color w:val="000000" w:themeColor="text1"/>
          <w:shd w:val="clear" w:color="auto" w:fill="FFFFFF"/>
        </w:rPr>
      </w:pPr>
      <w:r w:rsidRPr="004A5029">
        <w:rPr>
          <w:rFonts w:ascii="Times New Roman" w:hAnsi="Times New Roman" w:cs="Times New Roman"/>
          <w:bCs/>
          <w:color w:val="000000" w:themeColor="text1"/>
        </w:rPr>
        <w:t xml:space="preserve">5. Le stazioni appaltanti e gli enti concedenti, nonché gli operatori economici che partecipano alle attività e ai procedimenti di cui al comma 3, adottano misure tecniche e organizzative a presidio della sicurezza informatica e della protezione dei dati personali. Le stazioni appaltanti </w:t>
      </w:r>
      <w:r w:rsidR="00B31542" w:rsidRPr="004A5029">
        <w:rPr>
          <w:rFonts w:ascii="Times New Roman" w:hAnsi="Times New Roman" w:cs="Times New Roman"/>
          <w:b/>
          <w:color w:val="000000" w:themeColor="text1"/>
        </w:rPr>
        <w:t>e gli enti concedenti</w:t>
      </w:r>
      <w:r w:rsidR="00B31542"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assicurano la formazione del personale addetto, garantendone il costante aggiornamento.</w:t>
      </w:r>
    </w:p>
    <w:p w14:paraId="05068FDB" w14:textId="3F2404FB"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Le stazioni appaltanti e gli enti concedenti assicurano la tracciabilità e la trasparenza delle attività svolte, l’accessibilità ai dati e alle informazioni, la conoscibilità dei processi decisionali automatizzati e rendono le piattaforme utilizzate accessibili nei limiti di cui all’articolo 35.</w:t>
      </w:r>
      <w:r w:rsidR="00460EFF" w:rsidRPr="004A5029">
        <w:rPr>
          <w:rFonts w:ascii="Calibri" w:eastAsia="Calibri" w:hAnsi="Calibri" w:cs="Times New Roman"/>
          <w:b/>
          <w:color w:val="000000" w:themeColor="text1"/>
          <w:sz w:val="20"/>
          <w:szCs w:val="20"/>
        </w:rPr>
        <w:t xml:space="preserve"> </w:t>
      </w:r>
      <w:r w:rsidR="00460EFF" w:rsidRPr="004A5029">
        <w:rPr>
          <w:rFonts w:ascii="Times New Roman" w:hAnsi="Times New Roman" w:cs="Times New Roman"/>
          <w:b/>
          <w:bCs/>
          <w:color w:val="000000" w:themeColor="text1"/>
        </w:rPr>
        <w:t xml:space="preserve">I gestori delle piattaforme </w:t>
      </w:r>
      <w:r w:rsidR="007C53D8" w:rsidRPr="004A5029">
        <w:rPr>
          <w:rFonts w:ascii="Times New Roman" w:hAnsi="Times New Roman" w:cs="Times New Roman"/>
          <w:b/>
          <w:bCs/>
          <w:color w:val="000000" w:themeColor="text1"/>
        </w:rPr>
        <w:t>assicurano</w:t>
      </w:r>
      <w:r w:rsidR="00460EFF" w:rsidRPr="004A5029">
        <w:rPr>
          <w:rFonts w:ascii="Times New Roman" w:hAnsi="Times New Roman" w:cs="Times New Roman"/>
          <w:b/>
          <w:bCs/>
          <w:color w:val="000000" w:themeColor="text1"/>
        </w:rPr>
        <w:t xml:space="preserve"> la conformità delle medesime alle regole tecniche di cui all’articolo 26.</w:t>
      </w:r>
    </w:p>
    <w:p w14:paraId="203E33C8" w14:textId="77777777" w:rsidR="00446F27" w:rsidRPr="004A5029" w:rsidRDefault="00446F27" w:rsidP="00446F27">
      <w:pPr>
        <w:jc w:val="both"/>
        <w:rPr>
          <w:rStyle w:val="normaltextrun"/>
          <w:rFonts w:ascii="Times New Roman" w:hAnsi="Times New Roman" w:cs="Times New Roman"/>
          <w:color w:val="000000" w:themeColor="text1"/>
          <w:shd w:val="clear" w:color="auto" w:fill="FFFFFF"/>
        </w:rPr>
      </w:pPr>
      <w:r w:rsidRPr="004A5029">
        <w:rPr>
          <w:rFonts w:ascii="Times New Roman" w:hAnsi="Times New Roman" w:cs="Times New Roman"/>
          <w:bCs/>
          <w:color w:val="000000" w:themeColor="text1"/>
        </w:rPr>
        <w:t>7. Ove possibile e in relazione al tipo di procedura di affidamento, le stazioni appaltanti e gli enti concedenti ricorrono a procedure automatizzate nella valutazione delle offerte ai sensi dell’articolo 30.</w:t>
      </w:r>
    </w:p>
    <w:p w14:paraId="70ED71A9" w14:textId="22E9CF0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Le regioni e le province autonome assicurano il rispetto delle disposizioni di cui alla presente Parte e il supporto alle stazioni appaltanti</w:t>
      </w:r>
      <w:r w:rsidR="00B31542" w:rsidRPr="004A5029">
        <w:rPr>
          <w:rFonts w:ascii="Times New Roman" w:hAnsi="Times New Roman" w:cs="Times New Roman"/>
          <w:color w:val="000000" w:themeColor="text1"/>
        </w:rPr>
        <w:t xml:space="preserve"> </w:t>
      </w:r>
      <w:r w:rsidR="00B31542" w:rsidRPr="004A5029">
        <w:rPr>
          <w:rFonts w:ascii="Times New Roman" w:hAnsi="Times New Roman" w:cs="Times New Roman"/>
          <w:b/>
          <w:color w:val="000000" w:themeColor="text1"/>
        </w:rPr>
        <w:t>e agli enti concedenti</w:t>
      </w:r>
      <w:r w:rsidRPr="004A5029">
        <w:rPr>
          <w:rFonts w:ascii="Times New Roman" w:hAnsi="Times New Roman" w:cs="Times New Roman"/>
          <w:color w:val="000000" w:themeColor="text1"/>
        </w:rPr>
        <w:t>.</w:t>
      </w:r>
    </w:p>
    <w:p w14:paraId="7CA05418" w14:textId="77777777" w:rsidR="00446F27" w:rsidRPr="004A5029" w:rsidRDefault="00446F27" w:rsidP="00446F27">
      <w:pPr>
        <w:jc w:val="both"/>
        <w:rPr>
          <w:rStyle w:val="normaltextrun"/>
          <w:rFonts w:ascii="Times New Roman" w:hAnsi="Times New Roman" w:cs="Times New Roman"/>
          <w:i/>
          <w:iCs/>
          <w:color w:val="000000" w:themeColor="text1"/>
          <w:shd w:val="clear" w:color="auto" w:fill="FFFFFF"/>
        </w:rPr>
      </w:pPr>
      <w:r w:rsidRPr="004A5029">
        <w:rPr>
          <w:rFonts w:ascii="Times New Roman" w:hAnsi="Times New Roman" w:cs="Times New Roman"/>
          <w:color w:val="000000" w:themeColor="text1"/>
        </w:rPr>
        <w:t>9. Le disposizioni della presente Parte costituiscono esercizio della funzione di coordinamento informativo, statistico e informatico dei dati dell'amministrazione statale, regionale e locale, di cui all'articolo 117, secondo comma, lettera r), della Costituzione.</w:t>
      </w:r>
    </w:p>
    <w:p w14:paraId="07F023C8" w14:textId="77777777" w:rsidR="00446F27" w:rsidRPr="004A5029" w:rsidRDefault="00446F27" w:rsidP="00446F27">
      <w:pPr>
        <w:rPr>
          <w:rFonts w:ascii="Times New Roman" w:hAnsi="Times New Roman" w:cs="Times New Roman"/>
          <w:color w:val="000000" w:themeColor="text1"/>
        </w:rPr>
      </w:pPr>
    </w:p>
    <w:p w14:paraId="5CA031C7" w14:textId="77777777" w:rsidR="004368AE" w:rsidRPr="004A5029" w:rsidRDefault="004368AE" w:rsidP="00446F27">
      <w:pPr>
        <w:jc w:val="both"/>
        <w:rPr>
          <w:rFonts w:ascii="Times New Roman" w:hAnsi="Times New Roman" w:cs="Times New Roman"/>
          <w:b/>
          <w:color w:val="000000" w:themeColor="text1"/>
        </w:rPr>
      </w:pPr>
    </w:p>
    <w:p w14:paraId="2F7EA159" w14:textId="4B56D11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w:t>
      </w:r>
    </w:p>
    <w:p w14:paraId="1F908B48" w14:textId="2A067A7B"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 xml:space="preserve">Principi in materia di trasparenza. </w:t>
      </w:r>
      <w:r w:rsidR="00FA2740" w:rsidRPr="004A5029">
        <w:rPr>
          <w:rFonts w:ascii="Times New Roman" w:hAnsi="Times New Roman" w:cs="Times New Roman"/>
          <w:i/>
          <w:iCs/>
          <w:color w:val="000000" w:themeColor="text1"/>
        </w:rPr>
        <w:t xml:space="preserve"> </w:t>
      </w:r>
    </w:p>
    <w:p w14:paraId="2D00703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Fermi restando gli obblighi di pubblicità legale, a fini di trasparenza i dati, le informazioni e gli atti relativi ai contratti pubblici sono indicati nell’articolo 28 e sono pubblicati secondo quanto stabilito dal decreto legislativo 14 marzo 2013, n. 33.</w:t>
      </w:r>
    </w:p>
    <w:p w14:paraId="7FC4A56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Le comunicazioni e l’interscambio di dati per le finalità di conoscenza e di trasparenza avvengono nel rispetto del principio di unicità del luogo di pubblicazione e dell’invio delle informazioni.</w:t>
      </w:r>
    </w:p>
    <w:p w14:paraId="4032E78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 regioni e le province autonome assicurano la trasparenza nel settore dei contratti pubblici.</w:t>
      </w:r>
    </w:p>
    <w:p w14:paraId="4BDB5498" w14:textId="77777777" w:rsidR="00446F27" w:rsidRPr="004A5029" w:rsidRDefault="00446F27" w:rsidP="00446F27">
      <w:pPr>
        <w:ind w:firstLine="708"/>
        <w:jc w:val="both"/>
        <w:rPr>
          <w:rFonts w:ascii="Times New Roman" w:hAnsi="Times New Roman" w:cs="Times New Roman"/>
          <w:color w:val="000000" w:themeColor="text1"/>
        </w:rPr>
      </w:pPr>
    </w:p>
    <w:p w14:paraId="606E2671"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21.</w:t>
      </w:r>
    </w:p>
    <w:p w14:paraId="7FD6CA8B"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Ciclo di vita digitale dei contratti pubblici.</w:t>
      </w:r>
    </w:p>
    <w:p w14:paraId="19D929F4"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1. Il ciclo di vita digitale dei contratti pubblici, di norma, si articola in programmazione, progettazione, pubblicazione, affidamento ed esecuzione.</w:t>
      </w:r>
    </w:p>
    <w:p w14:paraId="080839FA" w14:textId="08A28007"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Le attività inerenti al ciclo di vita di cui al comma 1 sono gestite</w:t>
      </w:r>
      <w:r w:rsidR="00FA2740" w:rsidRPr="004A5029">
        <w:rPr>
          <w:rFonts w:ascii="Times New Roman" w:hAnsi="Times New Roman" w:cs="Times New Roman"/>
          <w:bCs/>
          <w:color w:val="000000" w:themeColor="text1"/>
        </w:rPr>
        <w:t xml:space="preserve">, </w:t>
      </w:r>
      <w:r w:rsidR="00FA2740" w:rsidRPr="004A5029">
        <w:rPr>
          <w:rFonts w:ascii="Times New Roman" w:eastAsia="Times New Roman" w:hAnsi="Times New Roman" w:cs="Times New Roman"/>
          <w:bCs/>
          <w:color w:val="000000" w:themeColor="text1"/>
          <w:lang w:eastAsia="it-IT"/>
        </w:rPr>
        <w:t xml:space="preserve">nel rispetto delle disposizioni del </w:t>
      </w:r>
      <w:bookmarkStart w:id="14" w:name="_Hlk127703431"/>
      <w:r w:rsidR="00571CDD" w:rsidRPr="004A5029">
        <w:rPr>
          <w:rFonts w:ascii="Times New Roman" w:eastAsia="Times New Roman" w:hAnsi="Times New Roman" w:cs="Times New Roman"/>
          <w:bCs/>
          <w:color w:val="000000" w:themeColor="text1"/>
          <w:lang w:eastAsia="it-IT"/>
        </w:rPr>
        <w:t>c</w:t>
      </w:r>
      <w:r w:rsidR="00571CDD" w:rsidRPr="004A5029">
        <w:rPr>
          <w:rFonts w:ascii="Times New Roman" w:hAnsi="Times New Roman" w:cs="Times New Roman"/>
          <w:color w:val="000000" w:themeColor="text1"/>
          <w:shd w:val="clear" w:color="auto" w:fill="FFFFFF"/>
        </w:rPr>
        <w:t>odice dell'amministrazione digitale</w:t>
      </w:r>
      <w:r w:rsidR="0030786B" w:rsidRPr="004A5029">
        <w:rPr>
          <w:rFonts w:ascii="Times New Roman" w:eastAsia="Calibri" w:hAnsi="Times New Roman" w:cs="Times New Roman"/>
          <w:color w:val="000000" w:themeColor="text1"/>
        </w:rPr>
        <w:t>,</w:t>
      </w:r>
      <w:r w:rsidR="00571CDD" w:rsidRPr="004A5029">
        <w:rPr>
          <w:rFonts w:ascii="Times New Roman" w:eastAsia="Times New Roman" w:hAnsi="Times New Roman" w:cs="Times New Roman"/>
          <w:bCs/>
          <w:color w:val="000000" w:themeColor="text1"/>
          <w:lang w:eastAsia="it-IT"/>
        </w:rPr>
        <w:t xml:space="preserve"> di cui al</w:t>
      </w:r>
      <w:bookmarkEnd w:id="14"/>
      <w:r w:rsidR="00571CDD" w:rsidRPr="004A5029">
        <w:rPr>
          <w:rFonts w:ascii="Times New Roman" w:eastAsia="Times New Roman" w:hAnsi="Times New Roman" w:cs="Times New Roman"/>
          <w:bCs/>
          <w:color w:val="000000" w:themeColor="text1"/>
          <w:lang w:eastAsia="it-IT"/>
        </w:rPr>
        <w:t xml:space="preserve"> </w:t>
      </w:r>
      <w:r w:rsidR="00FA2740" w:rsidRPr="004A5029">
        <w:rPr>
          <w:rFonts w:ascii="Times New Roman" w:eastAsia="Times New Roman" w:hAnsi="Times New Roman" w:cs="Times New Roman"/>
          <w:bCs/>
          <w:color w:val="000000" w:themeColor="text1"/>
          <w:lang w:eastAsia="it-IT"/>
        </w:rPr>
        <w:t xml:space="preserve">decreto </w:t>
      </w:r>
      <w:r w:rsidR="00FA2740" w:rsidRPr="004A5029">
        <w:rPr>
          <w:rFonts w:ascii="Times New Roman" w:hAnsi="Times New Roman" w:cs="Times New Roman"/>
          <w:bCs/>
          <w:color w:val="000000" w:themeColor="text1"/>
        </w:rPr>
        <w:t xml:space="preserve">legislativo </w:t>
      </w:r>
      <w:r w:rsidR="009908D0" w:rsidRPr="004A5029">
        <w:rPr>
          <w:rFonts w:ascii="Times New Roman" w:hAnsi="Times New Roman" w:cs="Times New Roman"/>
          <w:bCs/>
          <w:color w:val="000000" w:themeColor="text1"/>
        </w:rPr>
        <w:t>7 marzo 2005, n</w:t>
      </w:r>
      <w:r w:rsidR="009908D0" w:rsidRPr="004A5029">
        <w:rPr>
          <w:rFonts w:ascii="Times New Roman" w:eastAsia="Times New Roman" w:hAnsi="Times New Roman" w:cs="Times New Roman"/>
          <w:color w:val="000000" w:themeColor="text1"/>
          <w:lang w:eastAsia="it-IT"/>
        </w:rPr>
        <w:t>. 82</w:t>
      </w:r>
      <w:r w:rsidR="00FA2740" w:rsidRPr="004A5029">
        <w:rPr>
          <w:rFonts w:ascii="Times New Roman" w:eastAsia="Times New Roman" w:hAnsi="Times New Roman" w:cs="Times New Roman"/>
          <w:bCs/>
          <w:color w:val="000000" w:themeColor="text1"/>
          <w:lang w:eastAsia="it-IT"/>
        </w:rPr>
        <w:t xml:space="preserve">, </w:t>
      </w:r>
      <w:r w:rsidRPr="004A5029">
        <w:rPr>
          <w:rFonts w:ascii="Times New Roman" w:hAnsi="Times New Roman" w:cs="Times New Roman"/>
          <w:bCs/>
          <w:color w:val="000000" w:themeColor="text1"/>
        </w:rPr>
        <w:t>attraverso piattaforme e servizi digitali fra loro interoperabili, come indicati all’articolo 22.</w:t>
      </w:r>
    </w:p>
    <w:p w14:paraId="0EC83397" w14:textId="05DB697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I soggetti che intervengono nel ciclo di vita digitale dei contratti pubblici operano secondo le disposizioni della presente Parte e procedono all’atto dell’avvio della procedura secondo le disposizioni </w:t>
      </w:r>
      <w:r w:rsidR="00FA2740" w:rsidRPr="004A5029">
        <w:rPr>
          <w:rFonts w:ascii="Times New Roman" w:eastAsia="Times New Roman" w:hAnsi="Times New Roman" w:cs="Times New Roman"/>
          <w:bCs/>
          <w:color w:val="000000" w:themeColor="text1"/>
          <w:lang w:eastAsia="it-IT"/>
        </w:rPr>
        <w:t xml:space="preserve">del </w:t>
      </w:r>
      <w:r w:rsidR="00571CDD" w:rsidRPr="004A5029">
        <w:rPr>
          <w:rFonts w:ascii="Times New Roman" w:eastAsia="Times New Roman" w:hAnsi="Times New Roman" w:cs="Times New Roman"/>
          <w:bCs/>
          <w:color w:val="000000" w:themeColor="text1"/>
          <w:lang w:eastAsia="it-IT"/>
        </w:rPr>
        <w:t xml:space="preserve">codice di cui al </w:t>
      </w:r>
      <w:r w:rsidR="00FA2740"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strike/>
          <w:color w:val="000000" w:themeColor="text1"/>
          <w:lang w:eastAsia="it-IT"/>
        </w:rPr>
        <w:t xml:space="preserve">7 marzo 2005,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 xml:space="preserve">del 2005 </w:t>
      </w:r>
      <w:r w:rsidR="00FA2740" w:rsidRPr="004A5029">
        <w:rPr>
          <w:rFonts w:ascii="Times New Roman" w:eastAsia="Times New Roman" w:hAnsi="Times New Roman" w:cs="Times New Roman"/>
          <w:bCs/>
          <w:color w:val="000000" w:themeColor="text1"/>
          <w:lang w:eastAsia="it-IT"/>
        </w:rPr>
        <w:t xml:space="preserve">e </w:t>
      </w:r>
      <w:r w:rsidRPr="004A5029">
        <w:rPr>
          <w:rFonts w:ascii="Times New Roman" w:hAnsi="Times New Roman" w:cs="Times New Roman"/>
          <w:bCs/>
          <w:color w:val="000000" w:themeColor="text1"/>
        </w:rPr>
        <w:t>dell’articolo 3 della legge 13 agosto 2010, n. 136.</w:t>
      </w:r>
    </w:p>
    <w:p w14:paraId="2916C19D" w14:textId="77777777" w:rsidR="00446F27" w:rsidRPr="004A5029" w:rsidRDefault="00446F27" w:rsidP="00446F27">
      <w:pPr>
        <w:rPr>
          <w:rFonts w:ascii="Times New Roman" w:hAnsi="Times New Roman" w:cs="Times New Roman"/>
          <w:color w:val="000000" w:themeColor="text1"/>
        </w:rPr>
      </w:pPr>
    </w:p>
    <w:p w14:paraId="7161B3A4"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22.</w:t>
      </w:r>
    </w:p>
    <w:p w14:paraId="1427E8C5"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i/>
          <w:color w:val="000000" w:themeColor="text1"/>
        </w:rPr>
      </w:pPr>
      <w:r w:rsidRPr="004A5029">
        <w:rPr>
          <w:rFonts w:ascii="Times New Roman" w:hAnsi="Times New Roman" w:cs="Times New Roman"/>
          <w:i/>
          <w:iCs/>
          <w:color w:val="000000" w:themeColor="text1"/>
        </w:rPr>
        <w:t xml:space="preserve">Ecosistema nazionale di approvvigionamento digitale </w:t>
      </w:r>
      <w:r w:rsidRPr="004A5029">
        <w:rPr>
          <w:rFonts w:ascii="Times New Roman" w:hAnsi="Times New Roman" w:cs="Times New Roman"/>
          <w:color w:val="000000" w:themeColor="text1"/>
        </w:rPr>
        <w:t>(</w:t>
      </w:r>
      <w:r w:rsidRPr="004A5029">
        <w:rPr>
          <w:rFonts w:ascii="Times New Roman" w:hAnsi="Times New Roman" w:cs="Times New Roman"/>
          <w:i/>
          <w:iCs/>
          <w:color w:val="000000" w:themeColor="text1"/>
        </w:rPr>
        <w:t>e-procurement</w:t>
      </w:r>
      <w:r w:rsidRPr="004A5029">
        <w:rPr>
          <w:rFonts w:ascii="Times New Roman" w:hAnsi="Times New Roman" w:cs="Times New Roman"/>
          <w:color w:val="000000" w:themeColor="text1"/>
        </w:rPr>
        <w:t>).</w:t>
      </w:r>
    </w:p>
    <w:p w14:paraId="75C6F3FB" w14:textId="76BE6C0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L’ecosistema nazionale di approvvigionamento digitale (</w:t>
      </w:r>
      <w:r w:rsidRPr="004A5029">
        <w:rPr>
          <w:rFonts w:ascii="Times New Roman" w:hAnsi="Times New Roman" w:cs="Times New Roman"/>
          <w:bCs/>
          <w:i/>
          <w:iCs/>
          <w:color w:val="000000" w:themeColor="text1"/>
        </w:rPr>
        <w:t>e-procurement</w:t>
      </w:r>
      <w:r w:rsidRPr="004A5029">
        <w:rPr>
          <w:rFonts w:ascii="Times New Roman" w:hAnsi="Times New Roman" w:cs="Times New Roman"/>
          <w:bCs/>
          <w:color w:val="000000" w:themeColor="text1"/>
        </w:rPr>
        <w:t>) è costituito dalle piattaforme e dai servizi digitali infrastrutturali abilitanti la gestione del ciclo di vita dei contratti pubblici, di cui all’articolo 23 e dalle piattaforme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utilizzate dalle stazioni appaltanti di cui all’articolo 25.</w:t>
      </w:r>
    </w:p>
    <w:p w14:paraId="10680D7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piattaforme e i servizi digitali di cui al comma 1 consentono, in particolare:</w:t>
      </w:r>
    </w:p>
    <w:p w14:paraId="0BC45864" w14:textId="3970510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 redazione</w:t>
      </w:r>
      <w:r w:rsidR="00FA2740" w:rsidRPr="004A5029">
        <w:rPr>
          <w:rFonts w:ascii="Times New Roman" w:hAnsi="Times New Roman" w:cs="Times New Roman"/>
          <w:color w:val="000000" w:themeColor="text1"/>
        </w:rPr>
        <w:t xml:space="preserve"> </w:t>
      </w:r>
      <w:r w:rsidR="00167393">
        <w:rPr>
          <w:rFonts w:ascii="Times New Roman" w:hAnsi="Times New Roman" w:cs="Times New Roman"/>
          <w:color w:val="000000" w:themeColor="text1"/>
        </w:rPr>
        <w:t xml:space="preserve">o l’acquisizione </w:t>
      </w:r>
      <w:r w:rsidRPr="004A5029">
        <w:rPr>
          <w:rFonts w:ascii="Times New Roman" w:hAnsi="Times New Roman" w:cs="Times New Roman"/>
          <w:color w:val="000000" w:themeColor="text1"/>
        </w:rPr>
        <w:t>degli atti in formato nativo digitale;</w:t>
      </w:r>
    </w:p>
    <w:p w14:paraId="7FF14F8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la pubblicazione e la trasmissione dei dati e documenti alla Banca dati nazionale dei contratti pubblici;</w:t>
      </w:r>
    </w:p>
    <w:p w14:paraId="4254016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c) l’accesso elettronico alla documentazione di gara;</w:t>
      </w:r>
    </w:p>
    <w:p w14:paraId="79203CE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la presentazione del documento di gara unico europeo in formato digitale e l’interoperabilità con il fascicolo virtuale dell’operatore economico;</w:t>
      </w:r>
    </w:p>
    <w:p w14:paraId="614DE94D" w14:textId="2106312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la presentazione delle offerte</w:t>
      </w:r>
    </w:p>
    <w:p w14:paraId="1EA58194" w14:textId="4E0AAB8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f) l’apertura</w:t>
      </w:r>
      <w:r w:rsidR="007C53D8" w:rsidRPr="004A5029">
        <w:rPr>
          <w:rFonts w:ascii="Times New Roman" w:hAnsi="Times New Roman" w:cs="Times New Roman"/>
          <w:bCs/>
          <w:color w:val="000000" w:themeColor="text1"/>
        </w:rPr>
        <w:t>,</w:t>
      </w:r>
      <w:r w:rsidR="007C53D8" w:rsidRPr="004A5029">
        <w:rPr>
          <w:rFonts w:ascii="Times New Roman" w:hAnsi="Times New Roman" w:cs="Times New Roman"/>
          <w:b/>
          <w:color w:val="000000" w:themeColor="text1"/>
        </w:rPr>
        <w:t xml:space="preserve"> la gestione</w:t>
      </w:r>
      <w:r w:rsidR="00460EFF"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e la conservazione del fascicolo di gara in modalità digitale;</w:t>
      </w:r>
    </w:p>
    <w:p w14:paraId="4206641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g) il controllo tecnico, contabile e amministrativo dei contratti anche in fase di esecuzione e la gestione delle garanzie.</w:t>
      </w:r>
    </w:p>
    <w:p w14:paraId="7DF46CBA" w14:textId="21100364" w:rsidR="00446F27" w:rsidRPr="004A5029" w:rsidRDefault="00446F27" w:rsidP="00070E8D">
      <w:pPr>
        <w:jc w:val="both"/>
        <w:rPr>
          <w:rFonts w:ascii="Times New Roman" w:hAnsi="Times New Roman" w:cs="Times New Roman"/>
          <w:strike/>
          <w:color w:val="000000" w:themeColor="text1"/>
        </w:rPr>
      </w:pPr>
      <w:r w:rsidRPr="004A5029">
        <w:rPr>
          <w:rFonts w:ascii="Times New Roman" w:hAnsi="Times New Roman" w:cs="Times New Roman"/>
          <w:color w:val="000000" w:themeColor="text1"/>
        </w:rPr>
        <w:t xml:space="preserve">3. </w:t>
      </w:r>
      <w:r w:rsidR="00FA2740" w:rsidRPr="004A5029">
        <w:rPr>
          <w:rFonts w:ascii="Times New Roman" w:eastAsia="Times New Roman" w:hAnsi="Times New Roman" w:cs="Times New Roman"/>
          <w:color w:val="000000" w:themeColor="text1"/>
          <w:lang w:eastAsia="it-IT"/>
        </w:rPr>
        <w:t>Le basi di dati di interesse nazionale alimentano l’</w:t>
      </w:r>
      <w:r w:rsidRPr="004A5029">
        <w:rPr>
          <w:rFonts w:ascii="Times New Roman" w:hAnsi="Times New Roman" w:cs="Times New Roman"/>
          <w:color w:val="000000" w:themeColor="text1"/>
        </w:rPr>
        <w:t>ecosistema nazionale di approvvigionamento digitale</w:t>
      </w:r>
      <w:r w:rsidRPr="004A5029">
        <w:rPr>
          <w:rFonts w:ascii="Times New Roman" w:hAnsi="Times New Roman" w:cs="Times New Roman"/>
          <w:i/>
          <w:color w:val="000000" w:themeColor="text1"/>
        </w:rPr>
        <w:t>,</w:t>
      </w:r>
      <w:r w:rsidR="00FA2740" w:rsidRPr="004A5029">
        <w:rPr>
          <w:rFonts w:ascii="Times New Roman" w:hAnsi="Times New Roman" w:cs="Times New Roman"/>
          <w:i/>
          <w:color w:val="000000" w:themeColor="text1"/>
        </w:rPr>
        <w:t xml:space="preserve"> </w:t>
      </w:r>
      <w:r w:rsidR="00FA2740" w:rsidRPr="004A5029">
        <w:rPr>
          <w:rFonts w:ascii="Times New Roman" w:eastAsia="Times New Roman" w:hAnsi="Times New Roman" w:cs="Times New Roman"/>
          <w:color w:val="000000" w:themeColor="text1"/>
          <w:lang w:eastAsia="it-IT"/>
        </w:rPr>
        <w:t xml:space="preserve">ai sensi dell’articolo 60 del </w:t>
      </w:r>
      <w:r w:rsidR="00571CDD" w:rsidRPr="004A5029">
        <w:rPr>
          <w:rFonts w:ascii="Times New Roman" w:eastAsia="Times New Roman" w:hAnsi="Times New Roman" w:cs="Times New Roman"/>
          <w:b/>
          <w:color w:val="000000" w:themeColor="text1"/>
          <w:lang w:eastAsia="it-IT"/>
        </w:rPr>
        <w:t>c</w:t>
      </w:r>
      <w:r w:rsidR="00571CDD" w:rsidRPr="004A5029">
        <w:rPr>
          <w:rFonts w:ascii="Times New Roman" w:hAnsi="Times New Roman" w:cs="Times New Roman"/>
          <w:b/>
          <w:color w:val="000000" w:themeColor="text1"/>
          <w:shd w:val="clear" w:color="auto" w:fill="FFFFFF"/>
        </w:rPr>
        <w:t>odice dell'amministrazione digitale</w:t>
      </w:r>
      <w:r w:rsidR="0030786B" w:rsidRPr="004A5029">
        <w:rPr>
          <w:rFonts w:ascii="Times New Roman" w:eastAsia="Calibri" w:hAnsi="Times New Roman" w:cs="Times New Roman"/>
          <w:b/>
          <w:color w:val="000000" w:themeColor="text1"/>
        </w:rPr>
        <w:t>,</w:t>
      </w:r>
      <w:r w:rsidR="00571CDD" w:rsidRPr="004A5029">
        <w:rPr>
          <w:rFonts w:ascii="Times New Roman" w:eastAsia="Times New Roman" w:hAnsi="Times New Roman" w:cs="Times New Roman"/>
          <w:b/>
          <w:color w:val="000000" w:themeColor="text1"/>
          <w:lang w:eastAsia="it-IT"/>
        </w:rPr>
        <w:t xml:space="preserve"> di cui al</w:t>
      </w:r>
      <w:r w:rsidR="00571CDD" w:rsidRPr="004A5029">
        <w:rPr>
          <w:rFonts w:ascii="Times New Roman" w:eastAsia="Times New Roman" w:hAnsi="Times New Roman" w:cs="Times New Roman"/>
          <w:color w:val="000000" w:themeColor="text1"/>
          <w:lang w:eastAsia="it-IT"/>
        </w:rPr>
        <w:t xml:space="preserve"> </w:t>
      </w:r>
      <w:r w:rsidR="00FA2740" w:rsidRPr="004A5029">
        <w:rPr>
          <w:rFonts w:ascii="Times New Roman" w:eastAsia="Times New Roman" w:hAnsi="Times New Roman" w:cs="Times New Roman"/>
          <w:color w:val="000000" w:themeColor="text1"/>
          <w:lang w:eastAsia="it-IT"/>
        </w:rPr>
        <w:t xml:space="preserve">decreto legislativo </w:t>
      </w:r>
      <w:r w:rsidR="009908D0" w:rsidRPr="004A5029">
        <w:rPr>
          <w:rFonts w:ascii="Times New Roman" w:eastAsia="Times New Roman" w:hAnsi="Times New Roman" w:cs="Times New Roman"/>
          <w:color w:val="000000" w:themeColor="text1"/>
          <w:lang w:eastAsia="it-IT"/>
        </w:rPr>
        <w:t>7 marzo 2005,</w:t>
      </w:r>
      <w:r w:rsidR="00A6046F" w:rsidRPr="004A5029">
        <w:rPr>
          <w:rFonts w:ascii="Times New Roman" w:eastAsia="Times New Roman" w:hAnsi="Times New Roman" w:cs="Times New Roman"/>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n. 82</w:t>
      </w:r>
      <w:r w:rsidR="00FA2740" w:rsidRPr="004A5029">
        <w:rPr>
          <w:rFonts w:ascii="Times New Roman" w:eastAsia="Times New Roman" w:hAnsi="Times New Roman" w:cs="Times New Roman"/>
          <w:color w:val="000000" w:themeColor="text1"/>
          <w:lang w:eastAsia="it-IT"/>
        </w:rPr>
        <w:t xml:space="preserve">. </w:t>
      </w:r>
    </w:p>
    <w:p w14:paraId="74869460" w14:textId="77777777" w:rsidR="00446F27" w:rsidRPr="004A5029" w:rsidRDefault="00446F27" w:rsidP="00446F27">
      <w:pPr>
        <w:jc w:val="both"/>
        <w:rPr>
          <w:rFonts w:ascii="Times New Roman" w:hAnsi="Times New Roman" w:cs="Times New Roman"/>
          <w:color w:val="000000" w:themeColor="text1"/>
        </w:rPr>
      </w:pPr>
    </w:p>
    <w:p w14:paraId="01174BC4"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23.</w:t>
      </w:r>
    </w:p>
    <w:p w14:paraId="0F05EA62"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i/>
          <w:color w:val="000000" w:themeColor="text1"/>
        </w:rPr>
        <w:t>Banca dati nazionale dei contratti pubblici.</w:t>
      </w:r>
    </w:p>
    <w:p w14:paraId="75783D65" w14:textId="7E5ED82F" w:rsidR="00446F27" w:rsidRPr="004A5029" w:rsidRDefault="00446F27" w:rsidP="00070E8D">
      <w:pPr>
        <w:widowControl w:val="0"/>
        <w:pBdr>
          <w:top w:val="nil"/>
          <w:left w:val="nil"/>
          <w:bottom w:val="nil"/>
          <w:right w:val="nil"/>
          <w:between w:val="nil"/>
        </w:pBd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1. L’ANAC è titolare in via esclusiva della Banca dati nazionale dei contratti pubblici di cui all’articolo 62-</w:t>
      </w:r>
      <w:r w:rsidRPr="004A5029">
        <w:rPr>
          <w:rFonts w:ascii="Times New Roman" w:hAnsi="Times New Roman" w:cs="Times New Roman"/>
          <w:bCs/>
          <w:i/>
          <w:iCs/>
          <w:color w:val="000000" w:themeColor="text1"/>
        </w:rPr>
        <w:t>bis</w:t>
      </w:r>
      <w:r w:rsidRPr="004A5029">
        <w:rPr>
          <w:rFonts w:ascii="Times New Roman" w:hAnsi="Times New Roman" w:cs="Times New Roman"/>
          <w:bCs/>
          <w:color w:val="000000" w:themeColor="text1"/>
        </w:rPr>
        <w:t xml:space="preserve"> del </w:t>
      </w:r>
      <w:r w:rsidR="00571CDD" w:rsidRPr="004A5029">
        <w:rPr>
          <w:rFonts w:ascii="Times New Roman" w:eastAsia="Times New Roman" w:hAnsi="Times New Roman" w:cs="Times New Roman"/>
          <w:b/>
          <w:color w:val="000000" w:themeColor="text1"/>
          <w:lang w:eastAsia="it-IT"/>
        </w:rPr>
        <w:t>c</w:t>
      </w:r>
      <w:r w:rsidR="00571CDD" w:rsidRPr="004A5029">
        <w:rPr>
          <w:rFonts w:ascii="Times New Roman" w:hAnsi="Times New Roman" w:cs="Times New Roman"/>
          <w:b/>
          <w:color w:val="000000" w:themeColor="text1"/>
          <w:shd w:val="clear" w:color="auto" w:fill="FFFFFF"/>
        </w:rPr>
        <w:t>odice dell'amministrazione digitale</w:t>
      </w:r>
      <w:r w:rsidR="0030786B" w:rsidRPr="004A5029">
        <w:rPr>
          <w:rFonts w:ascii="Times New Roman" w:eastAsia="Calibri" w:hAnsi="Times New Roman" w:cs="Times New Roman"/>
          <w:b/>
          <w:color w:val="000000" w:themeColor="text1"/>
        </w:rPr>
        <w:t>,</w:t>
      </w:r>
      <w:r w:rsidR="00571CDD" w:rsidRPr="004A5029">
        <w:rPr>
          <w:rFonts w:ascii="Times New Roman" w:eastAsia="Times New Roman" w:hAnsi="Times New Roman" w:cs="Times New Roman"/>
          <w:b/>
          <w:color w:val="000000" w:themeColor="text1"/>
          <w:lang w:eastAsia="it-IT"/>
        </w:rPr>
        <w:t xml:space="preserve"> di cui al</w:t>
      </w:r>
      <w:r w:rsidR="00571CDD"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decreto legislativo </w:t>
      </w:r>
      <w:r w:rsidR="009908D0" w:rsidRPr="004A5029">
        <w:rPr>
          <w:rFonts w:ascii="Times New Roman" w:hAnsi="Times New Roman" w:cs="Times New Roman"/>
          <w:bCs/>
          <w:color w:val="000000" w:themeColor="text1"/>
        </w:rPr>
        <w:t>7 marzo 2005,</w:t>
      </w:r>
      <w:r w:rsidR="003C0FA8" w:rsidRPr="004A5029">
        <w:rPr>
          <w:rFonts w:ascii="Times New Roman" w:hAnsi="Times New Roman" w:cs="Times New Roman"/>
          <w:bCs/>
          <w:color w:val="000000" w:themeColor="text1"/>
        </w:rPr>
        <w:t xml:space="preserve"> </w:t>
      </w:r>
      <w:r w:rsidR="009908D0" w:rsidRPr="004A5029">
        <w:rPr>
          <w:rFonts w:ascii="Times New Roman" w:eastAsia="Times New Roman" w:hAnsi="Times New Roman" w:cs="Times New Roman"/>
          <w:color w:val="000000" w:themeColor="text1"/>
          <w:lang w:eastAsia="it-IT"/>
        </w:rPr>
        <w:t>n. 82</w:t>
      </w:r>
      <w:r w:rsidRPr="004A5029">
        <w:rPr>
          <w:rFonts w:ascii="Times New Roman" w:hAnsi="Times New Roman" w:cs="Times New Roman"/>
          <w:bCs/>
          <w:color w:val="000000" w:themeColor="text1"/>
        </w:rPr>
        <w:t xml:space="preserve">, abilitante l’ecosistema nazionale di </w:t>
      </w:r>
      <w:r w:rsidRPr="004A5029">
        <w:rPr>
          <w:rFonts w:ascii="Times New Roman" w:hAnsi="Times New Roman" w:cs="Times New Roman"/>
          <w:bCs/>
          <w:i/>
          <w:iCs/>
          <w:color w:val="000000" w:themeColor="text1"/>
        </w:rPr>
        <w:t>e-procurement</w:t>
      </w:r>
      <w:r w:rsidRPr="004A5029">
        <w:rPr>
          <w:rFonts w:ascii="Times New Roman" w:hAnsi="Times New Roman" w:cs="Times New Roman"/>
          <w:bCs/>
          <w:color w:val="000000" w:themeColor="text1"/>
        </w:rPr>
        <w:t>, e ne sviluppa e gestisce i servizi</w:t>
      </w:r>
      <w:r w:rsidR="00070E8D" w:rsidRPr="004A5029">
        <w:rPr>
          <w:rFonts w:ascii="Times New Roman" w:hAnsi="Times New Roman" w:cs="Times New Roman"/>
          <w:bCs/>
          <w:color w:val="000000" w:themeColor="text1"/>
        </w:rPr>
        <w:t>.</w:t>
      </w:r>
      <w:r w:rsidRPr="004A5029">
        <w:rPr>
          <w:rFonts w:ascii="Times New Roman" w:hAnsi="Times New Roman" w:cs="Times New Roman"/>
          <w:bCs/>
          <w:strike/>
          <w:color w:val="000000" w:themeColor="text1"/>
        </w:rPr>
        <w:t xml:space="preserve"> </w:t>
      </w:r>
    </w:p>
    <w:p w14:paraId="6F33C98D" w14:textId="5574EFA1"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L’</w:t>
      </w:r>
      <w:r w:rsidRPr="004A5029">
        <w:rPr>
          <w:rFonts w:ascii="Times New Roman" w:hAnsi="Times New Roman" w:cs="Times New Roman"/>
          <w:b/>
          <w:strike/>
          <w:color w:val="000000" w:themeColor="text1"/>
        </w:rPr>
        <w:t>Autorità</w:t>
      </w:r>
      <w:r w:rsidR="007C6ED7" w:rsidRPr="004A5029">
        <w:rPr>
          <w:rFonts w:ascii="Times New Roman" w:hAnsi="Times New Roman" w:cs="Times New Roman"/>
          <w:b/>
          <w:color w:val="000000" w:themeColor="text1"/>
        </w:rPr>
        <w:t xml:space="preserve">ANAC </w:t>
      </w:r>
      <w:r w:rsidRPr="004A5029">
        <w:rPr>
          <w:rFonts w:ascii="Times New Roman" w:hAnsi="Times New Roman" w:cs="Times New Roman"/>
          <w:bCs/>
          <w:color w:val="000000" w:themeColor="text1"/>
        </w:rPr>
        <w:t>individua con propri provvedimenti</w:t>
      </w:r>
      <w:r w:rsidR="00FA2740" w:rsidRPr="004A5029">
        <w:rPr>
          <w:rFonts w:ascii="Times New Roman" w:hAnsi="Times New Roman" w:cs="Times New Roman"/>
          <w:bCs/>
          <w:color w:val="000000" w:themeColor="text1"/>
        </w:rPr>
        <w:t xml:space="preserve"> le</w:t>
      </w:r>
      <w:r w:rsidRPr="004A5029">
        <w:rPr>
          <w:rFonts w:ascii="Times New Roman" w:hAnsi="Times New Roman" w:cs="Times New Roman"/>
          <w:bCs/>
          <w:color w:val="000000" w:themeColor="text1"/>
        </w:rPr>
        <w:t xml:space="preserve"> </w:t>
      </w:r>
      <w:r w:rsidR="00070E8D" w:rsidRPr="004A5029">
        <w:rPr>
          <w:rFonts w:ascii="Times New Roman" w:hAnsi="Times New Roman" w:cs="Times New Roman"/>
          <w:bCs/>
          <w:color w:val="000000" w:themeColor="text1"/>
        </w:rPr>
        <w:t>s</w:t>
      </w:r>
      <w:r w:rsidRPr="004A5029">
        <w:rPr>
          <w:rFonts w:ascii="Times New Roman" w:hAnsi="Times New Roman" w:cs="Times New Roman"/>
          <w:bCs/>
          <w:color w:val="000000" w:themeColor="text1"/>
        </w:rPr>
        <w:t xml:space="preserve">ezioni </w:t>
      </w:r>
      <w:r w:rsidR="00FA2740" w:rsidRPr="004A5029">
        <w:rPr>
          <w:rFonts w:ascii="Times New Roman" w:eastAsia="Times New Roman" w:hAnsi="Times New Roman" w:cs="Times New Roman"/>
          <w:bCs/>
          <w:color w:val="000000" w:themeColor="text1"/>
          <w:lang w:eastAsia="it-IT"/>
        </w:rPr>
        <w:t>in cui si articola</w:t>
      </w:r>
      <w:r w:rsidR="00FA2740" w:rsidRPr="004A5029">
        <w:rPr>
          <w:rFonts w:ascii="Times New Roman" w:hAnsi="Times New Roman" w:cs="Times New Roman"/>
          <w:bCs/>
          <w:color w:val="000000" w:themeColor="text1"/>
        </w:rPr>
        <w:t xml:space="preserve"> la </w:t>
      </w:r>
      <w:r w:rsidRPr="004A5029">
        <w:rPr>
          <w:rFonts w:ascii="Times New Roman" w:hAnsi="Times New Roman" w:cs="Times New Roman"/>
          <w:bCs/>
          <w:color w:val="000000" w:themeColor="text1"/>
        </w:rPr>
        <w:t xml:space="preserve">banca dati di cui al comma 1 e </w:t>
      </w:r>
      <w:r w:rsidR="00FA2740" w:rsidRPr="004A5029">
        <w:rPr>
          <w:rFonts w:ascii="Times New Roman" w:hAnsi="Times New Roman" w:cs="Times New Roman"/>
          <w:bCs/>
          <w:color w:val="000000" w:themeColor="text1"/>
        </w:rPr>
        <w:t xml:space="preserve">i </w:t>
      </w:r>
      <w:r w:rsidRPr="004A5029">
        <w:rPr>
          <w:rFonts w:ascii="Times New Roman" w:hAnsi="Times New Roman" w:cs="Times New Roman"/>
          <w:bCs/>
          <w:color w:val="000000" w:themeColor="text1"/>
        </w:rPr>
        <w:t>servizi ad essa collegati.</w:t>
      </w:r>
    </w:p>
    <w:p w14:paraId="2D8DA6F7" w14:textId="62E50FCF"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La Banca dati nazionale dei contratti pubblici </w:t>
      </w:r>
      <w:r w:rsidR="00FA2740" w:rsidRPr="004A5029">
        <w:rPr>
          <w:rFonts w:ascii="Times New Roman" w:eastAsia="Times New Roman" w:hAnsi="Times New Roman" w:cs="Times New Roman"/>
          <w:bCs/>
          <w:color w:val="000000" w:themeColor="text1"/>
          <w:lang w:eastAsia="it-IT"/>
        </w:rPr>
        <w:t xml:space="preserve">è interoperabile </w:t>
      </w:r>
      <w:r w:rsidRPr="004A5029">
        <w:rPr>
          <w:rFonts w:ascii="Times New Roman" w:hAnsi="Times New Roman" w:cs="Times New Roman"/>
          <w:bCs/>
          <w:color w:val="000000" w:themeColor="text1"/>
        </w:rPr>
        <w:t>con le piattaforme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 xml:space="preserve">utilizzate dalle stazioni appaltanti </w:t>
      </w:r>
      <w:r w:rsidR="00173281" w:rsidRPr="004A5029">
        <w:rPr>
          <w:rFonts w:ascii="Times New Roman" w:hAnsi="Times New Roman" w:cs="Times New Roman"/>
          <w:b/>
          <w:color w:val="000000" w:themeColor="text1"/>
        </w:rPr>
        <w:t>e dagli enti concedenti</w:t>
      </w:r>
      <w:r w:rsidR="00173281"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e con il portale dei soggetti aggregatori di cui al decreto-legge 24 aprile 2014, n. 66, convertito, con modificazioni, dalla legge 23 giugno 2014, n. 89, per la digitalizzazione di tutte le fasi del ciclo di vita dei contratti pubblici, </w:t>
      </w:r>
      <w:r w:rsidR="00FA2740" w:rsidRPr="004A5029">
        <w:rPr>
          <w:rFonts w:ascii="Times New Roman" w:eastAsia="Times New Roman" w:hAnsi="Times New Roman" w:cs="Times New Roman"/>
          <w:bCs/>
          <w:color w:val="000000" w:themeColor="text1"/>
          <w:lang w:eastAsia="it-IT"/>
        </w:rPr>
        <w:t>nonché con la piattaforma digitale nazionale dati di cui all’articolo 50-</w:t>
      </w:r>
      <w:r w:rsidR="00FA2740" w:rsidRPr="004A5029">
        <w:rPr>
          <w:rFonts w:ascii="Times New Roman" w:eastAsia="Times New Roman" w:hAnsi="Times New Roman" w:cs="Times New Roman"/>
          <w:bCs/>
          <w:i/>
          <w:iCs/>
          <w:color w:val="000000" w:themeColor="text1"/>
          <w:lang w:eastAsia="it-IT"/>
        </w:rPr>
        <w:t>ter</w:t>
      </w:r>
      <w:r w:rsidR="00FA2740" w:rsidRPr="004A5029">
        <w:rPr>
          <w:rFonts w:ascii="Times New Roman" w:eastAsia="Times New Roman" w:hAnsi="Times New Roman" w:cs="Times New Roman"/>
          <w:bCs/>
          <w:color w:val="000000" w:themeColor="text1"/>
          <w:lang w:eastAsia="it-IT"/>
        </w:rPr>
        <w:t xml:space="preserve"> del </w:t>
      </w:r>
      <w:r w:rsidR="00571CDD" w:rsidRPr="004A5029">
        <w:rPr>
          <w:rFonts w:ascii="Times New Roman" w:eastAsia="Times New Roman" w:hAnsi="Times New Roman" w:cs="Times New Roman"/>
          <w:b/>
          <w:color w:val="000000" w:themeColor="text1"/>
          <w:lang w:eastAsia="it-IT"/>
        </w:rPr>
        <w:t>c</w:t>
      </w:r>
      <w:r w:rsidR="00571CDD" w:rsidRPr="004A5029">
        <w:rPr>
          <w:rFonts w:ascii="Times New Roman" w:hAnsi="Times New Roman" w:cs="Times New Roman"/>
          <w:b/>
          <w:color w:val="000000" w:themeColor="text1"/>
          <w:shd w:val="clear" w:color="auto" w:fill="FFFFFF"/>
        </w:rPr>
        <w:t xml:space="preserve">odice </w:t>
      </w:r>
      <w:r w:rsidR="00571CDD" w:rsidRPr="004A5029">
        <w:rPr>
          <w:rFonts w:ascii="Times New Roman" w:eastAsia="Times New Roman" w:hAnsi="Times New Roman" w:cs="Times New Roman"/>
          <w:b/>
          <w:color w:val="000000" w:themeColor="text1"/>
          <w:lang w:eastAsia="it-IT"/>
        </w:rPr>
        <w:t>di cui al</w:t>
      </w:r>
      <w:r w:rsidR="00571CDD" w:rsidRPr="004A5029">
        <w:rPr>
          <w:rFonts w:ascii="Times New Roman" w:eastAsia="Times New Roman" w:hAnsi="Times New Roman" w:cs="Times New Roman"/>
          <w:bCs/>
          <w:color w:val="000000" w:themeColor="text1"/>
          <w:lang w:eastAsia="it-IT"/>
        </w:rPr>
        <w:t xml:space="preserve"> </w:t>
      </w:r>
      <w:r w:rsidR="00FA2740"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00FA2740" w:rsidRPr="004A5029">
        <w:rPr>
          <w:rFonts w:ascii="Times New Roman" w:eastAsia="Times New Roman" w:hAnsi="Times New Roman" w:cs="Times New Roman"/>
          <w:bCs/>
          <w:color w:val="000000" w:themeColor="text1"/>
          <w:lang w:eastAsia="it-IT"/>
        </w:rPr>
        <w:t xml:space="preserve">, con le basi di dati di interesse nazionale di cui all’articolo 60 del </w:t>
      </w:r>
      <w:r w:rsidR="00FA7F03" w:rsidRPr="004A5029">
        <w:rPr>
          <w:rFonts w:ascii="Times New Roman" w:eastAsia="Times New Roman" w:hAnsi="Times New Roman" w:cs="Times New Roman"/>
          <w:b/>
          <w:color w:val="000000" w:themeColor="text1"/>
          <w:lang w:eastAsia="it-IT"/>
        </w:rPr>
        <w:t xml:space="preserve">codice </w:t>
      </w:r>
      <w:r w:rsidR="00791855" w:rsidRPr="004A5029">
        <w:rPr>
          <w:rFonts w:ascii="Times New Roman" w:eastAsia="Times New Roman" w:hAnsi="Times New Roman" w:cs="Times New Roman"/>
          <w:b/>
          <w:color w:val="000000" w:themeColor="text1"/>
          <w:lang w:eastAsia="it-IT"/>
        </w:rPr>
        <w:t>di cui al</w:t>
      </w:r>
      <w:r w:rsidR="00791855" w:rsidRPr="004A5029">
        <w:rPr>
          <w:rFonts w:ascii="Times New Roman" w:eastAsia="Times New Roman" w:hAnsi="Times New Roman" w:cs="Times New Roman"/>
          <w:bCs/>
          <w:color w:val="000000" w:themeColor="text1"/>
          <w:lang w:eastAsia="it-IT"/>
        </w:rPr>
        <w:t xml:space="preserve"> </w:t>
      </w:r>
      <w:r w:rsidR="00FA2740" w:rsidRPr="004A5029">
        <w:rPr>
          <w:rFonts w:ascii="Times New Roman" w:eastAsia="Times New Roman" w:hAnsi="Times New Roman" w:cs="Times New Roman"/>
          <w:bCs/>
          <w:color w:val="000000" w:themeColor="text1"/>
          <w:lang w:eastAsia="it-IT"/>
        </w:rPr>
        <w:t>decreto legislativo n. 82 del 2005 e con tutte le altre piattaforme e banche dati dei soggetti di cui all’articolo 2, comma 2</w:t>
      </w:r>
      <w:r w:rsidR="007C6ED7" w:rsidRPr="004A5029">
        <w:rPr>
          <w:rFonts w:ascii="Times New Roman" w:eastAsia="Times New Roman" w:hAnsi="Times New Roman" w:cs="Times New Roman"/>
          <w:b/>
          <w:color w:val="000000" w:themeColor="text1"/>
          <w:lang w:eastAsia="it-IT"/>
        </w:rPr>
        <w:t>,</w:t>
      </w:r>
      <w:r w:rsidR="00FA2740" w:rsidRPr="004A5029">
        <w:rPr>
          <w:rFonts w:ascii="Times New Roman" w:eastAsia="Times New Roman" w:hAnsi="Times New Roman" w:cs="Times New Roman"/>
          <w:bCs/>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codice</w:t>
      </w:r>
      <w:r w:rsidR="00791855" w:rsidRPr="004A5029">
        <w:rPr>
          <w:rFonts w:ascii="Times New Roman" w:eastAsia="Times New Roman" w:hAnsi="Times New Roman" w:cs="Times New Roman"/>
          <w:b/>
          <w:color w:val="000000" w:themeColor="text1"/>
          <w:lang w:eastAsia="it-IT"/>
        </w:rPr>
        <w:t xml:space="preserve"> di cui al</w:t>
      </w:r>
      <w:r w:rsidR="00791855" w:rsidRPr="004A5029">
        <w:rPr>
          <w:rFonts w:ascii="Times New Roman" w:eastAsia="Times New Roman" w:hAnsi="Times New Roman" w:cs="Times New Roman"/>
          <w:bCs/>
          <w:color w:val="000000" w:themeColor="text1"/>
          <w:lang w:eastAsia="it-IT"/>
        </w:rPr>
        <w:t xml:space="preserve"> </w:t>
      </w:r>
      <w:r w:rsidR="00FA2740" w:rsidRPr="004A5029">
        <w:rPr>
          <w:rFonts w:ascii="Times New Roman" w:eastAsia="Times New Roman" w:hAnsi="Times New Roman" w:cs="Times New Roman"/>
          <w:bCs/>
          <w:color w:val="000000" w:themeColor="text1"/>
          <w:lang w:eastAsia="it-IT"/>
        </w:rPr>
        <w:t>decreto legislativo n. 82 del 2005, coinvolti nell’attività relativa al ciclo di vita dei contratti pubblici.</w:t>
      </w:r>
      <w:r w:rsidR="00222710" w:rsidRPr="004A5029">
        <w:rPr>
          <w:rFonts w:ascii="Times New Roman" w:eastAsia="Times New Roman" w:hAnsi="Times New Roman" w:cs="Times New Roman"/>
          <w:bCs/>
          <w:color w:val="000000" w:themeColor="text1"/>
          <w:lang w:eastAsia="it-IT"/>
        </w:rPr>
        <w:t xml:space="preserve"> I soggetti di cui all'articolo 2, comma 2</w:t>
      </w:r>
      <w:r w:rsidR="00006C9D" w:rsidRPr="004A5029">
        <w:rPr>
          <w:rFonts w:ascii="Times New Roman" w:eastAsia="Times New Roman" w:hAnsi="Times New Roman" w:cs="Times New Roman"/>
          <w:bCs/>
          <w:color w:val="000000" w:themeColor="text1"/>
          <w:lang w:eastAsia="it-IT"/>
        </w:rPr>
        <w:t>,</w:t>
      </w:r>
      <w:r w:rsidR="00222710" w:rsidRPr="004A5029">
        <w:rPr>
          <w:rFonts w:ascii="Times New Roman" w:eastAsia="Times New Roman" w:hAnsi="Times New Roman" w:cs="Times New Roman"/>
          <w:bCs/>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di cui al</w:t>
      </w:r>
      <w:r w:rsidR="00FA7F03" w:rsidRPr="004A5029">
        <w:rPr>
          <w:rFonts w:ascii="Times New Roman" w:hAnsi="Times New Roman" w:cs="Times New Roman"/>
          <w:color w:val="000000" w:themeColor="text1"/>
          <w:shd w:val="clear" w:color="auto" w:fill="FFFFFF"/>
        </w:rPr>
        <w:t xml:space="preserve"> </w:t>
      </w:r>
      <w:r w:rsidR="00222710" w:rsidRPr="004A5029">
        <w:rPr>
          <w:rFonts w:ascii="Times New Roman" w:eastAsia="Times New Roman" w:hAnsi="Times New Roman" w:cs="Times New Roman"/>
          <w:bCs/>
          <w:color w:val="000000" w:themeColor="text1"/>
          <w:lang w:eastAsia="it-IT"/>
        </w:rPr>
        <w:t>decreto legislativo n. 82 del 2005, coinvolti nell’attività relativa al ciclo di vita dei contratti</w:t>
      </w:r>
      <w:r w:rsidR="00222710" w:rsidRPr="005A7A39">
        <w:rPr>
          <w:rFonts w:ascii="Times New Roman" w:eastAsia="Times New Roman" w:hAnsi="Times New Roman" w:cs="Times New Roman"/>
          <w:bCs/>
          <w:color w:val="000000" w:themeColor="text1"/>
          <w:lang w:eastAsia="it-IT"/>
        </w:rPr>
        <w:t>, ove non già accreditati alla piattaforma di cui all’articolo 50-</w:t>
      </w:r>
      <w:r w:rsidR="00222710" w:rsidRPr="005A7A39">
        <w:rPr>
          <w:rFonts w:ascii="Times New Roman" w:eastAsia="Times New Roman" w:hAnsi="Times New Roman" w:cs="Times New Roman"/>
          <w:bCs/>
          <w:i/>
          <w:iCs/>
          <w:color w:val="000000" w:themeColor="text1"/>
          <w:lang w:eastAsia="it-IT"/>
        </w:rPr>
        <w:t>ter</w:t>
      </w:r>
      <w:r w:rsidR="00222710" w:rsidRPr="005A7A39">
        <w:rPr>
          <w:rFonts w:ascii="Times New Roman" w:eastAsia="Times New Roman" w:hAnsi="Times New Roman" w:cs="Times New Roman"/>
          <w:bCs/>
          <w:color w:val="000000" w:themeColor="text1"/>
          <w:lang w:eastAsia="it-IT"/>
        </w:rPr>
        <w:t xml:space="preserve"> del </w:t>
      </w:r>
      <w:r w:rsidR="00222710" w:rsidRPr="00272101">
        <w:rPr>
          <w:rFonts w:ascii="Times New Roman" w:eastAsia="Times New Roman" w:hAnsi="Times New Roman" w:cs="Times New Roman"/>
          <w:bCs/>
          <w:color w:val="000000" w:themeColor="text1"/>
          <w:lang w:eastAsia="it-IT"/>
        </w:rPr>
        <w:t xml:space="preserve">predetto </w:t>
      </w:r>
      <w:r w:rsidR="00FA7F03" w:rsidRPr="00272101">
        <w:rPr>
          <w:rFonts w:ascii="Times New Roman" w:eastAsia="Times New Roman" w:hAnsi="Times New Roman" w:cs="Times New Roman"/>
          <w:bCs/>
          <w:color w:val="000000" w:themeColor="text1"/>
          <w:lang w:eastAsia="it-IT"/>
        </w:rPr>
        <w:t xml:space="preserve">codice </w:t>
      </w:r>
      <w:r w:rsidR="00222710" w:rsidRPr="00272101">
        <w:rPr>
          <w:rFonts w:ascii="Times New Roman" w:eastAsia="Times New Roman" w:hAnsi="Times New Roman" w:cs="Times New Roman"/>
          <w:bCs/>
          <w:color w:val="000000" w:themeColor="text1"/>
          <w:lang w:eastAsia="it-IT"/>
        </w:rPr>
        <w:t>decreto legislativo n. 82 del 2005</w:t>
      </w:r>
      <w:r w:rsidR="00222710" w:rsidRPr="005A7A39">
        <w:rPr>
          <w:rFonts w:ascii="Times New Roman" w:eastAsia="Times New Roman" w:hAnsi="Times New Roman" w:cs="Times New Roman"/>
          <w:bCs/>
          <w:color w:val="000000" w:themeColor="text1"/>
          <w:lang w:eastAsia="it-IT"/>
        </w:rPr>
        <w:t>,</w:t>
      </w:r>
      <w:r w:rsidR="00222710" w:rsidRPr="004A5029">
        <w:rPr>
          <w:rFonts w:ascii="Times New Roman" w:eastAsia="Times New Roman" w:hAnsi="Times New Roman" w:cs="Times New Roman"/>
          <w:bCs/>
          <w:color w:val="000000" w:themeColor="text1"/>
          <w:lang w:eastAsia="it-IT"/>
        </w:rPr>
        <w:t xml:space="preserve"> sono tenuti ad accreditarsi alla predetta </w:t>
      </w:r>
      <w:r w:rsidR="00222710" w:rsidRPr="00E726DA">
        <w:rPr>
          <w:rFonts w:ascii="Times New Roman" w:eastAsia="Times New Roman" w:hAnsi="Times New Roman" w:cs="Times New Roman"/>
          <w:bCs/>
          <w:color w:val="000000" w:themeColor="text1"/>
          <w:lang w:eastAsia="it-IT"/>
        </w:rPr>
        <w:t>piattaforma</w:t>
      </w:r>
      <w:r w:rsidR="00222710" w:rsidRPr="00E726DA">
        <w:rPr>
          <w:rFonts w:ascii="Times New Roman" w:eastAsia="Times New Roman" w:hAnsi="Times New Roman" w:cs="Times New Roman"/>
          <w:bCs/>
          <w:strike/>
          <w:color w:val="000000" w:themeColor="text1"/>
          <w:lang w:eastAsia="it-IT"/>
        </w:rPr>
        <w:t xml:space="preserve"> </w:t>
      </w:r>
      <w:r w:rsidR="00222710" w:rsidRPr="00272101">
        <w:rPr>
          <w:rFonts w:ascii="Times New Roman" w:eastAsia="Times New Roman" w:hAnsi="Times New Roman" w:cs="Times New Roman"/>
          <w:bCs/>
          <w:color w:val="000000" w:themeColor="text1"/>
          <w:lang w:eastAsia="it-IT"/>
        </w:rPr>
        <w:t>di cui all’articolo 50-</w:t>
      </w:r>
      <w:r w:rsidR="00222710" w:rsidRPr="00272101">
        <w:rPr>
          <w:rFonts w:ascii="Times New Roman" w:eastAsia="Times New Roman" w:hAnsi="Times New Roman" w:cs="Times New Roman"/>
          <w:bCs/>
          <w:i/>
          <w:iCs/>
          <w:color w:val="000000" w:themeColor="text1"/>
          <w:lang w:eastAsia="it-IT"/>
        </w:rPr>
        <w:t>ter</w:t>
      </w:r>
      <w:r w:rsidR="00222710" w:rsidRPr="00272101">
        <w:rPr>
          <w:rFonts w:ascii="Times New Roman" w:eastAsia="Times New Roman" w:hAnsi="Times New Roman" w:cs="Times New Roman"/>
          <w:bCs/>
          <w:color w:val="000000" w:themeColor="text1"/>
          <w:lang w:eastAsia="it-IT"/>
        </w:rPr>
        <w:t xml:space="preserve"> del decreto legislativo n. 82 del 2005</w:t>
      </w:r>
      <w:r w:rsidR="00491535" w:rsidRPr="00E726DA">
        <w:rPr>
          <w:rFonts w:ascii="Times New Roman" w:eastAsia="Times New Roman" w:hAnsi="Times New Roman" w:cs="Times New Roman"/>
          <w:b/>
          <w:color w:val="000000" w:themeColor="text1"/>
          <w:lang w:eastAsia="it-IT"/>
        </w:rPr>
        <w:t>,</w:t>
      </w:r>
      <w:r w:rsidR="00222710" w:rsidRPr="00E726DA">
        <w:rPr>
          <w:rFonts w:ascii="Times New Roman" w:eastAsia="Times New Roman" w:hAnsi="Times New Roman" w:cs="Times New Roman"/>
          <w:bCs/>
          <w:color w:val="000000" w:themeColor="text1"/>
          <w:lang w:eastAsia="it-IT"/>
        </w:rPr>
        <w:t xml:space="preserve"> nonché alla Banca dati nazionale dei contratti pubblici, a sviluppare le interfacce applicative e a rendere disponibili le proprie basi dati, senza nuovi o maggiori oneri per la finanza pubblica e nel rispetto delle </w:t>
      </w:r>
      <w:r w:rsidR="00222710" w:rsidRPr="00E726DA">
        <w:rPr>
          <w:rFonts w:ascii="Times New Roman" w:eastAsia="Times New Roman" w:hAnsi="Times New Roman" w:cs="Times New Roman"/>
          <w:b/>
          <w:strike/>
          <w:color w:val="000000" w:themeColor="text1"/>
          <w:lang w:eastAsia="it-IT"/>
        </w:rPr>
        <w:t>Linee Guida AgID</w:t>
      </w:r>
      <w:r w:rsidR="00222710" w:rsidRPr="004A5029">
        <w:rPr>
          <w:rFonts w:ascii="Times New Roman" w:eastAsia="Times New Roman" w:hAnsi="Times New Roman" w:cs="Times New Roman"/>
          <w:b/>
          <w:color w:val="000000" w:themeColor="text1"/>
          <w:lang w:eastAsia="it-IT"/>
        </w:rPr>
        <w:t xml:space="preserve"> </w:t>
      </w:r>
      <w:r w:rsidR="007E3715" w:rsidRPr="004A5029">
        <w:rPr>
          <w:rFonts w:ascii="Times New Roman" w:eastAsia="Times New Roman" w:hAnsi="Times New Roman" w:cs="Times New Roman"/>
          <w:b/>
          <w:color w:val="000000" w:themeColor="text1"/>
          <w:lang w:eastAsia="it-IT"/>
        </w:rPr>
        <w:t xml:space="preserve">linee guida </w:t>
      </w:r>
      <w:r w:rsidR="007E3715" w:rsidRPr="004A5029">
        <w:rPr>
          <w:rFonts w:ascii="Times New Roman" w:hAnsi="Times New Roman" w:cs="Times New Roman"/>
          <w:b/>
          <w:color w:val="000000" w:themeColor="text1"/>
        </w:rPr>
        <w:t>dell’Agenzia per l’Italia digitale (AGID)</w:t>
      </w:r>
      <w:r w:rsidR="007E3715" w:rsidRPr="004A5029">
        <w:rPr>
          <w:rFonts w:ascii="Times New Roman" w:hAnsi="Times New Roman" w:cs="Times New Roman"/>
          <w:color w:val="000000" w:themeColor="text1"/>
        </w:rPr>
        <w:t xml:space="preserve"> </w:t>
      </w:r>
      <w:r w:rsidR="00222710" w:rsidRPr="004A5029">
        <w:rPr>
          <w:rFonts w:ascii="Times New Roman" w:eastAsia="Times New Roman" w:hAnsi="Times New Roman" w:cs="Times New Roman"/>
          <w:bCs/>
          <w:color w:val="000000" w:themeColor="text1"/>
          <w:lang w:eastAsia="it-IT"/>
        </w:rPr>
        <w:t>in materia di interoperabilità.</w:t>
      </w:r>
    </w:p>
    <w:p w14:paraId="292F175E" w14:textId="5AE82400"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La Banca dati nazionale dei contratti pubblici rende disponibili mediante interoperabilità i servizi e le informazioni necessari allo svolgimento delle fasi dell’intero ciclo di vita dei contratti pubblici, anche </w:t>
      </w:r>
      <w:r w:rsidRPr="004A5029">
        <w:rPr>
          <w:rFonts w:ascii="Times New Roman" w:hAnsi="Times New Roman" w:cs="Times New Roman"/>
          <w:b/>
          <w:strike/>
          <w:color w:val="000000" w:themeColor="text1"/>
        </w:rPr>
        <w:t>per</w:t>
      </w:r>
      <w:r w:rsidR="00AA27F8" w:rsidRPr="004A5029">
        <w:rPr>
          <w:rFonts w:ascii="Times New Roman" w:hAnsi="Times New Roman" w:cs="Times New Roman"/>
          <w:b/>
          <w:color w:val="000000" w:themeColor="text1"/>
        </w:rPr>
        <w:t xml:space="preserve"> ai fini del rispetto di</w:t>
      </w:r>
      <w:r w:rsidRPr="004A5029">
        <w:rPr>
          <w:rFonts w:ascii="Times New Roman" w:hAnsi="Times New Roman" w:cs="Times New Roman"/>
          <w:bCs/>
          <w:color w:val="000000" w:themeColor="text1"/>
        </w:rPr>
        <w:t xml:space="preserve"> quanto previsto dal decreto legislativo 14 marzo 2013, n. 33. La stessa Banca dati si integra con la </w:t>
      </w:r>
      <w:r w:rsidRPr="004A5029">
        <w:rPr>
          <w:rFonts w:ascii="Times New Roman" w:hAnsi="Times New Roman" w:cs="Times New Roman"/>
          <w:b/>
          <w:strike/>
          <w:color w:val="000000" w:themeColor="text1"/>
        </w:rPr>
        <w:t>P</w:t>
      </w:r>
      <w:r w:rsidR="0031695C" w:rsidRPr="004A5029">
        <w:rPr>
          <w:rFonts w:ascii="Times New Roman" w:hAnsi="Times New Roman" w:cs="Times New Roman"/>
          <w:b/>
          <w:color w:val="000000" w:themeColor="text1"/>
        </w:rPr>
        <w:t>p</w:t>
      </w:r>
      <w:r w:rsidRPr="004A5029">
        <w:rPr>
          <w:rFonts w:ascii="Times New Roman" w:hAnsi="Times New Roman" w:cs="Times New Roman"/>
          <w:bCs/>
          <w:color w:val="000000" w:themeColor="text1"/>
        </w:rPr>
        <w:t>iattaforma unica della trasparenza istituita presso l’ANAC.</w:t>
      </w:r>
    </w:p>
    <w:p w14:paraId="753E71F5" w14:textId="33C30A8F"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Con proprio provvedimento l’ANAC individua le informazioni che le stazioni appaltanti </w:t>
      </w:r>
      <w:r w:rsidR="00173281" w:rsidRPr="004A5029">
        <w:rPr>
          <w:rFonts w:ascii="Times New Roman" w:hAnsi="Times New Roman" w:cs="Times New Roman"/>
          <w:b/>
          <w:color w:val="000000" w:themeColor="text1"/>
        </w:rPr>
        <w:t>e gli enti concedenti</w:t>
      </w:r>
      <w:r w:rsidR="00173281"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sono </w:t>
      </w:r>
      <w:r w:rsidRPr="004A5029">
        <w:rPr>
          <w:rFonts w:ascii="Times New Roman" w:hAnsi="Times New Roman" w:cs="Times New Roman"/>
          <w:b/>
          <w:strike/>
          <w:color w:val="000000" w:themeColor="text1"/>
        </w:rPr>
        <w:t>tenute</w:t>
      </w:r>
      <w:r w:rsidRPr="004A5029">
        <w:rPr>
          <w:rFonts w:ascii="Times New Roman" w:hAnsi="Times New Roman" w:cs="Times New Roman"/>
          <w:b/>
          <w:color w:val="000000" w:themeColor="text1"/>
        </w:rPr>
        <w:t xml:space="preserve"> </w:t>
      </w:r>
      <w:r w:rsidR="00173281" w:rsidRPr="004A5029">
        <w:rPr>
          <w:rFonts w:ascii="Times New Roman" w:hAnsi="Times New Roman" w:cs="Times New Roman"/>
          <w:b/>
          <w:color w:val="000000" w:themeColor="text1"/>
        </w:rPr>
        <w:t>tenuti</w:t>
      </w:r>
      <w:r w:rsidR="00173281"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a trasmettere alla Banca dati nazionale dei contratti pubblici attraverso le piattaforme telematiche di cui all’articolo 25. </w:t>
      </w:r>
      <w:r w:rsidR="00823469" w:rsidRPr="004A5029">
        <w:rPr>
          <w:rFonts w:ascii="Times New Roman" w:hAnsi="Times New Roman" w:cs="Times New Roman"/>
          <w:b/>
          <w:color w:val="000000" w:themeColor="text1"/>
        </w:rPr>
        <w:t xml:space="preserve">Gli obblighi informativi di cui al primo periodo </w:t>
      </w:r>
      <w:r w:rsidR="00E9423B" w:rsidRPr="004A5029">
        <w:rPr>
          <w:rFonts w:ascii="Times New Roman" w:hAnsi="Times New Roman" w:cs="Times New Roman"/>
          <w:b/>
          <w:color w:val="000000" w:themeColor="text1"/>
        </w:rPr>
        <w:t>riguardano</w:t>
      </w:r>
      <w:r w:rsidR="00823469" w:rsidRPr="004A5029">
        <w:rPr>
          <w:rFonts w:ascii="Times New Roman" w:hAnsi="Times New Roman" w:cs="Times New Roman"/>
          <w:b/>
          <w:color w:val="000000" w:themeColor="text1"/>
        </w:rPr>
        <w:t xml:space="preserve"> anche gli affidamenti diretti a società </w:t>
      </w:r>
      <w:r w:rsidR="00823469" w:rsidRPr="004A5029">
        <w:rPr>
          <w:rFonts w:ascii="Times New Roman" w:hAnsi="Times New Roman" w:cs="Times New Roman"/>
          <w:b/>
          <w:i/>
          <w:iCs/>
          <w:color w:val="000000" w:themeColor="text1"/>
        </w:rPr>
        <w:t>in house</w:t>
      </w:r>
      <w:r w:rsidR="00823469" w:rsidRPr="004A5029">
        <w:rPr>
          <w:rFonts w:ascii="Times New Roman" w:hAnsi="Times New Roman" w:cs="Times New Roman"/>
          <w:b/>
          <w:color w:val="000000" w:themeColor="text1"/>
        </w:rPr>
        <w:t xml:space="preserve"> di cui all’articolo 7, comma 2.</w:t>
      </w:r>
      <w:r w:rsidR="00823469" w:rsidRPr="004A5029">
        <w:rPr>
          <w:rFonts w:ascii="Times New Roman" w:hAnsi="Times New Roman" w:cs="Times New Roman"/>
          <w:bCs/>
          <w:color w:val="000000" w:themeColor="text1"/>
        </w:rPr>
        <w:t xml:space="preserve"> </w:t>
      </w:r>
      <w:r w:rsidR="00222710" w:rsidRPr="004A5029">
        <w:rPr>
          <w:rFonts w:ascii="Times New Roman" w:hAnsi="Times New Roman" w:cs="Times New Roman"/>
          <w:bCs/>
          <w:color w:val="000000" w:themeColor="text1"/>
        </w:rPr>
        <w:t xml:space="preserve">Con proprio </w:t>
      </w:r>
      <w:r w:rsidRPr="004A5029">
        <w:rPr>
          <w:rFonts w:ascii="Times New Roman" w:hAnsi="Times New Roman" w:cs="Times New Roman"/>
          <w:bCs/>
          <w:color w:val="000000" w:themeColor="text1"/>
        </w:rPr>
        <w:t xml:space="preserve">provvedimento l’ANAC individua i tempi entro i quali i titolari delle piattaforme e delle banche dati di cui </w:t>
      </w:r>
      <w:r w:rsidRPr="004A5029">
        <w:rPr>
          <w:rFonts w:ascii="Times New Roman" w:hAnsi="Times New Roman" w:cs="Times New Roman"/>
          <w:b/>
          <w:strike/>
          <w:color w:val="000000" w:themeColor="text1"/>
        </w:rPr>
        <w:t>all’articolo 22 e al comma 3 del presente articolo</w:t>
      </w:r>
      <w:r w:rsidR="0031695C" w:rsidRPr="004A5029">
        <w:rPr>
          <w:rFonts w:ascii="Times New Roman" w:hAnsi="Times New Roman" w:cs="Times New Roman"/>
          <w:b/>
          <w:i/>
          <w:iCs/>
          <w:color w:val="000000" w:themeColor="text1"/>
        </w:rPr>
        <w:t xml:space="preserve"> </w:t>
      </w:r>
      <w:r w:rsidR="0031695C" w:rsidRPr="004A5029">
        <w:rPr>
          <w:rFonts w:ascii="Times New Roman" w:hAnsi="Times New Roman" w:cs="Times New Roman"/>
          <w:b/>
          <w:color w:val="000000" w:themeColor="text1"/>
        </w:rPr>
        <w:t>al comma 3 e all’articolo 22</w:t>
      </w:r>
      <w:r w:rsidRPr="004A5029">
        <w:rPr>
          <w:rFonts w:ascii="Times New Roman" w:hAnsi="Times New Roman" w:cs="Times New Roman"/>
          <w:bCs/>
          <w:color w:val="000000" w:themeColor="text1"/>
        </w:rPr>
        <w:t xml:space="preserve">, garantiscono l’integrazione con i servizi abilitanti l'ecosistema di approvvigionamento digitale. L’integrazione è realizzata attraverso i servizi digitali resi disponibili da ANAC sulla </w:t>
      </w:r>
      <w:r w:rsidR="00491535" w:rsidRPr="004A5029">
        <w:rPr>
          <w:rFonts w:ascii="Times New Roman" w:hAnsi="Times New Roman" w:cs="Times New Roman"/>
          <w:b/>
          <w:color w:val="000000" w:themeColor="text1"/>
        </w:rPr>
        <w:t>p</w:t>
      </w:r>
      <w:r w:rsidRPr="004A5029">
        <w:rPr>
          <w:rFonts w:ascii="Times New Roman" w:hAnsi="Times New Roman" w:cs="Times New Roman"/>
          <w:bCs/>
          <w:color w:val="000000" w:themeColor="text1"/>
        </w:rPr>
        <w:t>iattaforma digitale nazionale dati, di cui all’articolo 50-</w:t>
      </w:r>
      <w:r w:rsidRPr="004A5029">
        <w:rPr>
          <w:rFonts w:ascii="Times New Roman" w:hAnsi="Times New Roman" w:cs="Times New Roman"/>
          <w:bCs/>
          <w:i/>
          <w:iCs/>
          <w:color w:val="000000" w:themeColor="text1"/>
        </w:rPr>
        <w:t>ter</w:t>
      </w:r>
      <w:r w:rsidRPr="004A5029">
        <w:rPr>
          <w:rFonts w:ascii="Times New Roman" w:hAnsi="Times New Roman" w:cs="Times New Roman"/>
          <w:bCs/>
          <w:color w:val="000000" w:themeColor="text1"/>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di cui al</w:t>
      </w:r>
      <w:r w:rsidR="00FA7F03" w:rsidRPr="004A5029">
        <w:rPr>
          <w:rFonts w:ascii="Times New Roman" w:hAnsi="Times New Roman" w:cs="Times New Roman"/>
          <w:color w:val="000000" w:themeColor="text1"/>
          <w:shd w:val="clear" w:color="auto" w:fill="FFFFFF"/>
        </w:rPr>
        <w:t xml:space="preserve"> </w:t>
      </w:r>
      <w:r w:rsidRPr="004A5029">
        <w:rPr>
          <w:rFonts w:ascii="Times New Roman" w:hAnsi="Times New Roman" w:cs="Times New Roman"/>
          <w:bCs/>
          <w:color w:val="000000" w:themeColor="text1"/>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hAnsi="Times New Roman" w:cs="Times New Roman"/>
          <w:b/>
          <w:bCs/>
          <w:color w:val="000000" w:themeColor="text1"/>
        </w:rPr>
        <w:t>,</w:t>
      </w:r>
      <w:r w:rsidRPr="004A5029">
        <w:rPr>
          <w:rFonts w:ascii="Times New Roman" w:hAnsi="Times New Roman" w:cs="Times New Roman"/>
          <w:bCs/>
          <w:color w:val="000000" w:themeColor="text1"/>
        </w:rPr>
        <w:t xml:space="preserve"> nel rispetto delle relative regole tecniche.</w:t>
      </w:r>
    </w:p>
    <w:p w14:paraId="53CF69D8" w14:textId="3C7FD083"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L’ANAC</w:t>
      </w:r>
      <w:r w:rsidR="00070E8D"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rende disponibili ai sistemi informativi regionali competenti per territorio</w:t>
      </w:r>
      <w:r w:rsidR="00222710" w:rsidRPr="004A5029">
        <w:rPr>
          <w:rFonts w:ascii="Times New Roman" w:hAnsi="Times New Roman" w:cs="Times New Roman"/>
          <w:bCs/>
          <w:color w:val="000000" w:themeColor="text1"/>
        </w:rPr>
        <w:t xml:space="preserve">, </w:t>
      </w:r>
      <w:r w:rsidR="00222710" w:rsidRPr="004A5029">
        <w:rPr>
          <w:rFonts w:ascii="Times New Roman" w:eastAsia="Times New Roman" w:hAnsi="Times New Roman" w:cs="Times New Roman"/>
          <w:bCs/>
          <w:color w:val="000000" w:themeColor="text1"/>
          <w:lang w:eastAsia="it-IT"/>
        </w:rPr>
        <w:t>nonché alle pubbliche amministrazioni,</w:t>
      </w:r>
      <w:r w:rsidRPr="004A5029">
        <w:rPr>
          <w:rFonts w:ascii="Times New Roman" w:hAnsi="Times New Roman" w:cs="Times New Roman"/>
          <w:bCs/>
          <w:color w:val="000000" w:themeColor="text1"/>
        </w:rPr>
        <w:t xml:space="preserve"> le informazioni necessarie allo svolgimento dei compiti istituzionali</w:t>
      </w:r>
      <w:r w:rsidR="00222710" w:rsidRPr="004A5029">
        <w:rPr>
          <w:rFonts w:ascii="Times New Roman" w:hAnsi="Times New Roman" w:cs="Times New Roman"/>
          <w:bCs/>
          <w:color w:val="000000" w:themeColor="text1"/>
        </w:rPr>
        <w:t xml:space="preserve">, </w:t>
      </w:r>
      <w:r w:rsidR="00222710" w:rsidRPr="004A5029">
        <w:rPr>
          <w:rFonts w:ascii="Times New Roman" w:eastAsia="Times New Roman" w:hAnsi="Times New Roman" w:cs="Times New Roman"/>
          <w:bCs/>
          <w:color w:val="000000" w:themeColor="text1"/>
          <w:lang w:eastAsia="it-IT"/>
        </w:rPr>
        <w:t xml:space="preserve">ai sensi </w:t>
      </w:r>
      <w:r w:rsidR="000A1F1C" w:rsidRPr="004A5029">
        <w:rPr>
          <w:rFonts w:ascii="Times New Roman" w:eastAsia="Times New Roman" w:hAnsi="Times New Roman" w:cs="Times New Roman"/>
          <w:bCs/>
          <w:color w:val="000000" w:themeColor="text1"/>
          <w:lang w:eastAsia="it-IT"/>
        </w:rPr>
        <w:t xml:space="preserve">degli articoli </w:t>
      </w:r>
      <w:r w:rsidR="00222710" w:rsidRPr="004A5029">
        <w:rPr>
          <w:rFonts w:ascii="Times New Roman" w:eastAsia="Times New Roman" w:hAnsi="Times New Roman" w:cs="Times New Roman"/>
          <w:bCs/>
          <w:color w:val="000000" w:themeColor="text1"/>
          <w:lang w:eastAsia="it-IT"/>
        </w:rPr>
        <w:t>50 e 50-</w:t>
      </w:r>
      <w:r w:rsidR="00222710" w:rsidRPr="004A5029">
        <w:rPr>
          <w:rFonts w:ascii="Times New Roman" w:eastAsia="Times New Roman" w:hAnsi="Times New Roman" w:cs="Times New Roman"/>
          <w:bCs/>
          <w:i/>
          <w:iCs/>
          <w:color w:val="000000" w:themeColor="text1"/>
          <w:lang w:eastAsia="it-IT"/>
        </w:rPr>
        <w:t>ter</w:t>
      </w:r>
      <w:r w:rsidR="00222710" w:rsidRPr="004A5029">
        <w:rPr>
          <w:rFonts w:ascii="Times New Roman" w:eastAsia="Times New Roman" w:hAnsi="Times New Roman" w:cs="Times New Roman"/>
          <w:bCs/>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di cui al</w:t>
      </w:r>
      <w:r w:rsidR="00FA7F03" w:rsidRPr="004A5029">
        <w:rPr>
          <w:rFonts w:ascii="Times New Roman" w:hAnsi="Times New Roman" w:cs="Times New Roman"/>
          <w:color w:val="000000" w:themeColor="text1"/>
          <w:shd w:val="clear" w:color="auto" w:fill="FFFFFF"/>
        </w:rPr>
        <w:t xml:space="preserve"> </w:t>
      </w:r>
      <w:r w:rsidR="00222710"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hAnsi="Times New Roman" w:cs="Times New Roman"/>
          <w:color w:val="000000" w:themeColor="text1"/>
        </w:rPr>
        <w:t>.</w:t>
      </w:r>
      <w:r w:rsidRPr="004A5029">
        <w:rPr>
          <w:rFonts w:ascii="Times New Roman" w:hAnsi="Times New Roman" w:cs="Times New Roman"/>
          <w:bCs/>
          <w:color w:val="000000" w:themeColor="text1"/>
        </w:rPr>
        <w:t xml:space="preserve"> </w:t>
      </w:r>
    </w:p>
    <w:p w14:paraId="5AD5E9F8" w14:textId="521BA43C" w:rsidR="00222710" w:rsidRPr="004A5029" w:rsidRDefault="00222710" w:rsidP="00222710">
      <w:pPr>
        <w:widowControl w:val="0"/>
        <w:pBdr>
          <w:top w:val="nil"/>
          <w:left w:val="nil"/>
          <w:bottom w:val="nil"/>
          <w:right w:val="nil"/>
          <w:between w:val="nil"/>
        </w:pBdr>
        <w:tabs>
          <w:tab w:val="left" w:pos="434"/>
        </w:tabs>
        <w:ind w:right="-1"/>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7. Nei casi in cui si omettano informazioni o attività necessarie a garantire l’interoperabilità dei dati, l’ANAC effettua una segnalazione </w:t>
      </w:r>
      <w:r w:rsidRPr="004A5029">
        <w:rPr>
          <w:rFonts w:ascii="Times New Roman" w:eastAsia="Times New Roman" w:hAnsi="Times New Roman" w:cs="Times New Roman"/>
          <w:b/>
          <w:strike/>
          <w:color w:val="000000" w:themeColor="text1"/>
          <w:lang w:eastAsia="it-IT"/>
        </w:rPr>
        <w:t>ad AgID</w:t>
      </w:r>
      <w:r w:rsidR="006A7679" w:rsidRPr="004A5029">
        <w:rPr>
          <w:rFonts w:ascii="Times New Roman" w:eastAsia="Times New Roman" w:hAnsi="Times New Roman" w:cs="Times New Roman"/>
          <w:b/>
          <w:color w:val="000000" w:themeColor="text1"/>
          <w:lang w:eastAsia="it-IT"/>
        </w:rPr>
        <w:t xml:space="preserve"> all’</w:t>
      </w:r>
      <w:r w:rsidR="0031695C" w:rsidRPr="004A5029">
        <w:rPr>
          <w:rFonts w:ascii="Times New Roman" w:eastAsia="Times New Roman" w:hAnsi="Times New Roman" w:cs="Times New Roman"/>
          <w:b/>
          <w:color w:val="000000" w:themeColor="text1"/>
          <w:lang w:eastAsia="it-IT"/>
        </w:rPr>
        <w:t>AGID</w:t>
      </w:r>
      <w:r w:rsidR="0031695C" w:rsidRPr="004A5029">
        <w:rPr>
          <w:rFonts w:ascii="Times New Roman" w:eastAsia="Times New Roman" w:hAnsi="Times New Roman" w:cs="Times New Roman"/>
          <w:bCs/>
          <w:color w:val="000000" w:themeColor="text1"/>
          <w:lang w:eastAsia="it-IT"/>
        </w:rPr>
        <w:t xml:space="preserve"> </w:t>
      </w:r>
      <w:r w:rsidRPr="004A5029">
        <w:rPr>
          <w:rFonts w:ascii="Times New Roman" w:eastAsia="Times New Roman" w:hAnsi="Times New Roman" w:cs="Times New Roman"/>
          <w:bCs/>
          <w:color w:val="000000" w:themeColor="text1"/>
          <w:lang w:eastAsia="it-IT"/>
        </w:rPr>
        <w:t>per l’esercizio dei poteri sanzionatori di cui all’articolo 18-</w:t>
      </w:r>
      <w:r w:rsidRPr="004A5029">
        <w:rPr>
          <w:rFonts w:ascii="Times New Roman" w:eastAsia="Times New Roman" w:hAnsi="Times New Roman" w:cs="Times New Roman"/>
          <w:bCs/>
          <w:i/>
          <w:iCs/>
          <w:color w:val="000000" w:themeColor="text1"/>
          <w:lang w:eastAsia="it-IT"/>
        </w:rPr>
        <w:t xml:space="preserve">bis </w:t>
      </w:r>
      <w:r w:rsidRPr="004A5029">
        <w:rPr>
          <w:rFonts w:ascii="Times New Roman" w:eastAsia="Times New Roman" w:hAnsi="Times New Roman" w:cs="Times New Roman"/>
          <w:bCs/>
          <w:color w:val="000000" w:themeColor="text1"/>
          <w:lang w:eastAsia="it-IT"/>
        </w:rPr>
        <w:t xml:space="preserve">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di cui al</w:t>
      </w:r>
      <w:r w:rsidR="00FA7F03" w:rsidRPr="004A5029">
        <w:rPr>
          <w:rFonts w:ascii="Times New Roman" w:hAnsi="Times New Roman" w:cs="Times New Roman"/>
          <w:color w:val="000000" w:themeColor="text1"/>
          <w:shd w:val="clear" w:color="auto" w:fill="FFFFFF"/>
        </w:rPr>
        <w:t xml:space="preserve"> </w:t>
      </w:r>
      <w:r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eastAsia="Times New Roman" w:hAnsi="Times New Roman" w:cs="Times New Roman"/>
          <w:bCs/>
          <w:color w:val="000000" w:themeColor="text1"/>
          <w:lang w:eastAsia="it-IT"/>
        </w:rPr>
        <w:t xml:space="preserve">. </w:t>
      </w:r>
    </w:p>
    <w:p w14:paraId="5B7DBF1C" w14:textId="0978620C" w:rsidR="00222710" w:rsidRPr="004A5029" w:rsidRDefault="00222710" w:rsidP="007500E8">
      <w:pPr>
        <w:widowControl w:val="0"/>
        <w:pBdr>
          <w:top w:val="nil"/>
          <w:left w:val="nil"/>
          <w:bottom w:val="nil"/>
          <w:right w:val="nil"/>
          <w:between w:val="nil"/>
        </w:pBdr>
        <w:tabs>
          <w:tab w:val="left" w:pos="434"/>
        </w:tabs>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8. L’omissione di informazioni richieste, il rifiuto o l’omissione di attività necessarie a garantire l’interoperabilità delle banche dati coinvolte nel ciclo di vita dei contratti pubblici costituisce violazione di obblighi di transizione digitale punibili ai sensi dell’articolo 18-</w:t>
      </w:r>
      <w:r w:rsidRPr="004A5029">
        <w:rPr>
          <w:rFonts w:ascii="Times New Roman" w:eastAsia="Times New Roman" w:hAnsi="Times New Roman" w:cs="Times New Roman"/>
          <w:bCs/>
          <w:i/>
          <w:iCs/>
          <w:color w:val="000000" w:themeColor="text1"/>
          <w:lang w:eastAsia="it-IT"/>
        </w:rPr>
        <w:t>bis</w:t>
      </w:r>
      <w:r w:rsidRPr="004A5029">
        <w:rPr>
          <w:rFonts w:ascii="Times New Roman" w:eastAsia="Times New Roman" w:hAnsi="Times New Roman" w:cs="Times New Roman"/>
          <w:bCs/>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di cui al</w:t>
      </w:r>
      <w:r w:rsidR="00FA7F03" w:rsidRPr="004A5029">
        <w:rPr>
          <w:rFonts w:ascii="Times New Roman" w:hAnsi="Times New Roman" w:cs="Times New Roman"/>
          <w:color w:val="000000" w:themeColor="text1"/>
          <w:shd w:val="clear" w:color="auto" w:fill="FFFFFF"/>
        </w:rPr>
        <w:t xml:space="preserve"> </w:t>
      </w:r>
      <w:r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b/>
          <w:bCs/>
          <w:strike/>
          <w:color w:val="000000" w:themeColor="text1"/>
          <w:lang w:eastAsia="it-IT"/>
        </w:rPr>
        <w:t>7 marzo 2005,</w:t>
      </w:r>
      <w:r w:rsidR="009908D0" w:rsidRPr="004A5029">
        <w:rPr>
          <w:rFonts w:ascii="Times New Roman" w:eastAsia="Times New Roman" w:hAnsi="Times New Roman" w:cs="Times New Roman"/>
          <w:strike/>
          <w:color w:val="000000" w:themeColor="text1"/>
          <w:lang w:eastAsia="it-IT"/>
        </w:rPr>
        <w:t xml:space="preserve"> </w:t>
      </w:r>
      <w:r w:rsidR="009908D0" w:rsidRPr="004A5029">
        <w:rPr>
          <w:rFonts w:ascii="Times New Roman" w:eastAsia="Times New Roman" w:hAnsi="Times New Roman" w:cs="Times New Roman"/>
          <w:color w:val="000000" w:themeColor="text1"/>
          <w:lang w:eastAsia="it-IT"/>
        </w:rPr>
        <w:t xml:space="preserve">n. 82 </w:t>
      </w:r>
      <w:r w:rsidR="009908D0" w:rsidRPr="004A5029">
        <w:rPr>
          <w:rFonts w:ascii="Times New Roman" w:eastAsia="Times New Roman" w:hAnsi="Times New Roman" w:cs="Times New Roman"/>
          <w:b/>
          <w:bCs/>
          <w:color w:val="000000" w:themeColor="text1"/>
          <w:lang w:eastAsia="it-IT"/>
        </w:rPr>
        <w:t>del 2005</w:t>
      </w:r>
      <w:r w:rsidRPr="004A5029">
        <w:rPr>
          <w:rFonts w:ascii="Times New Roman" w:eastAsia="Times New Roman" w:hAnsi="Times New Roman" w:cs="Times New Roman"/>
          <w:bCs/>
          <w:color w:val="000000" w:themeColor="text1"/>
          <w:lang w:eastAsia="it-IT"/>
        </w:rPr>
        <w:t>.</w:t>
      </w:r>
    </w:p>
    <w:p w14:paraId="157349E3" w14:textId="223F4588" w:rsidR="004C4996" w:rsidRPr="004A5029" w:rsidRDefault="004C4996" w:rsidP="00222710">
      <w:pPr>
        <w:widowControl w:val="0"/>
        <w:pBdr>
          <w:top w:val="nil"/>
          <w:left w:val="nil"/>
          <w:bottom w:val="nil"/>
          <w:right w:val="nil"/>
          <w:between w:val="nil"/>
        </w:pBdr>
        <w:tabs>
          <w:tab w:val="left" w:pos="434"/>
        </w:tabs>
        <w:spacing w:before="70" w:after="0"/>
        <w:ind w:right="-1"/>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9. </w:t>
      </w:r>
      <w:bookmarkStart w:id="15" w:name="_Hlk123332793"/>
      <w:r w:rsidRPr="004A5029">
        <w:rPr>
          <w:rFonts w:ascii="Times New Roman" w:eastAsia="Times New Roman" w:hAnsi="Times New Roman" w:cs="Times New Roman"/>
          <w:bCs/>
          <w:color w:val="000000" w:themeColor="text1"/>
          <w:lang w:eastAsia="it-IT"/>
        </w:rPr>
        <w:t>Al fine di ridurre gli oneri amministrativi dei soggetti attuatori i dati di cui al presente articolo possono essere utilizzati nell’ambito delle procedure concernenti i finanziamenti degli investimenti pubblici come strumento di verifica dell’effettivo utilizzo delle risorse e di avanzamento procedurale nei tempi previsti dalle leggi di spesa.</w:t>
      </w:r>
      <w:bookmarkEnd w:id="15"/>
    </w:p>
    <w:p w14:paraId="187F57B8" w14:textId="77777777" w:rsidR="00446F27" w:rsidRPr="004A5029" w:rsidRDefault="00446F27" w:rsidP="00446F27">
      <w:pPr>
        <w:rPr>
          <w:rFonts w:ascii="Times New Roman" w:hAnsi="Times New Roman" w:cs="Times New Roman"/>
          <w:color w:val="000000" w:themeColor="text1"/>
        </w:rPr>
      </w:pPr>
    </w:p>
    <w:p w14:paraId="64B11C2D"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24.</w:t>
      </w:r>
    </w:p>
    <w:p w14:paraId="5E5AD076" w14:textId="77777777" w:rsidR="00446F27" w:rsidRPr="004A5029" w:rsidRDefault="00446F27" w:rsidP="00446F27">
      <w:pPr>
        <w:widowControl w:val="0"/>
        <w:jc w:val="both"/>
        <w:rPr>
          <w:rFonts w:ascii="Times New Roman" w:hAnsi="Times New Roman" w:cs="Times New Roman"/>
          <w:b/>
          <w:color w:val="000000" w:themeColor="text1"/>
        </w:rPr>
      </w:pPr>
      <w:r w:rsidRPr="004A5029">
        <w:rPr>
          <w:rFonts w:ascii="Times New Roman" w:hAnsi="Times New Roman" w:cs="Times New Roman"/>
          <w:i/>
          <w:color w:val="000000" w:themeColor="text1"/>
        </w:rPr>
        <w:t>Fascicolo virtuale dell’operatore economico.</w:t>
      </w:r>
    </w:p>
    <w:p w14:paraId="023189B6" w14:textId="25977250"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Presso la Banca dati nazionale dei contratti pubblici </w:t>
      </w:r>
      <w:r w:rsidRPr="004A5029">
        <w:rPr>
          <w:rFonts w:ascii="Times New Roman" w:hAnsi="Times New Roman" w:cs="Times New Roman"/>
          <w:bCs/>
          <w:color w:val="000000" w:themeColor="text1"/>
        </w:rPr>
        <w:t>opera</w:t>
      </w:r>
      <w:r w:rsidRPr="004A5029">
        <w:rPr>
          <w:rFonts w:ascii="Times New Roman" w:hAnsi="Times New Roman" w:cs="Times New Roman"/>
          <w:color w:val="000000" w:themeColor="text1"/>
        </w:rPr>
        <w:t xml:space="preserve"> il fascicolo virtuale dell'operatore economico</w:t>
      </w:r>
      <w:r w:rsidR="00070E8D" w:rsidRPr="004A5029">
        <w:rPr>
          <w:rFonts w:ascii="Times New Roman" w:hAnsi="Times New Roman" w:cs="Times New Roman"/>
          <w:color w:val="000000" w:themeColor="text1"/>
        </w:rPr>
        <w:t xml:space="preserve"> </w:t>
      </w:r>
      <w:r w:rsidR="00222710" w:rsidRPr="004A5029">
        <w:rPr>
          <w:rFonts w:ascii="Times New Roman" w:hAnsi="Times New Roman" w:cs="Times New Roman"/>
          <w:color w:val="000000" w:themeColor="text1"/>
        </w:rPr>
        <w:t xml:space="preserve">che consente </w:t>
      </w:r>
      <w:r w:rsidRPr="004A5029">
        <w:rPr>
          <w:rFonts w:ascii="Times New Roman" w:hAnsi="Times New Roman" w:cs="Times New Roman"/>
          <w:color w:val="000000" w:themeColor="text1"/>
        </w:rPr>
        <w:t xml:space="preserve">la verifica dell'assenza delle cause di esclusione di cui </w:t>
      </w:r>
      <w:r w:rsidRPr="004A5029">
        <w:rPr>
          <w:rFonts w:ascii="Times New Roman" w:hAnsi="Times New Roman" w:cs="Times New Roman"/>
          <w:b/>
          <w:bCs/>
          <w:strike/>
          <w:color w:val="000000" w:themeColor="text1"/>
        </w:rPr>
        <w:t>all'</w:t>
      </w:r>
      <w:r w:rsidR="006F3BEA" w:rsidRPr="004A5029">
        <w:rPr>
          <w:rFonts w:ascii="Times New Roman" w:hAnsi="Times New Roman" w:cs="Times New Roman"/>
          <w:color w:val="000000" w:themeColor="text1"/>
        </w:rPr>
        <w:t xml:space="preserve">agli </w:t>
      </w:r>
      <w:r w:rsidRPr="004A5029">
        <w:rPr>
          <w:rFonts w:ascii="Times New Roman" w:hAnsi="Times New Roman" w:cs="Times New Roman"/>
          <w:color w:val="000000" w:themeColor="text1"/>
        </w:rPr>
        <w:t>articol</w:t>
      </w:r>
      <w:r w:rsidR="006F3BEA" w:rsidRPr="004A5029">
        <w:rPr>
          <w:rFonts w:ascii="Times New Roman" w:hAnsi="Times New Roman" w:cs="Times New Roman"/>
          <w:color w:val="000000" w:themeColor="text1"/>
        </w:rPr>
        <w:t>i</w:t>
      </w:r>
      <w:r w:rsidRPr="004A5029">
        <w:rPr>
          <w:rFonts w:ascii="Times New Roman" w:hAnsi="Times New Roman" w:cs="Times New Roman"/>
          <w:color w:val="000000" w:themeColor="text1"/>
        </w:rPr>
        <w:t xml:space="preserve"> </w:t>
      </w:r>
      <w:r w:rsidRPr="004A5029">
        <w:rPr>
          <w:rFonts w:ascii="Times New Roman" w:hAnsi="Times New Roman" w:cs="Times New Roman"/>
          <w:b/>
          <w:bCs/>
          <w:color w:val="000000" w:themeColor="text1"/>
        </w:rPr>
        <w:t>94</w:t>
      </w:r>
      <w:r w:rsidR="006F3BEA" w:rsidRPr="004A5029">
        <w:rPr>
          <w:rFonts w:ascii="Times New Roman" w:hAnsi="Times New Roman" w:cs="Times New Roman"/>
          <w:b/>
          <w:bCs/>
          <w:color w:val="000000" w:themeColor="text1"/>
        </w:rPr>
        <w:t xml:space="preserve"> e 95</w:t>
      </w:r>
      <w:r w:rsidRPr="004A5029">
        <w:rPr>
          <w:rFonts w:ascii="Times New Roman" w:hAnsi="Times New Roman" w:cs="Times New Roman"/>
          <w:color w:val="000000" w:themeColor="text1"/>
        </w:rPr>
        <w:t xml:space="preserve"> e </w:t>
      </w:r>
      <w:r w:rsidRPr="004A5029">
        <w:rPr>
          <w:rFonts w:ascii="Times New Roman" w:hAnsi="Times New Roman" w:cs="Times New Roman"/>
          <w:b/>
          <w:bCs/>
          <w:strike/>
          <w:color w:val="000000" w:themeColor="text1"/>
        </w:rPr>
        <w:t>per l'attestazione</w:t>
      </w:r>
      <w:r w:rsidRPr="004A5029">
        <w:rPr>
          <w:rFonts w:ascii="Times New Roman" w:hAnsi="Times New Roman" w:cs="Times New Roman"/>
          <w:b/>
          <w:bCs/>
          <w:color w:val="000000" w:themeColor="text1"/>
        </w:rPr>
        <w:t xml:space="preserve"> </w:t>
      </w:r>
      <w:r w:rsidR="00173281" w:rsidRPr="004A5029">
        <w:rPr>
          <w:rFonts w:ascii="Times New Roman" w:hAnsi="Times New Roman" w:cs="Times New Roman"/>
          <w:b/>
          <w:bCs/>
          <w:color w:val="000000" w:themeColor="text1"/>
        </w:rPr>
        <w:t>dei requisiti</w:t>
      </w:r>
      <w:r w:rsidR="00173281"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di cui all'articolo 103 per i soggetti esecutori di lavori pubblici, nonché </w:t>
      </w:r>
      <w:r w:rsidR="00222710" w:rsidRPr="004A5029">
        <w:rPr>
          <w:rFonts w:ascii="Times New Roman" w:hAnsi="Times New Roman" w:cs="Times New Roman"/>
          <w:color w:val="000000" w:themeColor="text1"/>
        </w:rPr>
        <w:t>de</w:t>
      </w:r>
      <w:r w:rsidRPr="004A5029">
        <w:rPr>
          <w:rFonts w:ascii="Times New Roman" w:hAnsi="Times New Roman" w:cs="Times New Roman"/>
          <w:color w:val="000000" w:themeColor="text1"/>
        </w:rPr>
        <w:t xml:space="preserve">i dati e </w:t>
      </w:r>
      <w:r w:rsidR="00222710" w:rsidRPr="004A5029">
        <w:rPr>
          <w:rFonts w:ascii="Times New Roman" w:hAnsi="Times New Roman" w:cs="Times New Roman"/>
          <w:color w:val="000000" w:themeColor="text1"/>
        </w:rPr>
        <w:t>de</w:t>
      </w:r>
      <w:r w:rsidRPr="004A5029">
        <w:rPr>
          <w:rFonts w:ascii="Times New Roman" w:hAnsi="Times New Roman" w:cs="Times New Roman"/>
          <w:color w:val="000000" w:themeColor="text1"/>
        </w:rPr>
        <w:t xml:space="preserve">i documenti relativi ai </w:t>
      </w:r>
      <w:r w:rsidRPr="004A5029">
        <w:rPr>
          <w:rFonts w:ascii="Times New Roman" w:hAnsi="Times New Roman" w:cs="Times New Roman"/>
          <w:b/>
          <w:bCs/>
          <w:strike/>
          <w:color w:val="000000" w:themeColor="text1"/>
        </w:rPr>
        <w:t>criteri di selezione</w:t>
      </w:r>
      <w:r w:rsidRPr="004A5029">
        <w:rPr>
          <w:rFonts w:ascii="Times New Roman" w:hAnsi="Times New Roman" w:cs="Times New Roman"/>
          <w:b/>
          <w:bCs/>
          <w:color w:val="000000" w:themeColor="text1"/>
        </w:rPr>
        <w:t xml:space="preserve"> </w:t>
      </w:r>
      <w:r w:rsidR="00DF3806" w:rsidRPr="004A5029">
        <w:rPr>
          <w:rFonts w:ascii="Times New Roman" w:hAnsi="Times New Roman" w:cs="Times New Roman"/>
          <w:b/>
          <w:bCs/>
          <w:color w:val="000000" w:themeColor="text1"/>
        </w:rPr>
        <w:t>requisiti</w:t>
      </w:r>
      <w:r w:rsidR="00DF3806"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di cui all'articolo 100 che l'operatore economico inserisce.</w:t>
      </w:r>
    </w:p>
    <w:p w14:paraId="20984D94" w14:textId="40BC16C9"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Il fascicolo virtuale dell'operatore economico è utilizzato per la partecipazione alle procedure di </w:t>
      </w:r>
      <w:r w:rsidRPr="004A5029">
        <w:rPr>
          <w:rFonts w:ascii="Times New Roman" w:hAnsi="Times New Roman" w:cs="Times New Roman"/>
          <w:b/>
          <w:bCs/>
          <w:strike/>
          <w:color w:val="000000" w:themeColor="text1"/>
        </w:rPr>
        <w:t>gara</w:t>
      </w:r>
      <w:r w:rsidR="00DF3806" w:rsidRPr="004A5029">
        <w:rPr>
          <w:rFonts w:ascii="Times New Roman" w:hAnsi="Times New Roman" w:cs="Times New Roman"/>
          <w:b/>
          <w:bCs/>
          <w:strike/>
          <w:color w:val="000000" w:themeColor="text1"/>
        </w:rPr>
        <w:t xml:space="preserve"> </w:t>
      </w:r>
      <w:r w:rsidR="00DF3806" w:rsidRPr="004A5029">
        <w:rPr>
          <w:rFonts w:ascii="Times New Roman" w:hAnsi="Times New Roman" w:cs="Times New Roman"/>
          <w:b/>
          <w:bCs/>
          <w:color w:val="000000" w:themeColor="text1"/>
        </w:rPr>
        <w:t>affidamento</w:t>
      </w:r>
      <w:r w:rsidRPr="004A5029">
        <w:rPr>
          <w:rFonts w:ascii="Times New Roman" w:hAnsi="Times New Roman" w:cs="Times New Roman"/>
          <w:color w:val="000000" w:themeColor="text1"/>
        </w:rPr>
        <w:t xml:space="preserve"> disciplinate dal codice. I dati e i documenti contenuti nel fascicolo virtuale dell’operatore economico, nei termini di efficacia di ciascuno di essi, </w:t>
      </w:r>
      <w:r w:rsidR="00222710" w:rsidRPr="004A5029">
        <w:rPr>
          <w:rFonts w:ascii="Times New Roman" w:eastAsia="Times New Roman" w:hAnsi="Times New Roman" w:cs="Times New Roman"/>
          <w:color w:val="000000" w:themeColor="text1"/>
          <w:lang w:eastAsia="it-IT"/>
        </w:rPr>
        <w:t xml:space="preserve">sono aggiornati automaticamente mediante interoperabilità e </w:t>
      </w:r>
      <w:r w:rsidRPr="004A5029">
        <w:rPr>
          <w:rFonts w:ascii="Times New Roman" w:hAnsi="Times New Roman" w:cs="Times New Roman"/>
          <w:color w:val="000000" w:themeColor="text1"/>
        </w:rPr>
        <w:t xml:space="preserve">sono utilizzati in tutte le </w:t>
      </w:r>
      <w:r w:rsidRPr="004A5029">
        <w:rPr>
          <w:rFonts w:ascii="Times New Roman" w:hAnsi="Times New Roman" w:cs="Times New Roman"/>
          <w:b/>
          <w:bCs/>
          <w:strike/>
          <w:color w:val="000000" w:themeColor="text1"/>
        </w:rPr>
        <w:t>gare</w:t>
      </w:r>
      <w:r w:rsidRPr="004A5029">
        <w:rPr>
          <w:rFonts w:ascii="Times New Roman" w:hAnsi="Times New Roman" w:cs="Times New Roman"/>
          <w:b/>
          <w:bCs/>
          <w:color w:val="000000" w:themeColor="text1"/>
        </w:rPr>
        <w:t xml:space="preserve"> </w:t>
      </w:r>
      <w:r w:rsidR="00DF3806" w:rsidRPr="004A5029">
        <w:rPr>
          <w:rFonts w:ascii="Times New Roman" w:hAnsi="Times New Roman" w:cs="Times New Roman"/>
          <w:b/>
          <w:bCs/>
          <w:color w:val="000000" w:themeColor="text1"/>
        </w:rPr>
        <w:t>procedure di affidamento</w:t>
      </w:r>
      <w:r w:rsidR="00DF3806"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cui l’operatore partecipa.</w:t>
      </w:r>
    </w:p>
    <w:p w14:paraId="76E918CB" w14:textId="15D1361B"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Le amministrazioni competenti al rilascio delle certificazioni </w:t>
      </w:r>
      <w:r w:rsidR="00222710" w:rsidRPr="004A5029">
        <w:rPr>
          <w:rFonts w:ascii="Times New Roman" w:hAnsi="Times New Roman" w:cs="Times New Roman"/>
          <w:color w:val="000000" w:themeColor="text1"/>
        </w:rPr>
        <w:t xml:space="preserve">o delle informazioni </w:t>
      </w:r>
      <w:r w:rsidRPr="004A5029">
        <w:rPr>
          <w:rFonts w:ascii="Times New Roman" w:hAnsi="Times New Roman" w:cs="Times New Roman"/>
          <w:color w:val="000000" w:themeColor="text1"/>
        </w:rPr>
        <w:t xml:space="preserve">di cui </w:t>
      </w:r>
      <w:r w:rsidRPr="004A5029">
        <w:rPr>
          <w:rFonts w:ascii="Times New Roman" w:hAnsi="Times New Roman" w:cs="Times New Roman"/>
          <w:b/>
          <w:bCs/>
          <w:strike/>
          <w:color w:val="000000" w:themeColor="text1"/>
        </w:rPr>
        <w:t>all'articolo</w:t>
      </w:r>
      <w:r w:rsidRPr="004A5029">
        <w:rPr>
          <w:rFonts w:ascii="Times New Roman" w:hAnsi="Times New Roman" w:cs="Times New Roman"/>
          <w:color w:val="000000" w:themeColor="text1"/>
        </w:rPr>
        <w:t xml:space="preserve"> </w:t>
      </w:r>
      <w:r w:rsidR="006F3BEA" w:rsidRPr="004A5029">
        <w:rPr>
          <w:rFonts w:ascii="Times New Roman" w:hAnsi="Times New Roman" w:cs="Times New Roman"/>
          <w:b/>
          <w:bCs/>
          <w:color w:val="000000" w:themeColor="text1"/>
        </w:rPr>
        <w:t xml:space="preserve">agli articoli </w:t>
      </w:r>
      <w:r w:rsidRPr="004A5029">
        <w:rPr>
          <w:rFonts w:ascii="Times New Roman" w:hAnsi="Times New Roman" w:cs="Times New Roman"/>
          <w:b/>
          <w:bCs/>
          <w:color w:val="000000" w:themeColor="text1"/>
        </w:rPr>
        <w:t>94</w:t>
      </w:r>
      <w:r w:rsidR="006F3BEA" w:rsidRPr="004A5029">
        <w:rPr>
          <w:rFonts w:ascii="Times New Roman" w:hAnsi="Times New Roman" w:cs="Times New Roman"/>
          <w:b/>
          <w:bCs/>
          <w:color w:val="000000" w:themeColor="text1"/>
        </w:rPr>
        <w:t xml:space="preserve"> e 95</w:t>
      </w:r>
      <w:r w:rsidR="00070E8D" w:rsidRPr="004A5029">
        <w:rPr>
          <w:rFonts w:ascii="Times New Roman" w:hAnsi="Times New Roman" w:cs="Times New Roman"/>
          <w:color w:val="000000" w:themeColor="text1"/>
        </w:rPr>
        <w:t xml:space="preserve"> </w:t>
      </w:r>
      <w:r w:rsidR="00222710" w:rsidRPr="004A5029">
        <w:rPr>
          <w:rFonts w:ascii="Times New Roman" w:eastAsia="Times New Roman" w:hAnsi="Times New Roman" w:cs="Times New Roman"/>
          <w:color w:val="000000" w:themeColor="text1"/>
          <w:lang w:eastAsia="it-IT"/>
        </w:rPr>
        <w:t xml:space="preserve">garantiscono alla Banca dati nazionale dei contratti pubblici, attraverso la </w:t>
      </w:r>
      <w:r w:rsidR="00870206" w:rsidRPr="004A5029">
        <w:rPr>
          <w:rFonts w:ascii="Times New Roman" w:eastAsia="Times New Roman" w:hAnsi="Times New Roman" w:cs="Times New Roman"/>
          <w:b/>
          <w:bCs/>
          <w:color w:val="000000" w:themeColor="text1"/>
          <w:lang w:eastAsia="it-IT"/>
        </w:rPr>
        <w:t>p</w:t>
      </w:r>
      <w:r w:rsidR="00222710" w:rsidRPr="004A5029">
        <w:rPr>
          <w:rFonts w:ascii="Times New Roman" w:eastAsia="Times New Roman" w:hAnsi="Times New Roman" w:cs="Times New Roman"/>
          <w:color w:val="000000" w:themeColor="text1"/>
          <w:lang w:eastAsia="it-IT"/>
        </w:rPr>
        <w:t>iattaforma di cui all’articolo 50-</w:t>
      </w:r>
      <w:r w:rsidR="00222710" w:rsidRPr="004A5029">
        <w:rPr>
          <w:rFonts w:ascii="Times New Roman" w:eastAsia="Times New Roman" w:hAnsi="Times New Roman" w:cs="Times New Roman"/>
          <w:i/>
          <w:iCs/>
          <w:color w:val="000000" w:themeColor="text1"/>
          <w:lang w:eastAsia="it-IT"/>
        </w:rPr>
        <w:t>ter</w:t>
      </w:r>
      <w:r w:rsidR="00222710" w:rsidRPr="004A5029">
        <w:rPr>
          <w:rFonts w:ascii="Times New Roman" w:eastAsia="Times New Roman" w:hAnsi="Times New Roman" w:cs="Times New Roman"/>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dell'amministrazione digitale</w:t>
      </w:r>
      <w:r w:rsidR="0030786B" w:rsidRPr="004A5029">
        <w:rPr>
          <w:rFonts w:ascii="Times New Roman" w:eastAsia="Calibri" w:hAnsi="Times New Roman" w:cs="Times New Roman"/>
          <w:b/>
          <w:color w:val="000000" w:themeColor="text1"/>
        </w:rPr>
        <w:t>,</w:t>
      </w:r>
      <w:r w:rsidR="00FA7F03" w:rsidRPr="004A5029">
        <w:rPr>
          <w:rFonts w:ascii="Times New Roman" w:eastAsia="Times New Roman" w:hAnsi="Times New Roman" w:cs="Times New Roman"/>
          <w:b/>
          <w:color w:val="000000" w:themeColor="text1"/>
          <w:lang w:eastAsia="it-IT"/>
        </w:rPr>
        <w:t xml:space="preserve"> di cui al</w:t>
      </w:r>
      <w:r w:rsidR="00FA7F03" w:rsidRPr="004A5029">
        <w:rPr>
          <w:rFonts w:ascii="Times New Roman" w:hAnsi="Times New Roman" w:cs="Times New Roman"/>
          <w:bCs/>
          <w:color w:val="000000" w:themeColor="text1"/>
        </w:rPr>
        <w:t xml:space="preserve"> </w:t>
      </w:r>
      <w:r w:rsidR="00222710" w:rsidRPr="004A5029">
        <w:rPr>
          <w:rFonts w:ascii="Times New Roman" w:eastAsia="Times New Roman" w:hAnsi="Times New Roman" w:cs="Times New Roman"/>
          <w:color w:val="000000" w:themeColor="text1"/>
          <w:lang w:eastAsia="it-IT"/>
        </w:rPr>
        <w:t xml:space="preserve">decreto legislativo </w:t>
      </w:r>
      <w:r w:rsidR="00E45108" w:rsidRPr="004A5029">
        <w:rPr>
          <w:rFonts w:ascii="Times New Roman" w:eastAsia="Times New Roman" w:hAnsi="Times New Roman" w:cs="Times New Roman"/>
          <w:b/>
          <w:bCs/>
          <w:color w:val="000000" w:themeColor="text1"/>
          <w:lang w:eastAsia="it-IT"/>
        </w:rPr>
        <w:t>7 marzo 2005,</w:t>
      </w:r>
      <w:r w:rsidR="00E45108" w:rsidRPr="004A5029">
        <w:rPr>
          <w:rFonts w:ascii="Times New Roman" w:eastAsia="Times New Roman" w:hAnsi="Times New Roman" w:cs="Times New Roman"/>
          <w:color w:val="000000" w:themeColor="text1"/>
          <w:lang w:eastAsia="it-IT"/>
        </w:rPr>
        <w:t xml:space="preserve"> </w:t>
      </w:r>
      <w:r w:rsidR="00222710" w:rsidRPr="004A5029">
        <w:rPr>
          <w:rFonts w:ascii="Times New Roman" w:eastAsia="Times New Roman" w:hAnsi="Times New Roman" w:cs="Times New Roman"/>
          <w:color w:val="000000" w:themeColor="text1"/>
          <w:lang w:eastAsia="it-IT"/>
        </w:rPr>
        <w:t>n. 82</w:t>
      </w:r>
      <w:r w:rsidR="00222710" w:rsidRPr="004A5029">
        <w:rPr>
          <w:rFonts w:ascii="Times New Roman" w:eastAsia="Times New Roman" w:hAnsi="Times New Roman" w:cs="Times New Roman"/>
          <w:b/>
          <w:bCs/>
          <w:strike/>
          <w:color w:val="000000" w:themeColor="text1"/>
          <w:lang w:eastAsia="it-IT"/>
        </w:rPr>
        <w:t xml:space="preserve"> del 2005</w:t>
      </w:r>
      <w:r w:rsidR="00222710" w:rsidRPr="004A5029">
        <w:rPr>
          <w:rFonts w:ascii="Times New Roman" w:eastAsia="Times New Roman" w:hAnsi="Times New Roman" w:cs="Times New Roman"/>
          <w:b/>
          <w:bCs/>
          <w:color w:val="000000" w:themeColor="text1"/>
          <w:lang w:eastAsia="it-IT"/>
        </w:rPr>
        <w:t xml:space="preserve"> </w:t>
      </w:r>
      <w:r w:rsidR="00222710" w:rsidRPr="004A5029">
        <w:rPr>
          <w:rFonts w:ascii="Times New Roman" w:eastAsia="Times New Roman" w:hAnsi="Times New Roman" w:cs="Times New Roman"/>
          <w:color w:val="000000" w:themeColor="text1"/>
          <w:lang w:eastAsia="it-IT"/>
        </w:rPr>
        <w:t xml:space="preserve">e l’accesso per interoperabilità alle proprie banche dati, ai sensi dell’articolo 23, comma 3, </w:t>
      </w:r>
      <w:r w:rsidR="00006C9D" w:rsidRPr="004A5029">
        <w:rPr>
          <w:rFonts w:ascii="Times New Roman" w:eastAsia="Times New Roman" w:hAnsi="Times New Roman" w:cs="Times New Roman"/>
          <w:color w:val="000000" w:themeColor="text1"/>
          <w:lang w:eastAsia="it-IT"/>
        </w:rPr>
        <w:t>del presente codice</w:t>
      </w:r>
      <w:r w:rsidR="00010796" w:rsidRPr="004A5029">
        <w:rPr>
          <w:rFonts w:ascii="Times New Roman" w:eastAsia="Times New Roman" w:hAnsi="Times New Roman" w:cs="Times New Roman"/>
          <w:color w:val="000000" w:themeColor="text1"/>
          <w:lang w:eastAsia="it-IT"/>
        </w:rPr>
        <w:t>,</w:t>
      </w:r>
      <w:r w:rsidR="00006C9D" w:rsidRPr="004A5029">
        <w:rPr>
          <w:rFonts w:ascii="Times New Roman" w:eastAsia="Times New Roman" w:hAnsi="Times New Roman" w:cs="Times New Roman"/>
          <w:color w:val="000000" w:themeColor="text1"/>
          <w:lang w:eastAsia="it-IT"/>
        </w:rPr>
        <w:t xml:space="preserve"> </w:t>
      </w:r>
      <w:r w:rsidR="00222710" w:rsidRPr="004A5029">
        <w:rPr>
          <w:rFonts w:ascii="Times New Roman" w:eastAsia="Times New Roman" w:hAnsi="Times New Roman" w:cs="Times New Roman"/>
          <w:color w:val="000000" w:themeColor="text1"/>
          <w:lang w:eastAsia="it-IT"/>
        </w:rPr>
        <w:t>l</w:t>
      </w:r>
      <w:r w:rsidRPr="004A5029">
        <w:rPr>
          <w:rFonts w:ascii="Times New Roman" w:hAnsi="Times New Roman" w:cs="Times New Roman"/>
          <w:color w:val="000000" w:themeColor="text1"/>
        </w:rPr>
        <w:t xml:space="preserve">a disponibilità in tempo reale delle </w:t>
      </w:r>
      <w:r w:rsidR="00222710" w:rsidRPr="004A5029">
        <w:rPr>
          <w:rFonts w:ascii="Times New Roman" w:hAnsi="Times New Roman" w:cs="Times New Roman"/>
          <w:color w:val="000000" w:themeColor="text1"/>
        </w:rPr>
        <w:t xml:space="preserve">informazioni e delle </w:t>
      </w:r>
      <w:r w:rsidRPr="004A5029">
        <w:rPr>
          <w:rFonts w:ascii="Times New Roman" w:hAnsi="Times New Roman" w:cs="Times New Roman"/>
          <w:color w:val="000000" w:themeColor="text1"/>
        </w:rPr>
        <w:t xml:space="preserve">certificazioni </w:t>
      </w:r>
      <w:r w:rsidR="00222710" w:rsidRPr="004A5029">
        <w:rPr>
          <w:rFonts w:ascii="Times New Roman" w:hAnsi="Times New Roman" w:cs="Times New Roman"/>
          <w:color w:val="000000" w:themeColor="text1"/>
        </w:rPr>
        <w:t xml:space="preserve">digitali </w:t>
      </w:r>
      <w:r w:rsidR="00BC47F2" w:rsidRPr="004A5029">
        <w:rPr>
          <w:rFonts w:ascii="Times New Roman" w:hAnsi="Times New Roman" w:cs="Times New Roman"/>
          <w:color w:val="000000" w:themeColor="text1"/>
        </w:rPr>
        <w:t>necessarie ad assicurare l’intero ciclo di vita digitale di contratti pubblici</w:t>
      </w:r>
      <w:r w:rsidRPr="004A5029">
        <w:rPr>
          <w:rFonts w:ascii="Times New Roman" w:hAnsi="Times New Roman" w:cs="Times New Roman"/>
          <w:color w:val="000000" w:themeColor="text1"/>
        </w:rPr>
        <w:t xml:space="preserve">. </w:t>
      </w:r>
      <w:r w:rsidR="00BC47F2" w:rsidRPr="004A5029">
        <w:rPr>
          <w:rFonts w:ascii="Times New Roman" w:eastAsia="Times New Roman" w:hAnsi="Times New Roman" w:cs="Times New Roman"/>
          <w:color w:val="000000" w:themeColor="text1"/>
          <w:lang w:eastAsia="it-IT"/>
        </w:rPr>
        <w:t xml:space="preserve">La violazione </w:t>
      </w:r>
      <w:r w:rsidR="00BC47F2" w:rsidRPr="004A5029">
        <w:rPr>
          <w:rFonts w:ascii="Times New Roman" w:eastAsia="Times New Roman" w:hAnsi="Times New Roman" w:cs="Times New Roman"/>
          <w:b/>
          <w:bCs/>
          <w:strike/>
          <w:color w:val="000000" w:themeColor="text1"/>
          <w:lang w:eastAsia="it-IT"/>
        </w:rPr>
        <w:t>del predetto</w:t>
      </w:r>
      <w:r w:rsidR="00BC47F2" w:rsidRPr="004A5029">
        <w:rPr>
          <w:rFonts w:ascii="Times New Roman" w:eastAsia="Times New Roman" w:hAnsi="Times New Roman" w:cs="Times New Roman"/>
          <w:b/>
          <w:bCs/>
          <w:color w:val="000000" w:themeColor="text1"/>
          <w:lang w:eastAsia="it-IT"/>
        </w:rPr>
        <w:t xml:space="preserve"> </w:t>
      </w:r>
      <w:r w:rsidR="00870206" w:rsidRPr="004A5029">
        <w:rPr>
          <w:rFonts w:ascii="Times New Roman" w:eastAsia="Times New Roman" w:hAnsi="Times New Roman" w:cs="Times New Roman"/>
          <w:b/>
          <w:bCs/>
          <w:color w:val="000000" w:themeColor="text1"/>
          <w:lang w:eastAsia="it-IT"/>
        </w:rPr>
        <w:t>dell’</w:t>
      </w:r>
      <w:r w:rsidR="00BC47F2" w:rsidRPr="004A5029">
        <w:rPr>
          <w:rFonts w:ascii="Times New Roman" w:eastAsia="Times New Roman" w:hAnsi="Times New Roman" w:cs="Times New Roman"/>
          <w:color w:val="000000" w:themeColor="text1"/>
          <w:lang w:eastAsia="it-IT"/>
        </w:rPr>
        <w:t>obbligo</w:t>
      </w:r>
      <w:r w:rsidR="00BC47F2" w:rsidRPr="004A5029">
        <w:rPr>
          <w:rFonts w:ascii="Times New Roman" w:eastAsia="Times New Roman" w:hAnsi="Times New Roman" w:cs="Times New Roman"/>
          <w:b/>
          <w:bCs/>
          <w:color w:val="000000" w:themeColor="text1"/>
          <w:lang w:eastAsia="it-IT"/>
        </w:rPr>
        <w:t xml:space="preserve"> </w:t>
      </w:r>
      <w:r w:rsidR="00870206" w:rsidRPr="004A5029">
        <w:rPr>
          <w:rFonts w:ascii="Times New Roman" w:eastAsia="Times New Roman" w:hAnsi="Times New Roman" w:cs="Times New Roman"/>
          <w:b/>
          <w:bCs/>
          <w:color w:val="000000" w:themeColor="text1"/>
          <w:lang w:eastAsia="it-IT"/>
        </w:rPr>
        <w:t>di cui al primo periodo</w:t>
      </w:r>
      <w:r w:rsidR="00870206" w:rsidRPr="004A5029">
        <w:rPr>
          <w:rFonts w:ascii="Times New Roman" w:eastAsia="Times New Roman" w:hAnsi="Times New Roman" w:cs="Times New Roman"/>
          <w:color w:val="000000" w:themeColor="text1"/>
          <w:lang w:eastAsia="it-IT"/>
        </w:rPr>
        <w:t xml:space="preserve"> </w:t>
      </w:r>
      <w:r w:rsidR="00BC47F2" w:rsidRPr="004A5029">
        <w:rPr>
          <w:rFonts w:ascii="Times New Roman" w:eastAsia="Times New Roman" w:hAnsi="Times New Roman" w:cs="Times New Roman"/>
          <w:color w:val="000000" w:themeColor="text1"/>
          <w:lang w:eastAsia="it-IT"/>
        </w:rPr>
        <w:t>è punit</w:t>
      </w:r>
      <w:r w:rsidR="00313074" w:rsidRPr="004A5029">
        <w:rPr>
          <w:rFonts w:ascii="Times New Roman" w:eastAsia="Times New Roman" w:hAnsi="Times New Roman" w:cs="Times New Roman"/>
          <w:color w:val="000000" w:themeColor="text1"/>
          <w:lang w:eastAsia="it-IT"/>
        </w:rPr>
        <w:t>a</w:t>
      </w:r>
      <w:r w:rsidR="00BC47F2" w:rsidRPr="004A5029">
        <w:rPr>
          <w:rFonts w:ascii="Times New Roman" w:eastAsia="Times New Roman" w:hAnsi="Times New Roman" w:cs="Times New Roman"/>
          <w:color w:val="000000" w:themeColor="text1"/>
          <w:lang w:eastAsia="it-IT"/>
        </w:rPr>
        <w:t xml:space="preserve"> ai sensi dell’articolo 23, comma 8. </w:t>
      </w:r>
      <w:r w:rsidRPr="004A5029">
        <w:rPr>
          <w:rFonts w:ascii="Times New Roman" w:hAnsi="Times New Roman" w:cs="Times New Roman"/>
          <w:color w:val="000000" w:themeColor="text1"/>
        </w:rPr>
        <w:t>L'ANAC garantisce l'accessibilità al fascicolo virtuale dell’operatore economico alle stazioni appaltanti</w:t>
      </w:r>
      <w:r w:rsidR="00F15DB8" w:rsidRPr="004A5029">
        <w:rPr>
          <w:rFonts w:ascii="Times New Roman" w:hAnsi="Times New Roman" w:cs="Times New Roman"/>
          <w:color w:val="000000" w:themeColor="text1"/>
        </w:rPr>
        <w:t xml:space="preserve"> </w:t>
      </w:r>
      <w:r w:rsidR="00F15DB8" w:rsidRPr="004A5029">
        <w:rPr>
          <w:rFonts w:ascii="Times New Roman" w:hAnsi="Times New Roman" w:cs="Times New Roman"/>
          <w:b/>
          <w:color w:val="000000" w:themeColor="text1"/>
        </w:rPr>
        <w:t>e agli enti concedenti</w:t>
      </w:r>
      <w:r w:rsidRPr="004A5029">
        <w:rPr>
          <w:rFonts w:ascii="Times New Roman" w:hAnsi="Times New Roman" w:cs="Times New Roman"/>
          <w:color w:val="000000" w:themeColor="text1"/>
        </w:rPr>
        <w:t xml:space="preserve">, agli operatori economici e agli organismi di attestazione di cui all'articolo </w:t>
      </w:r>
      <w:r w:rsidRPr="004A5029">
        <w:rPr>
          <w:rFonts w:ascii="Times New Roman" w:hAnsi="Times New Roman" w:cs="Times New Roman"/>
          <w:b/>
          <w:bCs/>
          <w:color w:val="000000" w:themeColor="text1"/>
        </w:rPr>
        <w:t>10</w:t>
      </w:r>
      <w:r w:rsidR="00D43A7A" w:rsidRPr="004A5029">
        <w:rPr>
          <w:rFonts w:ascii="Times New Roman" w:hAnsi="Times New Roman" w:cs="Times New Roman"/>
          <w:b/>
          <w:bCs/>
          <w:color w:val="000000" w:themeColor="text1"/>
        </w:rPr>
        <w:t>0</w:t>
      </w:r>
      <w:r w:rsidRPr="004A5029">
        <w:rPr>
          <w:rFonts w:ascii="Times New Roman" w:hAnsi="Times New Roman" w:cs="Times New Roman"/>
          <w:b/>
          <w:bCs/>
          <w:color w:val="000000" w:themeColor="text1"/>
        </w:rPr>
        <w:t>, comm</w:t>
      </w:r>
      <w:r w:rsidR="00D43A7A" w:rsidRPr="004A5029">
        <w:rPr>
          <w:rFonts w:ascii="Times New Roman" w:hAnsi="Times New Roman" w:cs="Times New Roman"/>
          <w:b/>
          <w:bCs/>
          <w:color w:val="000000" w:themeColor="text1"/>
        </w:rPr>
        <w:t>a 4</w:t>
      </w:r>
      <w:r w:rsidRPr="004A5029">
        <w:rPr>
          <w:rFonts w:ascii="Times New Roman" w:hAnsi="Times New Roman" w:cs="Times New Roman"/>
          <w:color w:val="000000" w:themeColor="text1"/>
        </w:rPr>
        <w:t xml:space="preserve"> </w:t>
      </w:r>
      <w:r w:rsidRPr="004A5029">
        <w:rPr>
          <w:rFonts w:ascii="Times New Roman" w:hAnsi="Times New Roman" w:cs="Times New Roman"/>
          <w:b/>
          <w:bCs/>
          <w:strike/>
          <w:color w:val="000000" w:themeColor="text1"/>
        </w:rPr>
        <w:t>e seguenti,</w:t>
      </w:r>
      <w:r w:rsidRPr="004A5029">
        <w:rPr>
          <w:rFonts w:ascii="Times New Roman" w:hAnsi="Times New Roman" w:cs="Times New Roman"/>
          <w:color w:val="000000" w:themeColor="text1"/>
        </w:rPr>
        <w:t xml:space="preserve"> limitatamente ai dati di rispettiva competenza. L'ANAC può predisporre elenchi </w:t>
      </w:r>
      <w:r w:rsidR="00BC47F2" w:rsidRPr="004A5029">
        <w:rPr>
          <w:rFonts w:ascii="Times New Roman" w:hAnsi="Times New Roman" w:cs="Times New Roman"/>
          <w:color w:val="000000" w:themeColor="text1"/>
        </w:rPr>
        <w:t xml:space="preserve">aggiornati </w:t>
      </w:r>
      <w:r w:rsidRPr="004A5029">
        <w:rPr>
          <w:rFonts w:ascii="Times New Roman" w:hAnsi="Times New Roman" w:cs="Times New Roman"/>
          <w:color w:val="000000" w:themeColor="text1"/>
        </w:rPr>
        <w:t xml:space="preserve">di operatori economici già accertati </w:t>
      </w:r>
      <w:r w:rsidRPr="004A5029">
        <w:rPr>
          <w:rFonts w:ascii="Times New Roman" w:hAnsi="Times New Roman" w:cs="Times New Roman"/>
          <w:bCs/>
          <w:color w:val="000000" w:themeColor="text1"/>
        </w:rPr>
        <w:t>secondo quanto previsto dal comma 1</w:t>
      </w:r>
      <w:r w:rsidRPr="004A5029">
        <w:rPr>
          <w:rFonts w:ascii="Times New Roman" w:hAnsi="Times New Roman" w:cs="Times New Roman"/>
          <w:color w:val="000000" w:themeColor="text1"/>
        </w:rPr>
        <w:t xml:space="preserve"> e le modalità per l'utilizzo degli accertamenti per </w:t>
      </w:r>
      <w:r w:rsidRPr="004A5029">
        <w:rPr>
          <w:rFonts w:ascii="Times New Roman" w:hAnsi="Times New Roman" w:cs="Times New Roman"/>
          <w:b/>
          <w:bCs/>
          <w:strike/>
          <w:color w:val="000000" w:themeColor="text1"/>
        </w:rPr>
        <w:t xml:space="preserve">gare </w:t>
      </w:r>
      <w:r w:rsidR="00DF3806" w:rsidRPr="004A5029">
        <w:rPr>
          <w:rFonts w:ascii="Times New Roman" w:hAnsi="Times New Roman" w:cs="Times New Roman"/>
          <w:b/>
          <w:bCs/>
          <w:color w:val="000000" w:themeColor="text1"/>
        </w:rPr>
        <w:t>procedure di affidamento</w:t>
      </w:r>
      <w:r w:rsidR="00DF3806"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diverse.</w:t>
      </w:r>
    </w:p>
    <w:p w14:paraId="3A0D266B" w14:textId="1D0BD0D9" w:rsidR="00446F27" w:rsidRPr="004A5029" w:rsidRDefault="00446F27" w:rsidP="00446F27">
      <w:pPr>
        <w:widowControl w:val="0"/>
        <w:pBdr>
          <w:top w:val="nil"/>
          <w:left w:val="nil"/>
          <w:bottom w:val="nil"/>
          <w:right w:val="nil"/>
          <w:between w:val="nil"/>
        </w:pBd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4. Per le finalità di cui al comma 1</w:t>
      </w:r>
      <w:r w:rsidR="002B0467"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l'ANAC individua, con proprio provvedimento, adottato d'intesa con il Ministero </w:t>
      </w:r>
      <w:r w:rsidRPr="004A5029">
        <w:rPr>
          <w:rFonts w:ascii="Times New Roman" w:eastAsia="Calibri" w:hAnsi="Times New Roman" w:cs="Times New Roman"/>
          <w:color w:val="000000" w:themeColor="text1"/>
        </w:rPr>
        <w:t>delle infrastrutture e dei trasporti</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color w:val="000000" w:themeColor="text1"/>
        </w:rPr>
        <w:t>e con l'</w:t>
      </w:r>
      <w:r w:rsidRPr="004A5029">
        <w:rPr>
          <w:rFonts w:ascii="Times New Roman" w:hAnsi="Times New Roman" w:cs="Times New Roman"/>
          <w:b/>
          <w:bCs/>
          <w:strike/>
          <w:color w:val="000000" w:themeColor="text1"/>
        </w:rPr>
        <w:t>AgID</w:t>
      </w:r>
      <w:r w:rsidR="006A7679" w:rsidRPr="004A5029">
        <w:rPr>
          <w:rFonts w:ascii="Times New Roman" w:hAnsi="Times New Roman" w:cs="Times New Roman"/>
          <w:b/>
          <w:bCs/>
          <w:color w:val="000000" w:themeColor="text1"/>
        </w:rPr>
        <w:t>AGID</w:t>
      </w:r>
      <w:r w:rsidR="006A7679"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entro </w:t>
      </w:r>
      <w:r w:rsidRPr="004A5029">
        <w:rPr>
          <w:rFonts w:ascii="Times New Roman" w:hAnsi="Times New Roman" w:cs="Times New Roman"/>
          <w:b/>
          <w:strike/>
          <w:color w:val="000000" w:themeColor="text1"/>
        </w:rPr>
        <w:t>60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sessanta</w:t>
      </w:r>
      <w:r w:rsidR="0040710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giorni dalla data di entrata in vigore del codice</w:t>
      </w:r>
      <w:r w:rsidR="00070E8D"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 xml:space="preserve">le tipologie di dati da inserire nel fascicolo virtuale dell’operatore economico, concernenti la partecipazione alle procedure di </w:t>
      </w:r>
      <w:r w:rsidRPr="004A5029">
        <w:rPr>
          <w:rFonts w:ascii="Times New Roman" w:hAnsi="Times New Roman" w:cs="Times New Roman"/>
          <w:b/>
          <w:bCs/>
          <w:strike/>
          <w:color w:val="000000" w:themeColor="text1"/>
        </w:rPr>
        <w:t>gare</w:t>
      </w:r>
      <w:r w:rsidRPr="004A5029">
        <w:rPr>
          <w:rFonts w:ascii="Times New Roman" w:hAnsi="Times New Roman" w:cs="Times New Roman"/>
          <w:b/>
          <w:bCs/>
          <w:color w:val="000000" w:themeColor="text1"/>
        </w:rPr>
        <w:t xml:space="preserve"> </w:t>
      </w:r>
      <w:r w:rsidR="00DF3806" w:rsidRPr="004A5029">
        <w:rPr>
          <w:rFonts w:ascii="Times New Roman" w:hAnsi="Times New Roman" w:cs="Times New Roman"/>
          <w:b/>
          <w:bCs/>
          <w:color w:val="000000" w:themeColor="text1"/>
        </w:rPr>
        <w:t>affidamento</w:t>
      </w:r>
      <w:r w:rsidR="00DF3806"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e il loro esito, in relazione ai quali è obbligatoria la verifica attraverso la Banca dati nazionale dei contratti pubblici</w:t>
      </w:r>
      <w:r w:rsidR="00BC47F2" w:rsidRPr="004A5029">
        <w:rPr>
          <w:rFonts w:ascii="Times New Roman" w:hAnsi="Times New Roman" w:cs="Times New Roman"/>
          <w:b/>
          <w:bCs/>
          <w:color w:val="000000" w:themeColor="text1"/>
        </w:rPr>
        <w:t>.</w:t>
      </w:r>
    </w:p>
    <w:p w14:paraId="54738AF4" w14:textId="77777777" w:rsidR="00446F27" w:rsidRPr="004A5029" w:rsidRDefault="00446F27" w:rsidP="00446F27">
      <w:pPr>
        <w:jc w:val="both"/>
        <w:rPr>
          <w:rFonts w:ascii="Times New Roman" w:hAnsi="Times New Roman" w:cs="Times New Roman"/>
          <w:color w:val="000000" w:themeColor="text1"/>
        </w:rPr>
      </w:pPr>
    </w:p>
    <w:p w14:paraId="54352753"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25.</w:t>
      </w:r>
    </w:p>
    <w:p w14:paraId="3780877F"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Piattaforme di approvvigionamento digitale.</w:t>
      </w:r>
    </w:p>
    <w:p w14:paraId="7948BFA3" w14:textId="4389399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 piattaforme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sono costituite dall’insieme dei servizi e dei sistemi informatici, interconnessi e interoperanti, utilizzati dalle stazioni appaltanti e dagli enti concedenti per svolgere una o più attività di cui all’articolo 21, comma 1, e per assicurare la piena digitalizzazione dell’intero ciclo di vita dei contratti pubblici. A tal fine, le piattaforme di approvvigionamento digitale interagiscono con i servizi della Banca dati nazionale dei contratti pubblici di cui all’articolo 23</w:t>
      </w:r>
      <w:r w:rsidR="00BC47F2" w:rsidRPr="004A5029">
        <w:rPr>
          <w:rFonts w:ascii="Times New Roman" w:hAnsi="Times New Roman" w:cs="Times New Roman"/>
          <w:bCs/>
          <w:color w:val="000000" w:themeColor="text1"/>
        </w:rPr>
        <w:t xml:space="preserve"> </w:t>
      </w:r>
      <w:r w:rsidR="00BC47F2" w:rsidRPr="004A5029">
        <w:rPr>
          <w:rFonts w:ascii="Times New Roman" w:eastAsia="Times New Roman" w:hAnsi="Times New Roman" w:cs="Times New Roman"/>
          <w:bCs/>
          <w:color w:val="000000" w:themeColor="text1"/>
          <w:lang w:eastAsia="it-IT"/>
        </w:rPr>
        <w:t>nonché con i servizi della piattaforma digitale nazionale dati di cui all’articolo 50-</w:t>
      </w:r>
      <w:r w:rsidR="00BC47F2" w:rsidRPr="004A5029">
        <w:rPr>
          <w:rFonts w:ascii="Times New Roman" w:eastAsia="Times New Roman" w:hAnsi="Times New Roman" w:cs="Times New Roman"/>
          <w:bCs/>
          <w:i/>
          <w:iCs/>
          <w:color w:val="000000" w:themeColor="text1"/>
          <w:lang w:eastAsia="it-IT"/>
        </w:rPr>
        <w:t>ter</w:t>
      </w:r>
      <w:r w:rsidR="00BC47F2" w:rsidRPr="004A5029">
        <w:rPr>
          <w:rFonts w:ascii="Times New Roman" w:eastAsia="Times New Roman" w:hAnsi="Times New Roman" w:cs="Times New Roman"/>
          <w:bCs/>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dell'amministrazione digitale</w:t>
      </w:r>
      <w:r w:rsidR="0030786B" w:rsidRPr="004A5029">
        <w:rPr>
          <w:rFonts w:ascii="Times New Roman" w:eastAsia="Calibri" w:hAnsi="Times New Roman" w:cs="Times New Roman"/>
          <w:b/>
          <w:color w:val="000000" w:themeColor="text1"/>
        </w:rPr>
        <w:t>,</w:t>
      </w:r>
      <w:r w:rsidR="00FA7F03" w:rsidRPr="004A5029">
        <w:rPr>
          <w:rFonts w:ascii="Times New Roman" w:eastAsia="Times New Roman" w:hAnsi="Times New Roman" w:cs="Times New Roman"/>
          <w:b/>
          <w:color w:val="000000" w:themeColor="text1"/>
          <w:lang w:eastAsia="it-IT"/>
        </w:rPr>
        <w:t xml:space="preserve"> di cui al</w:t>
      </w:r>
      <w:r w:rsidR="00FA7F03" w:rsidRPr="004A5029">
        <w:rPr>
          <w:rFonts w:ascii="Times New Roman" w:hAnsi="Times New Roman" w:cs="Times New Roman"/>
          <w:bCs/>
          <w:color w:val="000000" w:themeColor="text1"/>
        </w:rPr>
        <w:t xml:space="preserve"> </w:t>
      </w:r>
      <w:r w:rsidR="00BC47F2" w:rsidRPr="004A5029">
        <w:rPr>
          <w:rFonts w:ascii="Times New Roman" w:eastAsia="Times New Roman" w:hAnsi="Times New Roman" w:cs="Times New Roman"/>
          <w:bCs/>
          <w:color w:val="000000" w:themeColor="text1"/>
          <w:lang w:eastAsia="it-IT"/>
        </w:rPr>
        <w:t xml:space="preserve">decreto legislativo </w:t>
      </w:r>
      <w:r w:rsidR="009908D0" w:rsidRPr="004A5029">
        <w:rPr>
          <w:rFonts w:ascii="Times New Roman" w:eastAsia="Times New Roman" w:hAnsi="Times New Roman" w:cs="Times New Roman"/>
          <w:bCs/>
          <w:color w:val="000000" w:themeColor="text1"/>
          <w:lang w:eastAsia="it-IT"/>
        </w:rPr>
        <w:t>7 marzo 2005, n</w:t>
      </w:r>
      <w:r w:rsidR="009908D0" w:rsidRPr="004A5029">
        <w:rPr>
          <w:rFonts w:ascii="Times New Roman" w:eastAsia="Times New Roman" w:hAnsi="Times New Roman" w:cs="Times New Roman"/>
          <w:color w:val="000000" w:themeColor="text1"/>
          <w:lang w:eastAsia="it-IT"/>
        </w:rPr>
        <w:t>. 82</w:t>
      </w:r>
      <w:r w:rsidRPr="004A5029">
        <w:rPr>
          <w:rFonts w:ascii="Times New Roman" w:hAnsi="Times New Roman" w:cs="Times New Roman"/>
          <w:bCs/>
          <w:color w:val="000000" w:themeColor="text1"/>
        </w:rPr>
        <w:t xml:space="preserve">. </w:t>
      </w:r>
    </w:p>
    <w:p w14:paraId="473BE551" w14:textId="4F713F50"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Le stazioni appaltanti e gli enti concedenti utilizzano le piattaforme di approvvigionamento digitale per svolgere le procedure di affidamento </w:t>
      </w:r>
      <w:r w:rsidRPr="004A5029">
        <w:rPr>
          <w:rFonts w:ascii="Times New Roman" w:hAnsi="Times New Roman" w:cs="Times New Roman"/>
          <w:b/>
          <w:strike/>
          <w:color w:val="000000" w:themeColor="text1"/>
        </w:rPr>
        <w:t>ed</w:t>
      </w:r>
      <w:r w:rsidRPr="004A5029">
        <w:rPr>
          <w:rFonts w:ascii="Times New Roman" w:hAnsi="Times New Roman" w:cs="Times New Roman"/>
          <w:b/>
          <w:color w:val="000000" w:themeColor="text1"/>
        </w:rPr>
        <w:t xml:space="preserve"> </w:t>
      </w:r>
      <w:r w:rsidR="00054B87" w:rsidRPr="004A5029">
        <w:rPr>
          <w:rFonts w:ascii="Times New Roman" w:hAnsi="Times New Roman" w:cs="Times New Roman"/>
          <w:b/>
          <w:color w:val="000000" w:themeColor="text1"/>
        </w:rPr>
        <w:t xml:space="preserve">e di </w:t>
      </w:r>
      <w:r w:rsidRPr="004A5029">
        <w:rPr>
          <w:rFonts w:ascii="Times New Roman" w:hAnsi="Times New Roman" w:cs="Times New Roman"/>
          <w:bCs/>
          <w:color w:val="000000" w:themeColor="text1"/>
        </w:rPr>
        <w:t>esecuzione dei contratti pubblici, secondo le regole tecniche di cui all’articolo 26. Le piattaforme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non possono alterare la parità di accesso degli operatori, né impedire o limitare la partecipazione alla procedura di gara degli stessi ovvero distorcere la concorrenza, né modificare l'oggetto dell'appalto, come definito dai documenti di gara. Le stazioni appaltanti e gli enti concedenti assicurano la partecipazione alla gara anche in caso di comprovato malfunzionamento, pur se temporaneo, delle piattaforme,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anche eventualmente disponendo la sospensione del termine per la ricezione delle offerte per il periodo di tempo necessario a ripristinare il normale funzionamento e la proroga dello stesso per una durata proporzionale alla gravità del malfunzionamento.</w:t>
      </w:r>
    </w:p>
    <w:p w14:paraId="3AB254E0" w14:textId="0669C12D"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bCs/>
          <w:color w:val="000000" w:themeColor="text1"/>
        </w:rPr>
        <w:t>3. Le stazioni appaltanti e gli enti concedenti non dotati di una propria piattaforma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si avvalgono delle piattaforme messe a disposizione da altre stazioni appaltanti o enti concedenti, da centrali di committenza o da soggetti aggregatori, da regioni o province autonome</w:t>
      </w:r>
      <w:r w:rsidR="00D43A7A" w:rsidRPr="004A5029">
        <w:rPr>
          <w:rFonts w:ascii="Times New Roman" w:hAnsi="Times New Roman" w:cs="Times New Roman"/>
          <w:bCs/>
          <w:color w:val="000000" w:themeColor="text1"/>
        </w:rPr>
        <w:t>,</w:t>
      </w:r>
      <w:r w:rsidR="00054B87"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che</w:t>
      </w:r>
      <w:r w:rsidRPr="004A5029">
        <w:rPr>
          <w:rFonts w:ascii="Times New Roman" w:hAnsi="Times New Roman" w:cs="Times New Roman"/>
          <w:color w:val="000000" w:themeColor="text1"/>
        </w:rPr>
        <w:t xml:space="preserve"> a loro volta possono ricorrere a un gestore del sistema che garantisce il funzionamento e la sicurezza della piattaforma.  </w:t>
      </w:r>
    </w:p>
    <w:p w14:paraId="06F3B105"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4. È fatto divieto di porre a carico dei concorrenti o dell'aggiudicatario eventuali costi connessi alla gestione delle piattaforme.</w:t>
      </w:r>
    </w:p>
    <w:p w14:paraId="46ABBD8F" w14:textId="77777777" w:rsidR="00446F27" w:rsidRPr="004A5029" w:rsidRDefault="00446F27" w:rsidP="00446F27">
      <w:pPr>
        <w:jc w:val="both"/>
        <w:rPr>
          <w:rFonts w:ascii="Times New Roman" w:hAnsi="Times New Roman" w:cs="Times New Roman"/>
          <w:color w:val="000000" w:themeColor="text1"/>
        </w:rPr>
      </w:pPr>
    </w:p>
    <w:p w14:paraId="5324D7BF"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26.</w:t>
      </w:r>
    </w:p>
    <w:p w14:paraId="6A0226FC" w14:textId="77777777" w:rsidR="00446F27" w:rsidRPr="004A5029" w:rsidRDefault="00446F27" w:rsidP="00446F27">
      <w:pPr>
        <w:widowControl w:val="0"/>
        <w:pBdr>
          <w:top w:val="nil"/>
          <w:left w:val="nil"/>
          <w:bottom w:val="nil"/>
          <w:right w:val="nil"/>
          <w:between w:val="nil"/>
        </w:pBd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Regole tecniche.</w:t>
      </w:r>
    </w:p>
    <w:p w14:paraId="58307260" w14:textId="66003DEE"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w:t>
      </w:r>
      <w:r w:rsidR="00BC47F2" w:rsidRPr="004A5029">
        <w:rPr>
          <w:rFonts w:ascii="Times New Roman" w:hAnsi="Times New Roman" w:cs="Times New Roman"/>
          <w:bCs/>
          <w:color w:val="000000" w:themeColor="text1"/>
        </w:rPr>
        <w:t>I</w:t>
      </w:r>
      <w:r w:rsidR="00BC47F2"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requisiti tecnici delle piattaforme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nonché la conformità di dette piattaforme a quanto disposto dall’articolo 22, comma 2, sono stabilite dall’</w:t>
      </w:r>
      <w:r w:rsidRPr="004A5029">
        <w:rPr>
          <w:rFonts w:ascii="Times New Roman" w:hAnsi="Times New Roman" w:cs="Times New Roman"/>
          <w:b/>
          <w:strike/>
          <w:color w:val="000000" w:themeColor="text1"/>
        </w:rPr>
        <w:t xml:space="preserve">AgID </w:t>
      </w:r>
      <w:r w:rsidR="006A7679" w:rsidRPr="004A5029">
        <w:rPr>
          <w:rFonts w:ascii="Times New Roman" w:hAnsi="Times New Roman" w:cs="Times New Roman"/>
          <w:b/>
          <w:color w:val="000000" w:themeColor="text1"/>
        </w:rPr>
        <w:t xml:space="preserve">AGID </w:t>
      </w:r>
      <w:r w:rsidRPr="004A5029">
        <w:rPr>
          <w:rFonts w:ascii="Times New Roman" w:hAnsi="Times New Roman" w:cs="Times New Roman"/>
          <w:bCs/>
          <w:color w:val="000000" w:themeColor="text1"/>
        </w:rPr>
        <w:t xml:space="preserve">di intesa con l’ANAC e la Presidenza del Consiglio dei </w:t>
      </w:r>
      <w:r w:rsidR="004520DA"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w:t>
      </w:r>
      <w:r w:rsidR="004520DA" w:rsidRPr="004A5029">
        <w:rPr>
          <w:rFonts w:ascii="Times New Roman" w:hAnsi="Times New Roman" w:cs="Times New Roman"/>
          <w:bCs/>
          <w:color w:val="000000" w:themeColor="text1"/>
        </w:rPr>
        <w:t>inistri</w:t>
      </w:r>
      <w:r w:rsidRPr="004A5029">
        <w:rPr>
          <w:rFonts w:ascii="Times New Roman" w:hAnsi="Times New Roman" w:cs="Times New Roman"/>
          <w:bCs/>
          <w:color w:val="000000" w:themeColor="text1"/>
        </w:rPr>
        <w:t xml:space="preserve">, Dipartimento per la trasformazione digitale, entro </w:t>
      </w:r>
      <w:r w:rsidRPr="004A5029">
        <w:rPr>
          <w:rFonts w:ascii="Times New Roman" w:hAnsi="Times New Roman" w:cs="Times New Roman"/>
          <w:bCs/>
          <w:strike/>
          <w:color w:val="000000" w:themeColor="text1"/>
        </w:rPr>
        <w:t>60</w:t>
      </w:r>
      <w:r w:rsidRPr="004A5029">
        <w:rPr>
          <w:rFonts w:ascii="Times New Roman" w:hAnsi="Times New Roman" w:cs="Times New Roman"/>
          <w:bCs/>
          <w:color w:val="000000" w:themeColor="text1"/>
        </w:rPr>
        <w:t xml:space="preserve"> </w:t>
      </w:r>
      <w:r w:rsidR="00407103" w:rsidRPr="004A5029">
        <w:rPr>
          <w:rFonts w:ascii="Times New Roman" w:hAnsi="Times New Roman" w:cs="Times New Roman"/>
          <w:b/>
          <w:bCs/>
          <w:color w:val="000000" w:themeColor="text1"/>
        </w:rPr>
        <w:t>sessanta</w:t>
      </w:r>
      <w:r w:rsidR="0040710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giorni dalla data di entrata in vigore del codice.</w:t>
      </w:r>
    </w:p>
    <w:p w14:paraId="2E0D9E07" w14:textId="475F2E17"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Con il medesimo provvedimento di cui al comma 1</w:t>
      </w:r>
      <w:r w:rsidRPr="004A5029">
        <w:rPr>
          <w:rFonts w:ascii="Times New Roman" w:hAnsi="Times New Roman" w:cs="Times New Roman"/>
          <w:b/>
          <w:strike/>
          <w:color w:val="000000" w:themeColor="text1"/>
        </w:rPr>
        <w:t>,</w:t>
      </w:r>
      <w:r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 xml:space="preserve">sono stabilite le modalità </w:t>
      </w:r>
      <w:r w:rsidR="00DC2E0C" w:rsidRPr="004A5029">
        <w:rPr>
          <w:rFonts w:ascii="Times New Roman" w:hAnsi="Times New Roman" w:cs="Times New Roman"/>
          <w:bCs/>
          <w:color w:val="000000" w:themeColor="text1"/>
        </w:rPr>
        <w:t>per</w:t>
      </w:r>
      <w:r w:rsidR="00DC2E0C"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la certificazione delle piattaforme di approvvigionamento digitale.</w:t>
      </w:r>
    </w:p>
    <w:p w14:paraId="0DC960D3" w14:textId="222495DE" w:rsidR="00446F27" w:rsidRPr="004A5029" w:rsidRDefault="00446F27" w:rsidP="00446F27">
      <w:pPr>
        <w:widowControl w:val="0"/>
        <w:pBdr>
          <w:top w:val="nil"/>
          <w:left w:val="nil"/>
          <w:bottom w:val="nil"/>
          <w:right w:val="nil"/>
          <w:between w:val="nil"/>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La </w:t>
      </w:r>
      <w:r w:rsidR="00BC47F2" w:rsidRPr="004A5029">
        <w:rPr>
          <w:rFonts w:ascii="Times New Roman" w:eastAsia="Times New Roman" w:hAnsi="Times New Roman" w:cs="Times New Roman"/>
          <w:bCs/>
          <w:color w:val="000000" w:themeColor="text1"/>
          <w:lang w:eastAsia="it-IT"/>
        </w:rPr>
        <w:t xml:space="preserve">certificazione delle </w:t>
      </w:r>
      <w:r w:rsidR="00BC47F2" w:rsidRPr="004A5029">
        <w:rPr>
          <w:rFonts w:ascii="Times New Roman" w:eastAsia="Times New Roman" w:hAnsi="Times New Roman" w:cs="Times New Roman"/>
          <w:b/>
          <w:strike/>
          <w:color w:val="000000" w:themeColor="text1"/>
          <w:lang w:eastAsia="it-IT"/>
        </w:rPr>
        <w:t>predette</w:t>
      </w:r>
      <w:r w:rsidR="00BC47F2" w:rsidRPr="004A5029">
        <w:rPr>
          <w:rFonts w:ascii="Times New Roman" w:eastAsia="Times New Roman" w:hAnsi="Times New Roman" w:cs="Times New Roman"/>
          <w:bCs/>
          <w:color w:val="000000" w:themeColor="text1"/>
          <w:lang w:eastAsia="it-IT"/>
        </w:rPr>
        <w:t xml:space="preserve"> piattaforme</w:t>
      </w:r>
      <w:r w:rsidR="00010796" w:rsidRPr="004A5029">
        <w:rPr>
          <w:rFonts w:ascii="Times New Roman" w:eastAsia="Times New Roman" w:hAnsi="Times New Roman" w:cs="Times New Roman"/>
          <w:bCs/>
          <w:color w:val="000000" w:themeColor="text1"/>
          <w:lang w:eastAsia="it-IT"/>
        </w:rPr>
        <w:t xml:space="preserve"> </w:t>
      </w:r>
      <w:r w:rsidR="00010796" w:rsidRPr="004A5029">
        <w:rPr>
          <w:rFonts w:ascii="Times New Roman" w:hAnsi="Times New Roman" w:cs="Times New Roman"/>
          <w:b/>
          <w:color w:val="000000" w:themeColor="text1"/>
        </w:rPr>
        <w:t>di approvvigionamento digitale</w:t>
      </w:r>
      <w:r w:rsidR="00BC47F2" w:rsidRPr="004A5029">
        <w:rPr>
          <w:rFonts w:ascii="Times New Roman" w:eastAsia="Times New Roman" w:hAnsi="Times New Roman" w:cs="Times New Roman"/>
          <w:bCs/>
          <w:color w:val="000000" w:themeColor="text1"/>
          <w:lang w:eastAsia="it-IT"/>
        </w:rPr>
        <w:t xml:space="preserve">, rilasciata </w:t>
      </w:r>
      <w:r w:rsidR="00BC47F2" w:rsidRPr="004A5029">
        <w:rPr>
          <w:rFonts w:ascii="Times New Roman" w:eastAsia="Times New Roman" w:hAnsi="Times New Roman" w:cs="Times New Roman"/>
          <w:b/>
          <w:strike/>
          <w:color w:val="000000" w:themeColor="text1"/>
          <w:lang w:eastAsia="it-IT"/>
        </w:rPr>
        <w:t xml:space="preserve">da </w:t>
      </w:r>
      <w:r w:rsidR="006A7679" w:rsidRPr="004A5029">
        <w:rPr>
          <w:rFonts w:ascii="Times New Roman" w:hAnsi="Times New Roman" w:cs="Times New Roman"/>
          <w:b/>
          <w:strike/>
          <w:color w:val="000000" w:themeColor="text1"/>
        </w:rPr>
        <w:t>AgID</w:t>
      </w:r>
      <w:r w:rsidR="006A7679" w:rsidRPr="004A5029">
        <w:rPr>
          <w:rFonts w:ascii="Times New Roman" w:hAnsi="Times New Roman" w:cs="Times New Roman"/>
          <w:bCs/>
          <w:color w:val="000000" w:themeColor="text1"/>
        </w:rPr>
        <w:t xml:space="preserve"> </w:t>
      </w:r>
      <w:r w:rsidR="006A7679" w:rsidRPr="004A5029">
        <w:rPr>
          <w:rFonts w:ascii="Times New Roman" w:hAnsi="Times New Roman" w:cs="Times New Roman"/>
          <w:b/>
          <w:color w:val="000000" w:themeColor="text1"/>
        </w:rPr>
        <w:t>dall’AGID</w:t>
      </w:r>
      <w:r w:rsidR="00BC47F2" w:rsidRPr="004A5029">
        <w:rPr>
          <w:rFonts w:ascii="Times New Roman" w:eastAsia="Times New Roman" w:hAnsi="Times New Roman" w:cs="Times New Roman"/>
          <w:bCs/>
          <w:color w:val="000000" w:themeColor="text1"/>
          <w:lang w:eastAsia="it-IT"/>
        </w:rPr>
        <w:t xml:space="preserve">, </w:t>
      </w:r>
      <w:r w:rsidRPr="004A5029">
        <w:rPr>
          <w:rFonts w:ascii="Times New Roman" w:hAnsi="Times New Roman" w:cs="Times New Roman"/>
          <w:bCs/>
          <w:color w:val="000000" w:themeColor="text1"/>
        </w:rPr>
        <w:t>consente l’integrazione con i servizi della Banca dati nazionale dei contratti pubblici. L’ANAC cura e gestisce il registro delle piattaforme certificate.</w:t>
      </w:r>
    </w:p>
    <w:p w14:paraId="06BBA33E" w14:textId="77777777" w:rsidR="00446F27" w:rsidRPr="004A5029" w:rsidRDefault="00446F27" w:rsidP="00446F27">
      <w:pPr>
        <w:rPr>
          <w:rFonts w:ascii="Times New Roman" w:hAnsi="Times New Roman" w:cs="Times New Roman"/>
          <w:color w:val="000000" w:themeColor="text1"/>
        </w:rPr>
      </w:pPr>
    </w:p>
    <w:p w14:paraId="294499A9" w14:textId="77777777" w:rsidR="00446F27" w:rsidRPr="004A5029" w:rsidRDefault="00446F27" w:rsidP="00446F27">
      <w:pPr>
        <w:widowControl w:val="0"/>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27.</w:t>
      </w:r>
    </w:p>
    <w:p w14:paraId="0126956C" w14:textId="77777777" w:rsidR="00446F27" w:rsidRPr="004A5029" w:rsidRDefault="00446F27" w:rsidP="00446F27">
      <w:pPr>
        <w:widowControl w:val="0"/>
        <w:jc w:val="both"/>
        <w:rPr>
          <w:rFonts w:ascii="Times New Roman" w:hAnsi="Times New Roman" w:cs="Times New Roman"/>
          <w:i/>
          <w:color w:val="000000" w:themeColor="text1"/>
        </w:rPr>
      </w:pPr>
      <w:r w:rsidRPr="004A5029">
        <w:rPr>
          <w:rFonts w:ascii="Times New Roman" w:hAnsi="Times New Roman" w:cs="Times New Roman"/>
          <w:i/>
          <w:color w:val="000000" w:themeColor="text1"/>
        </w:rPr>
        <w:t>Pubblicità legale degli atti.</w:t>
      </w:r>
    </w:p>
    <w:p w14:paraId="2C40DB1B" w14:textId="3C50F9B5" w:rsidR="00446F27" w:rsidRPr="004A5029" w:rsidRDefault="00446F27" w:rsidP="00446F27">
      <w:pPr>
        <w:widowControl w:val="0"/>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La pubblicità degli atti è garantita dalla </w:t>
      </w:r>
      <w:r w:rsidRPr="004A5029">
        <w:rPr>
          <w:rFonts w:ascii="Times New Roman" w:hAnsi="Times New Roman" w:cs="Times New Roman"/>
          <w:color w:val="000000" w:themeColor="text1"/>
        </w:rPr>
        <w:t>Banca dati nazionale dei contratti pubblici</w:t>
      </w:r>
      <w:r w:rsidRPr="004A5029">
        <w:rPr>
          <w:rFonts w:ascii="Times New Roman" w:hAnsi="Times New Roman" w:cs="Times New Roman"/>
          <w:bCs/>
          <w:color w:val="000000" w:themeColor="text1"/>
        </w:rPr>
        <w:t xml:space="preserve">, mediante </w:t>
      </w:r>
      <w:r w:rsidRPr="004A5029">
        <w:rPr>
          <w:rFonts w:ascii="Times New Roman" w:hAnsi="Times New Roman" w:cs="Times New Roman"/>
          <w:color w:val="000000" w:themeColor="text1"/>
        </w:rPr>
        <w:t>la trasmissione dei dati all’Ufficio delle pubblicazioni dell’Unione</w:t>
      </w:r>
      <w:r w:rsidR="00A35BB3" w:rsidRPr="004A5029">
        <w:rPr>
          <w:rFonts w:ascii="Times New Roman" w:hAnsi="Times New Roman" w:cs="Times New Roman"/>
          <w:color w:val="000000" w:themeColor="text1"/>
        </w:rPr>
        <w:t xml:space="preserve"> europea</w:t>
      </w:r>
      <w:r w:rsidRPr="004A5029">
        <w:rPr>
          <w:rFonts w:ascii="Times New Roman" w:hAnsi="Times New Roman" w:cs="Times New Roman"/>
          <w:color w:val="000000" w:themeColor="text1"/>
        </w:rPr>
        <w:t xml:space="preserve"> </w:t>
      </w:r>
      <w:r w:rsidR="00A35BB3" w:rsidRPr="004A5029">
        <w:rPr>
          <w:rFonts w:ascii="Times New Roman" w:hAnsi="Times New Roman" w:cs="Times New Roman"/>
          <w:color w:val="000000" w:themeColor="text1"/>
        </w:rPr>
        <w:t xml:space="preserve">e la loro pubblicazione ai sensi degli articoli 84 e 85, </w:t>
      </w:r>
      <w:r w:rsidRPr="004A5029">
        <w:rPr>
          <w:rFonts w:ascii="Times New Roman" w:hAnsi="Times New Roman" w:cs="Times New Roman"/>
          <w:bCs/>
          <w:color w:val="000000" w:themeColor="text1"/>
        </w:rPr>
        <w:t>secondo quanto definito dal provvedimento di cui al comma 4 del presente articolo.</w:t>
      </w:r>
    </w:p>
    <w:p w14:paraId="0180E6D3"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color w:val="000000" w:themeColor="text1"/>
        </w:rPr>
        <w:t>2. Gli effetti giuridici degli atti oggetto di pubblicazione ai sensi del comma 1 decorrono dalla data di pubblicazione nella Banca dati nazionale dei contratti pubblici.</w:t>
      </w:r>
    </w:p>
    <w:p w14:paraId="50DFCF65" w14:textId="3724881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La documentazione di gara è resa costantemente disponibile attraverso le piattaforme digitali di cui all’articolo 25 e attraverso i siti istituzionali delle stazioni appaltanti e degli enti concedenti. Essa</w:t>
      </w:r>
      <w:r w:rsidR="00C93885"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è costantemente accessibile attraverso il collegamento con la Banca dati nazionale dei contratti pubblici. </w:t>
      </w:r>
    </w:p>
    <w:p w14:paraId="4E60568C" w14:textId="636CF823" w:rsidR="00446F27" w:rsidRPr="004A5029" w:rsidRDefault="00446F27" w:rsidP="00446F27">
      <w:pPr>
        <w:jc w:val="both"/>
        <w:rPr>
          <w:rFonts w:ascii="Times New Roman" w:hAnsi="Times New Roman" w:cs="Times New Roman"/>
          <w:b/>
          <w:strike/>
          <w:color w:val="000000" w:themeColor="text1"/>
        </w:rPr>
      </w:pPr>
      <w:r w:rsidRPr="004A5029">
        <w:rPr>
          <w:rFonts w:ascii="Times New Roman" w:hAnsi="Times New Roman" w:cs="Times New Roman"/>
          <w:bCs/>
          <w:color w:val="000000" w:themeColor="text1"/>
        </w:rPr>
        <w:t xml:space="preserve">4. L’ANAC, con proprio provvedimento da adottare entro </w:t>
      </w:r>
      <w:r w:rsidRPr="004A5029">
        <w:rPr>
          <w:rFonts w:ascii="Times New Roman" w:hAnsi="Times New Roman" w:cs="Times New Roman"/>
          <w:b/>
          <w:strike/>
          <w:color w:val="000000" w:themeColor="text1"/>
        </w:rPr>
        <w:t>60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sessanta</w:t>
      </w:r>
      <w:r w:rsidR="0040710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giorni dalla data di entrata in vigore del codice, d’intesa con il Ministero </w:t>
      </w:r>
      <w:r w:rsidRPr="004A5029">
        <w:rPr>
          <w:rFonts w:ascii="Times New Roman" w:eastAsia="Calibri" w:hAnsi="Times New Roman" w:cs="Times New Roman"/>
          <w:bCs/>
          <w:color w:val="000000" w:themeColor="text1"/>
        </w:rPr>
        <w:t>delle infrastrutture e dei trasporti</w:t>
      </w:r>
      <w:r w:rsidR="00BC47F2" w:rsidRPr="004A5029">
        <w:rPr>
          <w:rFonts w:ascii="Times New Roman" w:eastAsia="Calibri" w:hAnsi="Times New Roman" w:cs="Times New Roman"/>
          <w:bCs/>
          <w:color w:val="000000" w:themeColor="text1"/>
        </w:rPr>
        <w:t>,</w:t>
      </w:r>
      <w:r w:rsidRPr="004A5029">
        <w:rPr>
          <w:rFonts w:ascii="Times New Roman" w:eastAsia="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stabilisce </w:t>
      </w:r>
      <w:r w:rsidRPr="004A5029">
        <w:rPr>
          <w:rFonts w:ascii="Times New Roman" w:hAnsi="Times New Roman" w:cs="Times New Roman"/>
          <w:b/>
          <w:strike/>
          <w:color w:val="000000" w:themeColor="text1"/>
        </w:rPr>
        <w:t>i tempi e</w:t>
      </w:r>
      <w:r w:rsidRPr="004A5029">
        <w:rPr>
          <w:rFonts w:ascii="Times New Roman" w:hAnsi="Times New Roman" w:cs="Times New Roman"/>
          <w:bCs/>
          <w:color w:val="000000" w:themeColor="text1"/>
        </w:rPr>
        <w:t xml:space="preserve"> le modalità di attuazione del presente articolo. </w:t>
      </w:r>
      <w:r w:rsidR="00BC47F2" w:rsidRPr="004A5029">
        <w:rPr>
          <w:rFonts w:ascii="Times New Roman" w:eastAsia="Times New Roman" w:hAnsi="Times New Roman" w:cs="Times New Roman"/>
          <w:b/>
          <w:strike/>
          <w:color w:val="000000" w:themeColor="text1"/>
          <w:lang w:eastAsia="it-IT"/>
        </w:rPr>
        <w:t>Fino alla data di entrata in vigore del provvedimento di cui al primo periodo la pubblicità legale in ambito nazionale è garantita con le modalità di cui all’articolo 22</w:t>
      </w:r>
      <w:r w:rsidR="00E4542D" w:rsidRPr="004A5029">
        <w:rPr>
          <w:rFonts w:ascii="Times New Roman" w:eastAsia="Times New Roman" w:hAnsi="Times New Roman" w:cs="Times New Roman"/>
          <w:b/>
          <w:strike/>
          <w:color w:val="000000" w:themeColor="text1"/>
          <w:lang w:eastAsia="it-IT"/>
        </w:rPr>
        <w:t>5</w:t>
      </w:r>
      <w:r w:rsidR="00BC47F2" w:rsidRPr="004A5029">
        <w:rPr>
          <w:rFonts w:ascii="Times New Roman" w:eastAsia="Times New Roman" w:hAnsi="Times New Roman" w:cs="Times New Roman"/>
          <w:b/>
          <w:strike/>
          <w:color w:val="000000" w:themeColor="text1"/>
          <w:lang w:eastAsia="it-IT"/>
        </w:rPr>
        <w:t xml:space="preserve">, </w:t>
      </w:r>
      <w:bookmarkStart w:id="16" w:name="_Hlk127516681"/>
      <w:r w:rsidR="00BC47F2" w:rsidRPr="004A5029">
        <w:rPr>
          <w:rFonts w:ascii="Times New Roman" w:eastAsia="Times New Roman" w:hAnsi="Times New Roman" w:cs="Times New Roman"/>
          <w:b/>
          <w:strike/>
          <w:color w:val="000000" w:themeColor="text1"/>
          <w:lang w:eastAsia="it-IT"/>
        </w:rPr>
        <w:t xml:space="preserve">comma </w:t>
      </w:r>
      <w:r w:rsidR="00313074" w:rsidRPr="004A5029">
        <w:rPr>
          <w:rFonts w:ascii="Times New Roman" w:eastAsia="Times New Roman" w:hAnsi="Times New Roman" w:cs="Times New Roman"/>
          <w:b/>
          <w:strike/>
          <w:color w:val="000000" w:themeColor="text1"/>
          <w:lang w:eastAsia="it-IT"/>
        </w:rPr>
        <w:t>2</w:t>
      </w:r>
      <w:bookmarkEnd w:id="16"/>
      <w:r w:rsidR="00D17B1D" w:rsidRPr="004A5029">
        <w:rPr>
          <w:rFonts w:ascii="Times New Roman" w:eastAsia="Times New Roman" w:hAnsi="Times New Roman" w:cs="Times New Roman"/>
          <w:b/>
          <w:strike/>
          <w:color w:val="000000" w:themeColor="text1"/>
          <w:lang w:eastAsia="it-IT"/>
        </w:rPr>
        <w:t>.</w:t>
      </w:r>
    </w:p>
    <w:p w14:paraId="6D9E66A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L’ANAC svolge l’attività di cui al comma 1 con le risorse finanziarie previste a legislazione vigente.</w:t>
      </w:r>
    </w:p>
    <w:p w14:paraId="464FCBC1" w14:textId="77777777" w:rsidR="00446F27" w:rsidRPr="004A5029" w:rsidRDefault="00446F27" w:rsidP="00446F27">
      <w:pPr>
        <w:rPr>
          <w:rFonts w:ascii="Times New Roman" w:hAnsi="Times New Roman" w:cs="Times New Roman"/>
          <w:color w:val="000000" w:themeColor="text1"/>
        </w:rPr>
      </w:pPr>
    </w:p>
    <w:p w14:paraId="3715EB47"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28.</w:t>
      </w:r>
    </w:p>
    <w:p w14:paraId="483B5EDA" w14:textId="77777777" w:rsidR="00446F27" w:rsidRPr="004A5029" w:rsidRDefault="00446F27" w:rsidP="00446F27">
      <w:pPr>
        <w:rPr>
          <w:rFonts w:ascii="Times New Roman" w:hAnsi="Times New Roman" w:cs="Times New Roman"/>
          <w:color w:val="000000" w:themeColor="text1"/>
        </w:rPr>
      </w:pPr>
      <w:r w:rsidRPr="004A5029">
        <w:rPr>
          <w:rFonts w:ascii="Times New Roman" w:hAnsi="Times New Roman" w:cs="Times New Roman"/>
          <w:i/>
          <w:color w:val="000000" w:themeColor="text1"/>
        </w:rPr>
        <w:t>Trasparenza dei contratti pubblici.</w:t>
      </w:r>
    </w:p>
    <w:p w14:paraId="2AFA577F" w14:textId="71104EBC" w:rsidR="00446F27" w:rsidRPr="004A5029" w:rsidRDefault="00446F27" w:rsidP="00446F27">
      <w:pPr>
        <w:widowControl w:val="0"/>
        <w:pBdr>
          <w:top w:val="nil"/>
          <w:left w:val="nil"/>
          <w:bottom w:val="nil"/>
          <w:right w:val="nil"/>
          <w:between w:val="nil"/>
        </w:pBd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 xml:space="preserve">1. Le informazioni e i dati relativi alla </w:t>
      </w:r>
      <w:r w:rsidRPr="004A5029">
        <w:rPr>
          <w:rFonts w:ascii="Times New Roman" w:hAnsi="Times New Roman" w:cs="Times New Roman"/>
          <w:color w:val="000000" w:themeColor="text1"/>
        </w:rPr>
        <w:t>programmazione di lavori, servizi e forniture</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 xml:space="preserve">nonché alle procedure </w:t>
      </w:r>
      <w:r w:rsidR="00BC47F2" w:rsidRPr="004A5029">
        <w:rPr>
          <w:rFonts w:ascii="Times New Roman" w:hAnsi="Times New Roman" w:cs="Times New Roman"/>
          <w:color w:val="000000" w:themeColor="text1"/>
        </w:rPr>
        <w:t>del</w:t>
      </w:r>
      <w:r w:rsidR="00BC47F2"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ciclo di vita dei contratti pubblici, ove non considerati riservati ai sensi dell'articolo 35 ovvero secretati ai sensi dell'articolo 139, sono trasmessi tempestivamente alla Banca dati nazionale dei contratti pubblici attraverso le piattaforme digitali di cui all’articolo 25.</w:t>
      </w:r>
    </w:p>
    <w:p w14:paraId="69546336" w14:textId="749EF52C"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Le stazioni appaltanti e gli enti concedenti assicurano il collegamento tra la sezione «Amministrazione trasparente» del sito istituzionale e la Banca dati nazionale dei contratti pubblici, secondo le disposizioni di cui al decreto legislativo 14 marzo 2013, n. 33. Sono pubblicati nella </w:t>
      </w:r>
      <w:r w:rsidRPr="004A5029">
        <w:rPr>
          <w:rFonts w:ascii="Times New Roman" w:hAnsi="Times New Roman" w:cs="Times New Roman"/>
          <w:b/>
          <w:bCs/>
          <w:strike/>
          <w:color w:val="000000" w:themeColor="text1"/>
        </w:rPr>
        <w:t>predetta</w:t>
      </w:r>
      <w:r w:rsidRPr="004A5029">
        <w:rPr>
          <w:rFonts w:ascii="Times New Roman" w:hAnsi="Times New Roman" w:cs="Times New Roman"/>
          <w:color w:val="000000" w:themeColor="text1"/>
        </w:rPr>
        <w:t xml:space="preserve"> sezione </w:t>
      </w:r>
      <w:r w:rsidR="00A14425" w:rsidRPr="004A5029">
        <w:rPr>
          <w:rFonts w:ascii="Times New Roman" w:hAnsi="Times New Roman" w:cs="Times New Roman"/>
          <w:b/>
          <w:bCs/>
          <w:color w:val="000000" w:themeColor="text1"/>
        </w:rPr>
        <w:t>di cui al primo periodo</w:t>
      </w:r>
      <w:r w:rsidR="00A14425"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la composizione della commissione giudicatrice e i </w:t>
      </w:r>
      <w:r w:rsidRPr="004A5029">
        <w:rPr>
          <w:rFonts w:ascii="Times New Roman" w:hAnsi="Times New Roman" w:cs="Times New Roman"/>
          <w:i/>
          <w:color w:val="000000" w:themeColor="text1"/>
        </w:rPr>
        <w:t>curricula</w:t>
      </w:r>
      <w:r w:rsidRPr="004A5029">
        <w:rPr>
          <w:rFonts w:ascii="Times New Roman" w:hAnsi="Times New Roman" w:cs="Times New Roman"/>
          <w:color w:val="000000" w:themeColor="text1"/>
        </w:rPr>
        <w:t xml:space="preserve"> dei suoi componenti, nonché i resoconti della gestione finanziaria dei contratti al termine della loro esecuzione.</w:t>
      </w:r>
    </w:p>
    <w:p w14:paraId="6C06D501" w14:textId="33261035"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Per </w:t>
      </w:r>
      <w:r w:rsidRPr="004A5029">
        <w:rPr>
          <w:rFonts w:ascii="Times New Roman" w:hAnsi="Times New Roman" w:cs="Times New Roman"/>
          <w:bCs/>
          <w:color w:val="000000" w:themeColor="text1"/>
        </w:rPr>
        <w:t xml:space="preserve">la trasparenza dei contratti pubblici fanno fede i dati trasmessi alla Banca dati nazionale dei contratti pubblici presso l’ANAC, la quale assicura la tempestiva pubblicazione sul proprio portale dei dati ricevuti, anche attraverso la </w:t>
      </w:r>
      <w:r w:rsidRPr="004A5029">
        <w:rPr>
          <w:rFonts w:ascii="Times New Roman" w:hAnsi="Times New Roman" w:cs="Times New Roman"/>
          <w:b/>
          <w:strike/>
          <w:color w:val="000000" w:themeColor="text1"/>
        </w:rPr>
        <w:t>P</w:t>
      </w:r>
      <w:r w:rsidR="00A14425" w:rsidRPr="004A5029">
        <w:rPr>
          <w:rFonts w:ascii="Times New Roman" w:hAnsi="Times New Roman" w:cs="Times New Roman"/>
          <w:b/>
          <w:strike/>
          <w:color w:val="000000" w:themeColor="text1"/>
        </w:rPr>
        <w:t>p</w:t>
      </w:r>
      <w:r w:rsidRPr="004A5029">
        <w:rPr>
          <w:rFonts w:ascii="Times New Roman" w:hAnsi="Times New Roman" w:cs="Times New Roman"/>
          <w:bCs/>
          <w:color w:val="000000" w:themeColor="text1"/>
        </w:rPr>
        <w:t xml:space="preserve">iattaforma unica </w:t>
      </w:r>
      <w:r w:rsidRPr="004A5029">
        <w:rPr>
          <w:rFonts w:ascii="Times New Roman" w:hAnsi="Times New Roman" w:cs="Times New Roman"/>
          <w:b/>
          <w:strike/>
          <w:color w:val="000000" w:themeColor="text1"/>
        </w:rPr>
        <w:t>per la</w:t>
      </w:r>
      <w:r w:rsidRPr="004A5029">
        <w:rPr>
          <w:rFonts w:ascii="Times New Roman" w:hAnsi="Times New Roman" w:cs="Times New Roman"/>
          <w:b/>
          <w:color w:val="000000" w:themeColor="text1"/>
        </w:rPr>
        <w:t xml:space="preserve"> </w:t>
      </w:r>
      <w:r w:rsidR="006D610B" w:rsidRPr="004A5029">
        <w:rPr>
          <w:rFonts w:ascii="Times New Roman" w:hAnsi="Times New Roman" w:cs="Times New Roman"/>
          <w:b/>
          <w:color w:val="000000" w:themeColor="text1"/>
        </w:rPr>
        <w:t xml:space="preserve">della </w:t>
      </w:r>
      <w:r w:rsidRPr="004A5029">
        <w:rPr>
          <w:rFonts w:ascii="Times New Roman" w:hAnsi="Times New Roman" w:cs="Times New Roman"/>
          <w:bCs/>
          <w:color w:val="000000" w:themeColor="text1"/>
        </w:rPr>
        <w:t>trasparenza, e la periodica pubblicazione degli stessi in formato aperto. In particolare, sono pubblicati la struttura proponente, l’oggetto del bando, l’elenco degli operatori invitati a presentare offerte, l’aggiudicatario, l’importo di aggiudicazione, i tempi di completamento dei lavori, servizi o forniture e l’importo delle somme liquidate.</w:t>
      </w:r>
    </w:p>
    <w:p w14:paraId="70B2A692" w14:textId="263A734F" w:rsidR="00446F27" w:rsidRPr="004A5029" w:rsidRDefault="00446F27" w:rsidP="00446F27">
      <w:pPr>
        <w:widowControl w:val="0"/>
        <w:pBdr>
          <w:top w:val="nil"/>
          <w:left w:val="nil"/>
          <w:bottom w:val="nil"/>
          <w:right w:val="nil"/>
          <w:between w:val="nil"/>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w:t>
      </w:r>
      <w:r w:rsidRPr="004A5029">
        <w:rPr>
          <w:rFonts w:ascii="Times New Roman" w:hAnsi="Times New Roman" w:cs="Times New Roman"/>
          <w:bCs/>
          <w:color w:val="000000" w:themeColor="text1"/>
        </w:rPr>
        <w:t xml:space="preserve">L'ANAC, entro </w:t>
      </w:r>
      <w:r w:rsidRPr="004A5029">
        <w:rPr>
          <w:rFonts w:ascii="Times New Roman" w:hAnsi="Times New Roman" w:cs="Times New Roman"/>
          <w:b/>
          <w:strike/>
          <w:color w:val="000000" w:themeColor="text1"/>
        </w:rPr>
        <w:t>60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sessanta</w:t>
      </w:r>
      <w:r w:rsidR="0040710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giorni dalla data di entrata in vigore del codice, individua con proprio provvedimento le informazioni, i dati e le relative modalità di trasmissione per l’attuazione del presente articolo.</w:t>
      </w:r>
    </w:p>
    <w:p w14:paraId="5C8C6B09" w14:textId="77777777" w:rsidR="00446F27" w:rsidRPr="004A5029" w:rsidRDefault="00446F27" w:rsidP="00446F27">
      <w:pPr>
        <w:rPr>
          <w:rFonts w:ascii="Times New Roman" w:hAnsi="Times New Roman" w:cs="Times New Roman"/>
          <w:color w:val="000000" w:themeColor="text1"/>
        </w:rPr>
      </w:pPr>
    </w:p>
    <w:p w14:paraId="4E562DBA"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29.</w:t>
      </w:r>
    </w:p>
    <w:p w14:paraId="3C09F773" w14:textId="72AE9A08" w:rsidR="00446F27" w:rsidRPr="004A5029" w:rsidRDefault="00446F27" w:rsidP="00446F27">
      <w:pPr>
        <w:rPr>
          <w:rFonts w:ascii="Times New Roman" w:hAnsi="Times New Roman" w:cs="Times New Roman"/>
          <w:i/>
          <w:color w:val="000000" w:themeColor="text1"/>
        </w:rPr>
      </w:pPr>
      <w:r w:rsidRPr="004A5029">
        <w:rPr>
          <w:rFonts w:ascii="Times New Roman" w:hAnsi="Times New Roman" w:cs="Times New Roman"/>
          <w:i/>
          <w:color w:val="000000" w:themeColor="text1"/>
        </w:rPr>
        <w:t>Regole applicabili alle comunicazioni.</w:t>
      </w:r>
    </w:p>
    <w:p w14:paraId="7226F473" w14:textId="60065DAD" w:rsidR="002037DE" w:rsidRPr="004A5029" w:rsidRDefault="002037DE" w:rsidP="002037DE">
      <w:pPr>
        <w:jc w:val="both"/>
        <w:rPr>
          <w:rFonts w:ascii="Times New Roman" w:eastAsia="Calibri" w:hAnsi="Times New Roman" w:cs="Times New Roman"/>
          <w:b/>
          <w:bCs/>
          <w:color w:val="000000" w:themeColor="text1"/>
          <w:kern w:val="2"/>
          <w14:ligatures w14:val="standardContextual"/>
        </w:rPr>
      </w:pPr>
      <w:r w:rsidRPr="004A5029">
        <w:rPr>
          <w:rFonts w:ascii="Times New Roman" w:eastAsia="Calibri" w:hAnsi="Times New Roman" w:cs="Times New Roman"/>
          <w:color w:val="000000" w:themeColor="text1"/>
          <w:kern w:val="2"/>
          <w14:ligatures w14:val="standardContextual"/>
        </w:rPr>
        <w:t xml:space="preserve">1. Tutte le comunicazioni e gli scambi di informazioni di cui al codice sono eseguiti, in conformità con quanto disposto dal </w:t>
      </w:r>
      <w:r w:rsidR="00EA55F8" w:rsidRPr="00E1106A">
        <w:rPr>
          <w:rFonts w:ascii="Times New Roman" w:eastAsia="Calibri" w:hAnsi="Times New Roman" w:cs="Times New Roman"/>
          <w:b/>
          <w:bCs/>
          <w:color w:val="000000" w:themeColor="text1"/>
          <w:kern w:val="2"/>
          <w14:ligatures w14:val="standardContextual"/>
        </w:rPr>
        <w:t xml:space="preserve">codice dell’amministrazione digitale di cui al </w:t>
      </w:r>
      <w:r w:rsidRPr="00E1106A">
        <w:rPr>
          <w:rFonts w:ascii="Times New Roman" w:eastAsia="Calibri" w:hAnsi="Times New Roman" w:cs="Times New Roman"/>
          <w:color w:val="000000" w:themeColor="text1"/>
          <w:kern w:val="2"/>
          <w14:ligatures w14:val="standardContextual"/>
        </w:rPr>
        <w:t xml:space="preserve">decreto legislativo 7 marzo 2005, n. 82, </w:t>
      </w:r>
      <w:r w:rsidR="00A574CB" w:rsidRPr="00E1106A">
        <w:rPr>
          <w:rFonts w:ascii="Times New Roman" w:eastAsia="Calibri" w:hAnsi="Times New Roman" w:cs="Times New Roman"/>
          <w:b/>
          <w:bCs/>
          <w:strike/>
          <w:color w:val="000000" w:themeColor="text1"/>
          <w:kern w:val="2"/>
          <w14:ligatures w14:val="standardContextual"/>
        </w:rPr>
        <w:t>mediante l’utilizzo del domicilio digitale estratto da uno degli indici di cui agli articoli 6-bis, 6-ter, 6 quater, del medesimo decreto legislativo.</w:t>
      </w:r>
      <w:r w:rsidR="00A574CB" w:rsidRPr="00E1106A">
        <w:rPr>
          <w:rFonts w:ascii="Times New Roman" w:eastAsia="Calibri" w:hAnsi="Times New Roman" w:cs="Times New Roman"/>
          <w:color w:val="000000" w:themeColor="text1"/>
          <w:kern w:val="2"/>
          <w14:ligatures w14:val="standardContextual"/>
        </w:rPr>
        <w:t xml:space="preserve"> </w:t>
      </w:r>
      <w:r w:rsidRPr="00E1106A">
        <w:rPr>
          <w:rFonts w:ascii="Times New Roman" w:eastAsia="Times New Roman" w:hAnsi="Times New Roman" w:cs="Times New Roman"/>
          <w:b/>
          <w:bCs/>
          <w:color w:val="000000" w:themeColor="text1"/>
          <w:kern w:val="2"/>
          <w:lang w:eastAsia="it-IT"/>
          <w14:ligatures w14:val="standardContextual"/>
        </w:rPr>
        <w:t xml:space="preserve">tramite le piattaforme dell’ecosistema nazionale di cui all’articolo 22 </w:t>
      </w:r>
      <w:r w:rsidR="00EA55F8" w:rsidRPr="00E1106A">
        <w:rPr>
          <w:rFonts w:ascii="Times New Roman" w:eastAsia="Times New Roman" w:hAnsi="Times New Roman" w:cs="Times New Roman"/>
          <w:b/>
          <w:bCs/>
          <w:color w:val="000000" w:themeColor="text1"/>
          <w:kern w:val="2"/>
          <w:lang w:eastAsia="it-IT"/>
          <w14:ligatures w14:val="standardContextual"/>
        </w:rPr>
        <w:t xml:space="preserve">del presente codice </w:t>
      </w:r>
      <w:r w:rsidRPr="00E1106A">
        <w:rPr>
          <w:rFonts w:ascii="Times New Roman" w:eastAsia="Times New Roman" w:hAnsi="Times New Roman" w:cs="Times New Roman"/>
          <w:b/>
          <w:bCs/>
          <w:color w:val="000000" w:themeColor="text1"/>
          <w:kern w:val="2"/>
          <w:lang w:eastAsia="it-IT"/>
          <w14:ligatures w14:val="standardContextual"/>
        </w:rPr>
        <w:t xml:space="preserve">e, per quanto non previsto dalle predette piattaforme, mediante l’utilizzo del domicilio digitale ovvero, </w:t>
      </w:r>
      <w:r w:rsidR="00EA55F8" w:rsidRPr="00E1106A">
        <w:rPr>
          <w:rFonts w:ascii="Times New Roman" w:eastAsia="Times New Roman" w:hAnsi="Times New Roman" w:cs="Times New Roman"/>
          <w:b/>
          <w:bCs/>
          <w:strike/>
          <w:color w:val="000000" w:themeColor="text1"/>
          <w:kern w:val="2"/>
          <w:lang w:eastAsia="it-IT"/>
          <w14:ligatures w14:val="standardContextual"/>
        </w:rPr>
        <w:t>Per</w:t>
      </w:r>
      <w:r w:rsidR="00EA55F8" w:rsidRPr="00E1106A">
        <w:rPr>
          <w:rFonts w:ascii="Times New Roman" w:eastAsia="Times New Roman" w:hAnsi="Times New Roman" w:cs="Times New Roman"/>
          <w:b/>
          <w:bCs/>
          <w:color w:val="000000" w:themeColor="text1"/>
          <w:kern w:val="2"/>
          <w:lang w:eastAsia="it-IT"/>
          <w14:ligatures w14:val="standardContextual"/>
        </w:rPr>
        <w:t xml:space="preserve"> </w:t>
      </w:r>
      <w:r w:rsidRPr="00E1106A">
        <w:rPr>
          <w:rFonts w:ascii="Times New Roman" w:eastAsia="Times New Roman" w:hAnsi="Times New Roman" w:cs="Times New Roman"/>
          <w:color w:val="000000" w:themeColor="text1"/>
          <w:kern w:val="2"/>
          <w:lang w:eastAsia="it-IT"/>
          <w14:ligatures w14:val="standardContextual"/>
        </w:rPr>
        <w:t xml:space="preserve">per le comunicazioni tra </w:t>
      </w:r>
      <w:r w:rsidR="00EA55F8" w:rsidRPr="00E1106A">
        <w:rPr>
          <w:rFonts w:ascii="Times New Roman" w:eastAsia="Times New Roman" w:hAnsi="Times New Roman" w:cs="Times New Roman"/>
          <w:b/>
          <w:bCs/>
          <w:strike/>
          <w:color w:val="000000" w:themeColor="text1"/>
          <w:kern w:val="2"/>
          <w:lang w:eastAsia="it-IT"/>
          <w14:ligatures w14:val="standardContextual"/>
        </w:rPr>
        <w:t xml:space="preserve">le </w:t>
      </w:r>
      <w:r w:rsidRPr="00E1106A">
        <w:rPr>
          <w:rFonts w:ascii="Times New Roman" w:eastAsia="Times New Roman" w:hAnsi="Times New Roman" w:cs="Times New Roman"/>
          <w:color w:val="000000" w:themeColor="text1"/>
          <w:kern w:val="2"/>
          <w:lang w:eastAsia="it-IT"/>
          <w14:ligatures w14:val="standardContextual"/>
        </w:rPr>
        <w:t>pubbliche amministrazioni</w:t>
      </w:r>
      <w:r w:rsidRPr="00E1106A">
        <w:rPr>
          <w:rFonts w:ascii="Times New Roman" w:eastAsia="Times New Roman" w:hAnsi="Times New Roman" w:cs="Times New Roman"/>
          <w:b/>
          <w:bCs/>
          <w:color w:val="000000" w:themeColor="text1"/>
          <w:kern w:val="2"/>
          <w:lang w:eastAsia="it-IT"/>
          <w14:ligatures w14:val="standardContextual"/>
        </w:rPr>
        <w:t xml:space="preserve">, </w:t>
      </w:r>
      <w:r w:rsidRPr="00E1106A">
        <w:rPr>
          <w:rFonts w:ascii="Times New Roman" w:eastAsia="Times New Roman" w:hAnsi="Times New Roman" w:cs="Times New Roman"/>
          <w:b/>
          <w:bCs/>
          <w:strike/>
          <w:color w:val="000000" w:themeColor="text1"/>
          <w:kern w:val="2"/>
          <w:lang w:eastAsia="it-IT"/>
          <w14:ligatures w14:val="standardContextual"/>
        </w:rPr>
        <w:t>si applica altresì</w:t>
      </w:r>
      <w:r w:rsidRPr="00E1106A">
        <w:rPr>
          <w:rFonts w:ascii="Times New Roman" w:eastAsia="Times New Roman" w:hAnsi="Times New Roman" w:cs="Times New Roman"/>
          <w:b/>
          <w:bCs/>
          <w:color w:val="000000" w:themeColor="text1"/>
          <w:kern w:val="2"/>
          <w:lang w:eastAsia="it-IT"/>
          <w14:ligatures w14:val="standardContextual"/>
        </w:rPr>
        <w:t xml:space="preserve"> ai sensi del</w:t>
      </w:r>
      <w:r w:rsidRPr="00E1106A">
        <w:rPr>
          <w:rFonts w:ascii="Times New Roman" w:eastAsia="Times New Roman" w:hAnsi="Times New Roman" w:cs="Times New Roman"/>
          <w:color w:val="000000" w:themeColor="text1"/>
          <w:kern w:val="2"/>
          <w:lang w:eastAsia="it-IT"/>
          <w14:ligatures w14:val="standardContextual"/>
        </w:rPr>
        <w:t xml:space="preserve">l’articolo 47 del </w:t>
      </w:r>
      <w:r w:rsidRPr="00E1106A">
        <w:rPr>
          <w:rFonts w:ascii="Times New Roman" w:eastAsia="Times New Roman" w:hAnsi="Times New Roman" w:cs="Times New Roman"/>
          <w:b/>
          <w:bCs/>
          <w:strike/>
          <w:color w:val="000000" w:themeColor="text1"/>
          <w:kern w:val="2"/>
          <w:lang w:eastAsia="it-IT"/>
          <w14:ligatures w14:val="standardContextual"/>
        </w:rPr>
        <w:t>predetto</w:t>
      </w:r>
      <w:r w:rsidRPr="00E1106A">
        <w:rPr>
          <w:rFonts w:ascii="Times New Roman" w:eastAsia="Times New Roman" w:hAnsi="Times New Roman" w:cs="Times New Roman"/>
          <w:b/>
          <w:bCs/>
          <w:color w:val="000000" w:themeColor="text1"/>
          <w:kern w:val="2"/>
          <w:lang w:eastAsia="it-IT"/>
          <w14:ligatures w14:val="standardContextual"/>
        </w:rPr>
        <w:t xml:space="preserve"> </w:t>
      </w:r>
      <w:r w:rsidR="00EA55F8" w:rsidRPr="00E1106A">
        <w:rPr>
          <w:rFonts w:ascii="Times New Roman" w:eastAsia="Calibri" w:hAnsi="Times New Roman" w:cs="Times New Roman"/>
          <w:b/>
          <w:bCs/>
          <w:color w:val="000000" w:themeColor="text1"/>
          <w:kern w:val="2"/>
          <w14:ligatures w14:val="standardContextual"/>
        </w:rPr>
        <w:t>codice dell’amministrazione digitale di cui al</w:t>
      </w:r>
      <w:r w:rsidR="00EA55F8" w:rsidRPr="00EA55F8">
        <w:rPr>
          <w:rFonts w:ascii="Times New Roman" w:eastAsia="Calibri" w:hAnsi="Times New Roman" w:cs="Times New Roman"/>
          <w:b/>
          <w:bCs/>
          <w:color w:val="000000" w:themeColor="text1"/>
          <w:kern w:val="2"/>
          <w14:ligatures w14:val="standardContextual"/>
        </w:rPr>
        <w:t xml:space="preserve"> </w:t>
      </w:r>
      <w:r w:rsidRPr="004A5029">
        <w:rPr>
          <w:rFonts w:ascii="Times New Roman" w:eastAsia="Times New Roman" w:hAnsi="Times New Roman" w:cs="Times New Roman"/>
          <w:color w:val="000000" w:themeColor="text1"/>
          <w:kern w:val="2"/>
          <w:lang w:eastAsia="it-IT"/>
          <w14:ligatures w14:val="standardContextual"/>
        </w:rPr>
        <w:t>decreto legislativo n. 82 del 2005</w:t>
      </w:r>
      <w:r w:rsidRPr="004A5029">
        <w:rPr>
          <w:rFonts w:ascii="Times New Roman" w:eastAsia="Calibri" w:hAnsi="Times New Roman" w:cs="Times New Roman"/>
          <w:color w:val="000000" w:themeColor="text1"/>
          <w:kern w:val="2"/>
          <w14:ligatures w14:val="standardContextual"/>
        </w:rPr>
        <w:t xml:space="preserve">. </w:t>
      </w:r>
    </w:p>
    <w:p w14:paraId="3382A365" w14:textId="00B17087" w:rsidR="00446F27" w:rsidRPr="004A5029" w:rsidRDefault="00446F27" w:rsidP="00446F27">
      <w:pPr>
        <w:jc w:val="both"/>
        <w:rPr>
          <w:rFonts w:ascii="Times New Roman" w:hAnsi="Times New Roman" w:cs="Times New Roman"/>
          <w:color w:val="000000" w:themeColor="text1"/>
        </w:rPr>
      </w:pPr>
    </w:p>
    <w:p w14:paraId="6B8FF5AA"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30.</w:t>
      </w:r>
    </w:p>
    <w:p w14:paraId="25EC794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Uso di procedure automatizzate nel ciclo di vita dei contratti pubblici.</w:t>
      </w:r>
    </w:p>
    <w:p w14:paraId="597E9985" w14:textId="141D67C1"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Per migliorare l’efficienza le stazioni appaltanti e gli enti concedenti provvedono, ove possibile, ad automatizzare le proprie attività ricorrendo a soluzioni tecnologiche, ivi incluse l’intelligenza artificiale e le tecnologie di registri distribuiti</w:t>
      </w:r>
      <w:r w:rsidR="0011420B" w:rsidRPr="004A5029">
        <w:rPr>
          <w:rFonts w:ascii="Times New Roman" w:eastAsia="Times New Roman" w:hAnsi="Times New Roman" w:cs="Times New Roman"/>
          <w:bCs/>
          <w:color w:val="000000" w:themeColor="text1"/>
          <w:lang w:eastAsia="it-IT"/>
        </w:rPr>
        <w:t>, nel rispetto delle specifiche disposizioni in materia</w:t>
      </w:r>
      <w:r w:rsidRPr="004A5029">
        <w:rPr>
          <w:rFonts w:ascii="Times New Roman" w:hAnsi="Times New Roman" w:cs="Times New Roman"/>
          <w:bCs/>
          <w:color w:val="000000" w:themeColor="text1"/>
        </w:rPr>
        <w:t>.</w:t>
      </w:r>
    </w:p>
    <w:p w14:paraId="316A315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Nell’acquisto o sviluppo delle soluzioni di cui al comma 1 le stazioni appaltanti e gli enti concedenti:</w:t>
      </w:r>
    </w:p>
    <w:p w14:paraId="02C1A86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assicurano la disponibilità del codice sorgente, della relativa documentazione, nonché di ogni altro elemento utile a comprenderne le logiche di funzionamento; </w:t>
      </w:r>
    </w:p>
    <w:p w14:paraId="6DB65BA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introducono negli atti di indizione delle gare clausole volte ad assicurare le prestazioni di assistenza e manutenzione necessarie alla correzione degli errori e degli effetti indesiderati derivanti dall’automazione. </w:t>
      </w:r>
    </w:p>
    <w:p w14:paraId="45C8E59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 decisioni assunte mediante automazione rispettano i principi di:</w:t>
      </w:r>
    </w:p>
    <w:p w14:paraId="77646F3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conoscibilità e comprensibilità, per cui ogni operatore economico ha diritto a conoscere l’esistenza di processi decisionali automatizzati che lo riguardino e, in tal caso, a ricevere informazioni significative sulla logica utilizzata; </w:t>
      </w:r>
    </w:p>
    <w:p w14:paraId="27DCF24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non esclusività della decisione algoritmica, per cui comunque esiste nel processo decisionale un contributo umano capace di controllare, validare ovvero smentire la decisione automatizzata; </w:t>
      </w:r>
    </w:p>
    <w:p w14:paraId="26ADBA9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non discriminazione algoritmica, per cui il titolare mette in atto misure tecniche e organizzative adeguate al fine di impedire effetti discriminatori nei confronti degli operatori economici.</w:t>
      </w:r>
    </w:p>
    <w:p w14:paraId="30FD59A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Le stazioni appaltanti e gli enti concedenti adottano ogni misura tecnica e organizzativa atta a garantire che siano rettificati i fattori che comportano inesattezze dei dati e sia minimizzato il rischio di errori, nonché a impedire effetti discriminatori nei confronti di persone fisiche sulla base della nazionalità, dell'origine etnica, delle opinioni politiche, della religione, delle convinzioni personali, dell'appartenenza sindacale, dei caratteri somatici, dello </w:t>
      </w:r>
      <w:r w:rsidRPr="004A5029">
        <w:rPr>
          <w:rFonts w:ascii="Times New Roman" w:hAnsi="Times New Roman" w:cs="Times New Roman"/>
          <w:bCs/>
          <w:i/>
          <w:iCs/>
          <w:color w:val="000000" w:themeColor="text1"/>
        </w:rPr>
        <w:t>status</w:t>
      </w:r>
      <w:r w:rsidRPr="004A5029">
        <w:rPr>
          <w:rFonts w:ascii="Times New Roman" w:hAnsi="Times New Roman" w:cs="Times New Roman"/>
          <w:bCs/>
          <w:color w:val="000000" w:themeColor="text1"/>
        </w:rPr>
        <w:t xml:space="preserve"> genetico, dello stato di salute, del genere o dell’orientamento sessuale.</w:t>
      </w:r>
    </w:p>
    <w:p w14:paraId="6C312F4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 pubbliche amministrazioni pubblicano sul sito istituzionale, nella sezione «Amministrazione trasparente», l’elenco delle soluzioni tecnologiche di cui al comma 1 utilizzate ai fini dello svolgimento della propria attività.</w:t>
      </w:r>
    </w:p>
    <w:p w14:paraId="5C71F136" w14:textId="77777777" w:rsidR="00446F27" w:rsidRPr="004A5029" w:rsidRDefault="00446F27" w:rsidP="00446F27">
      <w:pPr>
        <w:rPr>
          <w:rFonts w:ascii="Times New Roman" w:hAnsi="Times New Roman" w:cs="Times New Roman"/>
          <w:color w:val="000000" w:themeColor="text1"/>
        </w:rPr>
      </w:pPr>
    </w:p>
    <w:p w14:paraId="788A3330" w14:textId="02BEF4B3" w:rsidR="00446F27" w:rsidRPr="004A5029" w:rsidRDefault="00446F27" w:rsidP="0011420B">
      <w:pPr>
        <w:widowControl w:val="0"/>
        <w:tabs>
          <w:tab w:val="left" w:pos="1800"/>
        </w:tabs>
        <w:jc w:val="both"/>
        <w:rPr>
          <w:rFonts w:ascii="Times New Roman" w:hAnsi="Times New Roman" w:cs="Times New Roman"/>
          <w:b/>
          <w:bCs/>
          <w:color w:val="000000" w:themeColor="text1"/>
        </w:rPr>
      </w:pPr>
      <w:r w:rsidRPr="004A5029">
        <w:rPr>
          <w:rFonts w:ascii="Times New Roman" w:hAnsi="Times New Roman" w:cs="Times New Roman"/>
          <w:b/>
          <w:color w:val="000000" w:themeColor="text1"/>
        </w:rPr>
        <w:t>Articolo 31.</w:t>
      </w:r>
      <w:r w:rsidR="0011420B" w:rsidRPr="004A5029">
        <w:rPr>
          <w:rFonts w:ascii="Times New Roman" w:hAnsi="Times New Roman" w:cs="Times New Roman"/>
          <w:b/>
          <w:color w:val="000000" w:themeColor="text1"/>
        </w:rPr>
        <w:tab/>
      </w:r>
      <w:r w:rsidR="0011420B" w:rsidRPr="004A5029">
        <w:rPr>
          <w:rFonts w:ascii="Times New Roman" w:hAnsi="Times New Roman" w:cs="Times New Roman"/>
          <w:b/>
          <w:bCs/>
          <w:color w:val="000000" w:themeColor="text1"/>
        </w:rPr>
        <w:t xml:space="preserve"> </w:t>
      </w:r>
    </w:p>
    <w:p w14:paraId="5E1D4028"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Anagrafe degli operatori economici partecipanti agli appalti.</w:t>
      </w:r>
    </w:p>
    <w:p w14:paraId="7357CA74" w14:textId="63911D63" w:rsidR="00446F27" w:rsidRPr="004A5029" w:rsidRDefault="00446F27" w:rsidP="00446F27">
      <w:pPr>
        <w:widowControl w:val="0"/>
        <w:jc w:val="both"/>
        <w:rPr>
          <w:rFonts w:ascii="Times New Roman" w:hAnsi="Times New Roman" w:cs="Times New Roman"/>
          <w:strike/>
          <w:color w:val="000000" w:themeColor="text1"/>
        </w:rPr>
      </w:pPr>
      <w:r w:rsidRPr="004A5029">
        <w:rPr>
          <w:rFonts w:ascii="Times New Roman" w:hAnsi="Times New Roman" w:cs="Times New Roman"/>
          <w:color w:val="000000" w:themeColor="text1"/>
        </w:rPr>
        <w:t xml:space="preserve">1. È istituita presso l’ANAC l’Anagrafe degli operatori economici a qualunque titolo coinvolti nei contratti pubblici, che si avvale del </w:t>
      </w:r>
      <w:bookmarkStart w:id="17" w:name="_Hlk127516830"/>
      <w:r w:rsidR="00ED3AA4" w:rsidRPr="004A5029">
        <w:rPr>
          <w:rFonts w:ascii="Times New Roman" w:hAnsi="Times New Roman" w:cs="Times New Roman"/>
          <w:b/>
          <w:bCs/>
          <w:strike/>
          <w:color w:val="000000" w:themeColor="text1"/>
        </w:rPr>
        <w:t>R</w:t>
      </w:r>
      <w:r w:rsidR="00DC2C0C" w:rsidRPr="004A5029">
        <w:rPr>
          <w:rFonts w:ascii="Times New Roman" w:hAnsi="Times New Roman" w:cs="Times New Roman"/>
          <w:b/>
          <w:bCs/>
          <w:color w:val="000000" w:themeColor="text1"/>
        </w:rPr>
        <w:t>r</w:t>
      </w:r>
      <w:r w:rsidRPr="004A5029">
        <w:rPr>
          <w:rFonts w:ascii="Times New Roman" w:hAnsi="Times New Roman" w:cs="Times New Roman"/>
          <w:color w:val="000000" w:themeColor="text1"/>
        </w:rPr>
        <w:t>egistro</w:t>
      </w:r>
      <w:bookmarkEnd w:id="17"/>
      <w:r w:rsidRPr="004A5029">
        <w:rPr>
          <w:rFonts w:ascii="Times New Roman" w:hAnsi="Times New Roman" w:cs="Times New Roman"/>
          <w:color w:val="000000" w:themeColor="text1"/>
        </w:rPr>
        <w:t xml:space="preserve"> delle imprese</w:t>
      </w:r>
      <w:r w:rsidR="00880011" w:rsidRPr="004A5029">
        <w:rPr>
          <w:rFonts w:ascii="Times New Roman" w:hAnsi="Times New Roman" w:cs="Times New Roman"/>
          <w:color w:val="000000" w:themeColor="text1"/>
        </w:rPr>
        <w:t>.</w:t>
      </w:r>
    </w:p>
    <w:p w14:paraId="59B48D11"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L’Anagrafe censisce gli operatori economici di cui al comma 1, nonché i soggetti, le persone fisiche e i titolari di cariche ad essi riferibili.</w:t>
      </w:r>
    </w:p>
    <w:p w14:paraId="4B15AE49" w14:textId="323B68AB"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Per le persone fisiche di cui al comma 2 l’Anagrafe assume valore certificativo per i ruoli e le cariche rivestiti non risultanti dal </w:t>
      </w:r>
      <w:r w:rsidR="00CC2CF4" w:rsidRPr="004A5029">
        <w:rPr>
          <w:rFonts w:ascii="Times New Roman" w:hAnsi="Times New Roman" w:cs="Times New Roman"/>
          <w:b/>
          <w:bCs/>
          <w:strike/>
          <w:color w:val="000000" w:themeColor="text1"/>
        </w:rPr>
        <w:t>R</w:t>
      </w:r>
      <w:r w:rsidR="00CC2CF4" w:rsidRPr="004A5029">
        <w:rPr>
          <w:rFonts w:ascii="Times New Roman" w:hAnsi="Times New Roman" w:cs="Times New Roman"/>
          <w:b/>
          <w:bCs/>
          <w:color w:val="000000" w:themeColor="text1"/>
        </w:rPr>
        <w:t>r</w:t>
      </w:r>
      <w:r w:rsidRPr="004A5029">
        <w:rPr>
          <w:rFonts w:ascii="Times New Roman" w:hAnsi="Times New Roman" w:cs="Times New Roman"/>
          <w:color w:val="000000" w:themeColor="text1"/>
        </w:rPr>
        <w:t>egistro delle imprese.</w:t>
      </w:r>
    </w:p>
    <w:p w14:paraId="5D4BD19A" w14:textId="77777777" w:rsidR="00446F27" w:rsidRPr="004A5029" w:rsidRDefault="00446F27" w:rsidP="00446F27">
      <w:pPr>
        <w:widowControl w:val="0"/>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I dati dell’Anagrafe sono resi disponibili a tutti i soggetti operanti nell’ambito dell’ecosistema nazionale di approvvigionamento digitale, attraverso le piattaforme di cui agli articoli 23, 24 e 25, per i trattamenti e le finalità legati alla gestione del ciclo di vita dei contratti pubblici.</w:t>
      </w:r>
    </w:p>
    <w:p w14:paraId="62199465" w14:textId="77777777" w:rsidR="00446F27" w:rsidRPr="004A5029" w:rsidRDefault="00446F27" w:rsidP="00446F27">
      <w:pPr>
        <w:jc w:val="both"/>
        <w:rPr>
          <w:rFonts w:ascii="Times New Roman" w:hAnsi="Times New Roman" w:cs="Times New Roman"/>
          <w:color w:val="000000" w:themeColor="text1"/>
        </w:rPr>
      </w:pPr>
    </w:p>
    <w:p w14:paraId="57AA009E" w14:textId="77777777" w:rsidR="00446F27" w:rsidRPr="004A5029" w:rsidRDefault="00446F27" w:rsidP="00446F27">
      <w:pPr>
        <w:shd w:val="clear" w:color="auto" w:fill="FFFFFF"/>
        <w:jc w:val="both"/>
        <w:textAlignment w:val="baseline"/>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32.</w:t>
      </w:r>
    </w:p>
    <w:p w14:paraId="2FAF5D0C" w14:textId="77777777" w:rsidR="00446F27" w:rsidRPr="004A5029" w:rsidRDefault="00446F27" w:rsidP="00446F27">
      <w:pPr>
        <w:shd w:val="clear" w:color="auto" w:fill="FFFFFF"/>
        <w:jc w:val="both"/>
        <w:textAlignment w:val="baseline"/>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Cs/>
          <w:i/>
          <w:color w:val="000000" w:themeColor="text1"/>
          <w:lang w:eastAsia="it-IT"/>
        </w:rPr>
        <w:t>Sistemi dinamici di acquisizione.</w:t>
      </w:r>
    </w:p>
    <w:p w14:paraId="48219528"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Per acquisti di uso corrente, le cui caratteristiche, così come generalmente disponibili sul mercato, soddisfano le esigenze delle stazioni appaltanti e degli enti concedenti, è possibile avvalersi di un sistema dinamico di acquisizione. Il sistema dinamico di acquisizione è un procedimento interamente elettronico ed è aperto per tutto il periodo di efficacia a qualsiasi operatore economico che soddisfi i criteri di selezione. Può essere diviso in categorie definite di prodotti, lavori o servizi sulla base delle caratteristiche dell'appalto da eseguire. Tali caratteristiche possono comprendere un riferimento al quantitativo massimo ammissibile degli appalti specifici successivi o a un'area geografica specifica in cui gli appalti saranno eseguiti.</w:t>
      </w:r>
    </w:p>
    <w:p w14:paraId="50D2F50A" w14:textId="54B29392"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Per l'aggiudicazione nell'ambito di un sistema dinamico di acquisizione,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w:t>
      </w:r>
      <w:r w:rsidR="00A47D2D" w:rsidRPr="004A5029">
        <w:rPr>
          <w:rFonts w:ascii="Times New Roman" w:eastAsia="Times New Roman" w:hAnsi="Times New Roman" w:cs="Times New Roman"/>
          <w:color w:val="000000" w:themeColor="text1"/>
          <w:lang w:eastAsia="it-IT"/>
        </w:rPr>
        <w:t>osservano</w:t>
      </w:r>
      <w:r w:rsidRPr="004A5029">
        <w:rPr>
          <w:rFonts w:ascii="Times New Roman" w:eastAsia="Times New Roman" w:hAnsi="Times New Roman" w:cs="Times New Roman"/>
          <w:color w:val="000000" w:themeColor="text1"/>
          <w:lang w:eastAsia="it-IT"/>
        </w:rPr>
        <w:t xml:space="preserve"> le norme previste per la procedura ristretta di cui all'articolo 72. Tutti i candidati che soddisfano i criteri di selezione sono ammessi al sistema </w:t>
      </w:r>
      <w:r w:rsidRPr="004A5029">
        <w:rPr>
          <w:rFonts w:ascii="Times New Roman" w:eastAsia="Times New Roman" w:hAnsi="Times New Roman" w:cs="Times New Roman"/>
          <w:bCs/>
          <w:color w:val="000000" w:themeColor="text1"/>
          <w:lang w:eastAsia="it-IT"/>
        </w:rPr>
        <w:t xml:space="preserve">e </w:t>
      </w:r>
      <w:r w:rsidRPr="004A5029">
        <w:rPr>
          <w:rFonts w:ascii="Times New Roman" w:eastAsia="Times New Roman" w:hAnsi="Times New Roman" w:cs="Times New Roman"/>
          <w:color w:val="000000" w:themeColor="text1"/>
          <w:lang w:eastAsia="it-IT"/>
        </w:rPr>
        <w:t xml:space="preserve">il numero dei candidati ammessi non </w:t>
      </w:r>
      <w:r w:rsidRPr="004A5029">
        <w:rPr>
          <w:rFonts w:ascii="Times New Roman" w:eastAsia="Times New Roman" w:hAnsi="Times New Roman" w:cs="Times New Roman"/>
          <w:bCs/>
          <w:color w:val="000000" w:themeColor="text1"/>
          <w:lang w:eastAsia="it-IT"/>
        </w:rPr>
        <w:t>può</w:t>
      </w:r>
      <w:r w:rsidRPr="004A5029">
        <w:rPr>
          <w:rFonts w:ascii="Times New Roman" w:eastAsia="Times New Roman" w:hAnsi="Times New Roman" w:cs="Times New Roman"/>
          <w:color w:val="000000" w:themeColor="text1"/>
          <w:lang w:eastAsia="it-IT"/>
        </w:rPr>
        <w:t xml:space="preserve"> essere limitato. Le stazioni appaltanti e gli enti concedenti che hanno diviso il sistema in categorie di prodotti, lavori o servizi conformemente al comma 1, precisano i criteri di selezione applicabili per ciascuna categoria.</w:t>
      </w:r>
    </w:p>
    <w:p w14:paraId="00871A58"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Nei settori ordinari, fermo restando quanto previsto dall'articolo 72, si applicano i seguenti termini:</w:t>
      </w:r>
    </w:p>
    <w:p w14:paraId="2644B79E" w14:textId="12A0765B"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il termine minimo per la ricezione delle domande di partecipazione è di </w:t>
      </w:r>
      <w:r w:rsidRPr="004A5029">
        <w:rPr>
          <w:rFonts w:ascii="Times New Roman" w:eastAsia="Times New Roman" w:hAnsi="Times New Roman" w:cs="Times New Roman"/>
          <w:b/>
          <w:strike/>
          <w:color w:val="000000" w:themeColor="text1"/>
          <w:lang w:eastAsia="it-IT"/>
        </w:rPr>
        <w:t>30</w:t>
      </w:r>
      <w:r w:rsidRPr="004A5029">
        <w:rPr>
          <w:rFonts w:ascii="Times New Roman" w:eastAsia="Times New Roman" w:hAnsi="Times New Roman" w:cs="Times New Roman"/>
          <w:b/>
          <w:color w:val="000000" w:themeColor="text1"/>
          <w:lang w:eastAsia="it-IT"/>
        </w:rPr>
        <w:t xml:space="preserve"> </w:t>
      </w:r>
      <w:r w:rsidR="00407103" w:rsidRPr="004A5029">
        <w:rPr>
          <w:rFonts w:ascii="Times New Roman" w:hAnsi="Times New Roman" w:cs="Times New Roman"/>
          <w:b/>
          <w:color w:val="000000" w:themeColor="text1"/>
        </w:rPr>
        <w:t>trenta</w:t>
      </w:r>
      <w:r w:rsidR="00407103"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giorni dalla data di trasmissione del bando di gara o, se un avviso di pre-informazione è utilizzato come mezzo di indizione di una gara, dalla data d'invio dell'invito a confermare interesse. Non sono applicabili ulteriori termini per la ricezione delle domande di partecipazione una volta che l'invito a presentare offerte per il primo appalto specifico nel sistema dinamico di acquisizione è stato inviato;</w:t>
      </w:r>
    </w:p>
    <w:p w14:paraId="5C43901F" w14:textId="06C69F51"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il termine minimo per la ricezione delle offerte è di almeno </w:t>
      </w:r>
      <w:r w:rsidRPr="004A5029">
        <w:rPr>
          <w:rFonts w:ascii="Times New Roman" w:eastAsia="Times New Roman" w:hAnsi="Times New Roman" w:cs="Times New Roman"/>
          <w:b/>
          <w:strike/>
          <w:color w:val="000000" w:themeColor="text1"/>
          <w:lang w:eastAsia="it-IT"/>
        </w:rPr>
        <w:t>10</w:t>
      </w:r>
      <w:r w:rsidRPr="004A5029">
        <w:rPr>
          <w:rFonts w:ascii="Times New Roman" w:eastAsia="Times New Roman" w:hAnsi="Times New Roman" w:cs="Times New Roman"/>
          <w:b/>
          <w:color w:val="000000" w:themeColor="text1"/>
          <w:lang w:eastAsia="it-IT"/>
        </w:rPr>
        <w:t xml:space="preserve"> </w:t>
      </w:r>
      <w:r w:rsidR="00407103" w:rsidRPr="004A5029">
        <w:rPr>
          <w:rFonts w:ascii="Times New Roman" w:hAnsi="Times New Roman" w:cs="Times New Roman"/>
          <w:b/>
          <w:color w:val="000000" w:themeColor="text1"/>
        </w:rPr>
        <w:t>dieci</w:t>
      </w:r>
      <w:r w:rsidR="00407103"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giorni dalla data di trasmissione dell'invito a presentare offerte. Si applica l'articolo 72, comma 5.</w:t>
      </w:r>
    </w:p>
    <w:p w14:paraId="1ECB830A"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4. Nei settori speciali si applicano i seguenti termini:</w:t>
      </w:r>
    </w:p>
    <w:p w14:paraId="439E9A14" w14:textId="3846907D"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il termine minimo per la ricezione delle domande di partecipazione è fissato in non meno di </w:t>
      </w:r>
      <w:r w:rsidRPr="004A5029">
        <w:rPr>
          <w:rFonts w:ascii="Times New Roman" w:eastAsia="Times New Roman" w:hAnsi="Times New Roman" w:cs="Times New Roman"/>
          <w:b/>
          <w:bCs/>
          <w:strike/>
          <w:color w:val="000000" w:themeColor="text1"/>
          <w:lang w:eastAsia="it-IT"/>
        </w:rPr>
        <w:t>30</w:t>
      </w:r>
      <w:r w:rsidRPr="004A5029">
        <w:rPr>
          <w:rFonts w:ascii="Times New Roman" w:eastAsia="Times New Roman" w:hAnsi="Times New Roman" w:cs="Times New Roman"/>
          <w:b/>
          <w:bCs/>
          <w:color w:val="000000" w:themeColor="text1"/>
          <w:lang w:eastAsia="it-IT"/>
        </w:rPr>
        <w:t xml:space="preserve"> </w:t>
      </w:r>
      <w:r w:rsidR="00407103" w:rsidRPr="004A5029">
        <w:rPr>
          <w:rFonts w:ascii="Times New Roman" w:hAnsi="Times New Roman" w:cs="Times New Roman"/>
          <w:b/>
          <w:bCs/>
          <w:color w:val="000000" w:themeColor="text1"/>
        </w:rPr>
        <w:t>trenta</w:t>
      </w:r>
      <w:r w:rsidR="00407103"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giorni dalla data di trasmissione del bando di gara o, se come mezzo di indizione di gara è usato un avviso periodico indicativo, dell'invito a confermare interesse. Non sono applicabili ulteriori termini per la ricezione delle domande di partecipazione dopo l'invio dell'invito a presentare offerte per il primo appalto specifico;</w:t>
      </w:r>
    </w:p>
    <w:p w14:paraId="33D644EC" w14:textId="0A040879"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il termine minimo per la ricezione delle offerte è di almeno </w:t>
      </w:r>
      <w:r w:rsidR="00407103" w:rsidRPr="004A5029">
        <w:rPr>
          <w:rFonts w:ascii="Times New Roman" w:eastAsia="Times New Roman" w:hAnsi="Times New Roman" w:cs="Times New Roman"/>
          <w:b/>
          <w:strike/>
          <w:color w:val="000000" w:themeColor="text1"/>
          <w:lang w:eastAsia="it-IT"/>
        </w:rPr>
        <w:t>10</w:t>
      </w:r>
      <w:r w:rsidR="00407103" w:rsidRPr="004A5029">
        <w:rPr>
          <w:rFonts w:ascii="Times New Roman" w:eastAsia="Times New Roman" w:hAnsi="Times New Roman" w:cs="Times New Roman"/>
          <w:b/>
          <w:color w:val="000000" w:themeColor="text1"/>
          <w:lang w:eastAsia="it-IT"/>
        </w:rPr>
        <w:t xml:space="preserve"> </w:t>
      </w:r>
      <w:r w:rsidR="00407103" w:rsidRPr="004A5029">
        <w:rPr>
          <w:rFonts w:ascii="Times New Roman" w:hAnsi="Times New Roman" w:cs="Times New Roman"/>
          <w:b/>
          <w:color w:val="000000" w:themeColor="text1"/>
        </w:rPr>
        <w:t>dieci</w:t>
      </w:r>
      <w:r w:rsidRPr="004A5029">
        <w:rPr>
          <w:rFonts w:ascii="Times New Roman" w:eastAsia="Times New Roman" w:hAnsi="Times New Roman" w:cs="Times New Roman"/>
          <w:color w:val="000000" w:themeColor="text1"/>
          <w:lang w:eastAsia="it-IT"/>
        </w:rPr>
        <w:t xml:space="preserve"> giorni dalla data di trasmissione dell'invito a presentare offerte. Si applica l'articolo 72, comma 5.</w:t>
      </w:r>
    </w:p>
    <w:p w14:paraId="2E4DF735"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5. Tutte le comunicazioni nel quadro di un sistema dinamico di acquisizione sono effettuate esclusivamente con mezzi elettronici conformemente all’articolo 29.</w:t>
      </w:r>
    </w:p>
    <w:p w14:paraId="5FEEC442"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6. Per aggiudicare appalti nel quadro di un sistema dinamico di acquisizione, le stazioni appaltanti e gli enti concedenti:</w:t>
      </w:r>
    </w:p>
    <w:p w14:paraId="4665C031"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pubblicano un avviso di indizione di gara precisando che si tratta di un sistema dinamico di acquisizione;</w:t>
      </w:r>
    </w:p>
    <w:p w14:paraId="3BBD15DC"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nei documenti di gara precisano almeno la natura e la quantità stimata degli acquisti previsti, nonché tutte le informazioni necessarie riguardanti il sistema dinamico di acquisizione, comprese le modalità di funzionamento del sistema, il dispositivo elettronico utilizzato nonché le modalità e le specifiche tecniche di collegamento;</w:t>
      </w:r>
    </w:p>
    <w:p w14:paraId="68A89053"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c) indicano un'eventuale divisione in categorie di prodotti, lavori o servizi e le caratteristiche che definiscono le categorie;</w:t>
      </w:r>
    </w:p>
    <w:p w14:paraId="6F18CF41"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d) offrono accesso libero, diretto e completo ai documenti di gara a norma dell'articolo 88.</w:t>
      </w:r>
    </w:p>
    <w:p w14:paraId="421088B7" w14:textId="7A29F3CB"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7.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bCs/>
          <w:color w:val="000000" w:themeColor="text1"/>
          <w:lang w:eastAsia="it-IT"/>
        </w:rPr>
        <w:t>assicurano</w:t>
      </w:r>
      <w:r w:rsidRPr="004A5029">
        <w:rPr>
          <w:rFonts w:ascii="Times New Roman" w:eastAsia="Times New Roman" w:hAnsi="Times New Roman" w:cs="Times New Roman"/>
          <w:color w:val="000000" w:themeColor="text1"/>
          <w:lang w:eastAsia="it-IT"/>
        </w:rPr>
        <w:t xml:space="preserve"> a tutti gli operatori economici, per il periodo di validità del sistema dinamico di acquisizione, la possibilità di chiedere di essere ammessi al sistema alle condizioni di cui ai commi da 2 a 4.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valutano tali domande in base ai criteri di selezione entro </w:t>
      </w:r>
      <w:r w:rsidR="00407103" w:rsidRPr="004A5029">
        <w:rPr>
          <w:rFonts w:ascii="Times New Roman" w:eastAsia="Times New Roman" w:hAnsi="Times New Roman" w:cs="Times New Roman"/>
          <w:b/>
          <w:strike/>
          <w:color w:val="000000" w:themeColor="text1"/>
          <w:lang w:eastAsia="it-IT"/>
        </w:rPr>
        <w:t>10</w:t>
      </w:r>
      <w:r w:rsidR="00407103" w:rsidRPr="004A5029">
        <w:rPr>
          <w:rFonts w:ascii="Times New Roman" w:eastAsia="Times New Roman" w:hAnsi="Times New Roman" w:cs="Times New Roman"/>
          <w:b/>
          <w:color w:val="000000" w:themeColor="text1"/>
          <w:lang w:eastAsia="it-IT"/>
        </w:rPr>
        <w:t xml:space="preserve"> </w:t>
      </w:r>
      <w:r w:rsidR="00407103" w:rsidRPr="004A5029">
        <w:rPr>
          <w:rFonts w:ascii="Times New Roman" w:hAnsi="Times New Roman" w:cs="Times New Roman"/>
          <w:b/>
          <w:color w:val="000000" w:themeColor="text1"/>
        </w:rPr>
        <w:t>dieci</w:t>
      </w:r>
      <w:r w:rsidRPr="004A5029">
        <w:rPr>
          <w:rFonts w:ascii="Times New Roman" w:eastAsia="Times New Roman" w:hAnsi="Times New Roman" w:cs="Times New Roman"/>
          <w:color w:val="000000" w:themeColor="text1"/>
          <w:lang w:eastAsia="it-IT"/>
        </w:rPr>
        <w:t xml:space="preserve"> giorni lavorativi dal loro ricevimento. Il termine può essere prorogato fino a </w:t>
      </w:r>
      <w:r w:rsidRPr="004A5029">
        <w:rPr>
          <w:rFonts w:ascii="Times New Roman" w:eastAsia="Times New Roman" w:hAnsi="Times New Roman" w:cs="Times New Roman"/>
          <w:b/>
          <w:strike/>
          <w:color w:val="000000" w:themeColor="text1"/>
          <w:lang w:eastAsia="it-IT"/>
        </w:rPr>
        <w:t>15</w:t>
      </w:r>
      <w:r w:rsidR="00407103" w:rsidRPr="004A5029">
        <w:rPr>
          <w:rFonts w:ascii="Times New Roman" w:eastAsia="Times New Roman" w:hAnsi="Times New Roman" w:cs="Times New Roman"/>
          <w:b/>
          <w:color w:val="000000" w:themeColor="text1"/>
          <w:lang w:eastAsia="it-IT"/>
        </w:rPr>
        <w:t xml:space="preserve"> </w:t>
      </w:r>
      <w:r w:rsidR="00407103" w:rsidRPr="004A5029">
        <w:rPr>
          <w:rFonts w:ascii="Times New Roman" w:eastAsia="Times New Roman" w:hAnsi="Times New Roman" w:cs="Times New Roman"/>
          <w:b/>
          <w:bCs/>
          <w:color w:val="000000" w:themeColor="text1"/>
          <w:lang w:eastAsia="it-IT"/>
        </w:rPr>
        <w:t>quindici</w:t>
      </w:r>
      <w:r w:rsidRPr="004A5029">
        <w:rPr>
          <w:rFonts w:ascii="Times New Roman" w:eastAsia="Times New Roman" w:hAnsi="Times New Roman" w:cs="Times New Roman"/>
          <w:b/>
          <w:bCs/>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giorni lavorativi in singoli casi motivati, in particolare per la necessità di esaminare documentazione aggiuntiva o di verificare in altro modo se i criteri di selezione siano stati soddisfatti. In deroga al primo, secondo e terzo periodo, a condizione che l'invito a presentare offerte per il primo appalto specifico nel sistema dinamico di acquisizione non sia stato inviato,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possono prorogare il periodo di valutazione, purché durante il periodo di valutazione prorogato non sia emesso alcun invito a presentare offerte. Le stazioni appaltanti e gli enti concedenti indicano nei documenti di gara la durata massima del periodo prorogato che intendono applicare. Le stazioni appaltanti comunicano al più presto all'operatore economico interessato se è stato ammesso o meno al sistema dinamico di acquisizione.</w:t>
      </w:r>
    </w:p>
    <w:p w14:paraId="3A16BA0D" w14:textId="6E16F096"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8.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invitano tutti i partecipanti ammessi a presentare un'offerta per ogni specifico appalto nell'ambito del sistema dinamico di acquisizione, conformemente all'articolo 89 e all'articolo 165. Se il sistema dinamico di acquisizione è stato suddiviso in categorie di prodotti, lavori o servizi,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invitano tutti i partecipanti ammessi alla categoria che corrisponde allo specifico appalto a presentare un'offerta. Essi aggiudicano l'appalto:</w:t>
      </w:r>
    </w:p>
    <w:p w14:paraId="4319D2CA"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nei settori ordinari, all'offerente che ha presentato la migliore offerta sulla base dei criteri di aggiudicazione enunciati nel bando di gara per l'istituzione del sistema dinamico di acquisizione o, se un avviso di pre-informazione è utilizzato come mezzo di indizione di una gara, nell'invito a confermare interesse;</w:t>
      </w:r>
    </w:p>
    <w:p w14:paraId="0E764B02"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nei settori speciali, all'offerente che ha presentato la migliore offerta sulla base dei criteri di aggiudicazione enunciati nel bando di gara per l'istituzione del sistema dinamico di acquisizione, nell'invito a confermare interesse, o, quando come mezzo di indizione di gara si usa un avviso sull'esistenza di un sistema di qualificazione, nell'invito a presentare un'offerta.</w:t>
      </w:r>
    </w:p>
    <w:p w14:paraId="2866D834"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9. I criteri di cui al comma 8 possono, all'occorrenza, essere precisati nell'invito a presentare offerte.</w:t>
      </w:r>
    </w:p>
    <w:p w14:paraId="3C258555"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10. Nei settori ordinari, </w:t>
      </w:r>
      <w:r w:rsidRPr="004A5029">
        <w:rPr>
          <w:rFonts w:ascii="Times New Roman" w:eastAsia="Times New Roman" w:hAnsi="Times New Roman" w:cs="Times New Roman"/>
          <w:bCs/>
          <w:color w:val="000000" w:themeColor="text1"/>
          <w:lang w:eastAsia="it-IT"/>
        </w:rPr>
        <w:t xml:space="preserve">le stazioni appaltanti e gli enti concedenti </w:t>
      </w:r>
      <w:r w:rsidRPr="004A5029">
        <w:rPr>
          <w:rFonts w:ascii="Times New Roman" w:eastAsia="Times New Roman" w:hAnsi="Times New Roman" w:cs="Times New Roman"/>
          <w:color w:val="000000" w:themeColor="text1"/>
          <w:lang w:eastAsia="it-IT"/>
        </w:rPr>
        <w:t>possono esigere, in qualsiasi momento nel periodo di validità del sistema dinamico di acquisizione, che i partecipanti ammessi innovino o aggiornino il documento di gara unico europeo di cui all'articolo 91, entro cinque giorni lavorativi dalla data in cui è trasmessa tale richiesta.</w:t>
      </w:r>
    </w:p>
    <w:p w14:paraId="36CA0393"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11. Nei settori speciali, </w:t>
      </w:r>
      <w:r w:rsidRPr="004A5029">
        <w:rPr>
          <w:rFonts w:ascii="Times New Roman" w:eastAsia="Times New Roman" w:hAnsi="Times New Roman" w:cs="Times New Roman"/>
          <w:bCs/>
          <w:color w:val="000000" w:themeColor="text1"/>
          <w:lang w:eastAsia="it-IT"/>
        </w:rPr>
        <w:t>le stazioni appaltanti e gli enti concedenti</w:t>
      </w:r>
      <w:r w:rsidRPr="004A5029">
        <w:rPr>
          <w:rFonts w:ascii="Times New Roman" w:eastAsia="Times New Roman" w:hAnsi="Times New Roman" w:cs="Times New Roman"/>
          <w:color w:val="000000" w:themeColor="text1"/>
          <w:lang w:eastAsia="it-IT"/>
        </w:rPr>
        <w:t xml:space="preserve"> che applicano i motivi di esclusione e criteri di selezione previsti dagli articoli 94, 95 e 99, possono esigere, in qualsiasi momento nel periodo di validità del sistema dinamico di acquisizione, che i partecipanti ammessi innovino o aggiornino il documento di gara unico europeo di cui all'articolo 91, entro cinque giorni lavorativi dalla data in cui è trasmessa tale richiesta. </w:t>
      </w:r>
    </w:p>
    <w:p w14:paraId="0F7980E5"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12. Le stazioni appaltanti e gli enti concedenti indicano nell'avviso di indizione di gara il periodo di validità del sistema dinamico di acquisizione. Essi informano la Commissione europea di qualsiasi variazione di tale periodo di validità utilizzando i seguenti modelli di formulari:</w:t>
      </w:r>
    </w:p>
    <w:p w14:paraId="0C08548B"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se il periodo di validità è modificato senza porre fine al sistema, il modello utilizzato inizialmente per l'avviso di indizione di gara per il sistema dinamico di acquisizione;</w:t>
      </w:r>
    </w:p>
    <w:p w14:paraId="1B52B52B"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se è posto termine al sistema, l’avviso di aggiudicazione di cui agli articoli 111 e 163, comma 2.</w:t>
      </w:r>
    </w:p>
    <w:p w14:paraId="73890C48"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13. Non possono essere posti a carico degli operatori economici interessati o partecipanti al sistema dinamico di acquisizione i contributi di carattere amministrativo prima o nel corso del periodo di validità del sistema dinamico di acquisizione.</w:t>
      </w:r>
    </w:p>
    <w:p w14:paraId="4D124B1E"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14. Il Ministero dell'economia e delle finanze, anche avvalendosi di Consip S.p.a., può provvedere alla realizzazione e gestione di un sistema dinamico di acquisizione per conto delle stazioni appaltanti, predisponendo gli strumenti organizzativi e amministrativi, elettronici e telematici e curando l'esecuzione di tutti i servizi informatici, telematici e di consulenza necessari.</w:t>
      </w:r>
    </w:p>
    <w:p w14:paraId="272774C3" w14:textId="630656CE" w:rsidR="00446F27" w:rsidRPr="004A5029" w:rsidRDefault="00446F27" w:rsidP="00446F27">
      <w:pPr>
        <w:shd w:val="clear" w:color="auto" w:fill="FFFFFF" w:themeFill="background1"/>
        <w:jc w:val="both"/>
        <w:textAlignment w:val="baseline"/>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15. Gli accordi quadro di cui all'articolo 59 e le convenzioni di cui all'articolo 26 della legge 23 dicembre 1999, n. 488, possono essere stipulati in sede di aggiudicazione di appalti specifici basati su un sistema dinamico di acquisizione. A essi si applica il termine dilatorio di cui </w:t>
      </w:r>
      <w:r w:rsidRPr="004A5029">
        <w:rPr>
          <w:rFonts w:ascii="Times New Roman" w:eastAsia="Times New Roman" w:hAnsi="Times New Roman" w:cs="Times New Roman"/>
          <w:b/>
          <w:strike/>
          <w:color w:val="000000" w:themeColor="text1"/>
          <w:lang w:eastAsia="it-IT"/>
        </w:rPr>
        <w:t>al comma 3 dell'</w:t>
      </w:r>
      <w:r w:rsidR="001F56F8" w:rsidRPr="004A5029">
        <w:rPr>
          <w:rFonts w:ascii="Times New Roman" w:eastAsia="Times New Roman" w:hAnsi="Times New Roman" w:cs="Times New Roman"/>
          <w:b/>
          <w:color w:val="000000" w:themeColor="text1"/>
          <w:lang w:eastAsia="it-IT"/>
        </w:rPr>
        <w:t xml:space="preserve"> all’</w:t>
      </w:r>
      <w:r w:rsidRPr="004A5029">
        <w:rPr>
          <w:rFonts w:ascii="Times New Roman" w:eastAsia="Times New Roman" w:hAnsi="Times New Roman" w:cs="Times New Roman"/>
          <w:bCs/>
          <w:color w:val="000000" w:themeColor="text1"/>
          <w:lang w:eastAsia="it-IT"/>
        </w:rPr>
        <w:t>articolo 18</w:t>
      </w:r>
      <w:r w:rsidR="001F56F8" w:rsidRPr="004A5029">
        <w:rPr>
          <w:rFonts w:ascii="Times New Roman" w:eastAsia="Times New Roman" w:hAnsi="Times New Roman" w:cs="Times New Roman"/>
          <w:b/>
          <w:color w:val="000000" w:themeColor="text1"/>
          <w:lang w:eastAsia="it-IT"/>
        </w:rPr>
        <w:t>, comma 3,</w:t>
      </w:r>
      <w:r w:rsidRPr="004A5029">
        <w:rPr>
          <w:rFonts w:ascii="Times New Roman" w:eastAsia="Times New Roman" w:hAnsi="Times New Roman" w:cs="Times New Roman"/>
          <w:bCs/>
          <w:color w:val="000000" w:themeColor="text1"/>
          <w:lang w:eastAsia="it-IT"/>
        </w:rPr>
        <w:t xml:space="preserve"> se di importo pari o superiore alle soglie di rilevanza europea. </w:t>
      </w:r>
    </w:p>
    <w:p w14:paraId="0DA123B1" w14:textId="77777777" w:rsidR="00446F27" w:rsidRPr="004A5029" w:rsidRDefault="00446F27" w:rsidP="00446F27">
      <w:pPr>
        <w:jc w:val="both"/>
        <w:rPr>
          <w:rFonts w:ascii="Times New Roman" w:hAnsi="Times New Roman" w:cs="Times New Roman"/>
          <w:color w:val="000000" w:themeColor="text1"/>
        </w:rPr>
      </w:pPr>
    </w:p>
    <w:p w14:paraId="608BD328"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33.</w:t>
      </w:r>
    </w:p>
    <w:p w14:paraId="75EC9EEF" w14:textId="77777777" w:rsidR="00446F27" w:rsidRPr="004A5029" w:rsidRDefault="00446F27" w:rsidP="00446F27">
      <w:pPr>
        <w:shd w:val="clear" w:color="auto" w:fill="FFFFFF"/>
        <w:jc w:val="both"/>
        <w:textAlignment w:val="baseline"/>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i/>
          <w:color w:val="000000" w:themeColor="text1"/>
          <w:lang w:eastAsia="it-IT"/>
        </w:rPr>
        <w:t>Aste elettroniche.</w:t>
      </w:r>
    </w:p>
    <w:p w14:paraId="18F8343F"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1. Le stazioni appaltanti e gli enti concedenti possono ricorrere ad aste elettroniche nelle quali sono presentati nuovi prezzi, modificati al ribasso, o nuovi valori riguardanti taluni elementi delle offerte. A tal fine, le stazioni appaltanti e gli enti concedenti strutturano l'asta come un processo elettronico per fasi successive, che interviene dopo una prima valutazione completa delle offerte e consente di classificarle sulla base di un trattamento automatico. Gli appalti di servizi e di lavori che hanno per oggetto prestazioni intellettuali, come la progettazione di lavori, che non possono essere classificati in base ad un trattamento automatico, non sono oggetto di aste elettroniche.</w:t>
      </w:r>
    </w:p>
    <w:p w14:paraId="0E179120" w14:textId="77777777" w:rsidR="00446F27" w:rsidRPr="004A5029" w:rsidRDefault="00446F27" w:rsidP="00446F27">
      <w:pPr>
        <w:shd w:val="clear" w:color="auto" w:fill="FFFFFF" w:themeFill="background1"/>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2. Nelle procedure aperte, ristrette o competitive con negoziazione o nelle procedure negoziate precedute da un'indizione di gara, le stazioni appaltanti </w:t>
      </w:r>
      <w:r w:rsidRPr="004A5029">
        <w:rPr>
          <w:rFonts w:ascii="Times New Roman" w:eastAsia="Times New Roman" w:hAnsi="Times New Roman" w:cs="Times New Roman"/>
          <w:bCs/>
          <w:color w:val="000000" w:themeColor="text1"/>
          <w:lang w:eastAsia="it-IT"/>
        </w:rPr>
        <w:t xml:space="preserve">e gli enti concedenti </w:t>
      </w:r>
      <w:r w:rsidRPr="004A5029">
        <w:rPr>
          <w:rFonts w:ascii="Times New Roman" w:eastAsia="Times New Roman" w:hAnsi="Times New Roman" w:cs="Times New Roman"/>
          <w:color w:val="000000" w:themeColor="text1"/>
          <w:lang w:eastAsia="it-IT"/>
        </w:rPr>
        <w:t>possono stabilire che l'aggiudicazione di un appalto sia preceduta da un'asta elettronica quando il contenuto dei documenti di gara, in particolare le specifiche tecniche, può essere fissato in maniera precisa. Alle stesse condizioni, essi possono ricorrere all'asta elettronica in occasione della riapertura del confronto competitivo fra le parti di un accordo quadro di cui all'articolo 59, comma 4, lettere b) e c), e dell'indizione di gare per appalti da aggiudicare nell'ambito del sistema dinamico di acquisizione di cui all'articolo 32.</w:t>
      </w:r>
    </w:p>
    <w:p w14:paraId="70D280BB"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L'asta elettronica è aggiudicata sulla base di uno dei seguenti elementi contenuti nell'offerta:</w:t>
      </w:r>
    </w:p>
    <w:p w14:paraId="16F00770" w14:textId="128CD52F"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esclusivamente i prezzi, quando l'appalto </w:t>
      </w:r>
      <w:r w:rsidR="00E07A23" w:rsidRPr="004A5029">
        <w:rPr>
          <w:rFonts w:ascii="Times New Roman" w:eastAsia="Times New Roman" w:hAnsi="Times New Roman" w:cs="Times New Roman"/>
          <w:color w:val="000000" w:themeColor="text1"/>
          <w:lang w:eastAsia="it-IT"/>
        </w:rPr>
        <w:t>è</w:t>
      </w:r>
      <w:r w:rsidRPr="004A5029">
        <w:rPr>
          <w:rFonts w:ascii="Times New Roman" w:eastAsia="Times New Roman" w:hAnsi="Times New Roman" w:cs="Times New Roman"/>
          <w:color w:val="000000" w:themeColor="text1"/>
          <w:lang w:eastAsia="it-IT"/>
        </w:rPr>
        <w:t xml:space="preserve"> aggiudicato sulla sola base del prezzo;</w:t>
      </w:r>
    </w:p>
    <w:p w14:paraId="17313DF1" w14:textId="77777777" w:rsidR="00446F27" w:rsidRPr="004A5029" w:rsidRDefault="00446F27" w:rsidP="00446F27">
      <w:pPr>
        <w:shd w:val="clear" w:color="auto" w:fill="FFFFFF"/>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b) il prezzo o i nuovi valori degli elementi dell'offerta indicati nei documenti di gara, quando l'appalto è aggiudicato sulla base del miglior rapporto qualità/prezzo o costo/efficacia.</w:t>
      </w:r>
    </w:p>
    <w:p w14:paraId="3495AFD0"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4. Le stazioni appaltanti e gli enti concedenti indicano il ricorso a un'asta elettronica nel bando di gara o nell'invito a confermare l'interesse, nonché, per i settori speciali, nell'invito a presentare offerte quando per l'indizione di gara si usa un avviso sull'esistenza di un sistema di qualificazione. I documenti di gara comprendono almeno i seguenti elementi:</w:t>
      </w:r>
    </w:p>
    <w:p w14:paraId="26B31500"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a) gli elementi i cui valori saranno oggetto dell'asta elettronica, purché tali elementi siano quantificabili in modo da essere espressi in cifre o in percentuali;</w:t>
      </w:r>
    </w:p>
    <w:p w14:paraId="1498F75C"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b) i limiti eventuali dei valori che potranno essere presentati, quali risultano dal capitolato d'oneri relativo all'oggetto dell'appalto;</w:t>
      </w:r>
    </w:p>
    <w:p w14:paraId="1785E1EF"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c) le informazioni che saranno messe a disposizione degli offerenti nel corso dell'asta elettronica e, se del caso, il momento in cui saranno messe a loro disposizione;</w:t>
      </w:r>
    </w:p>
    <w:p w14:paraId="26FCBA43"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d) le informazioni pertinenti sullo svolgimento dell'asta elettronica;</w:t>
      </w:r>
    </w:p>
    <w:p w14:paraId="6E88D4B3"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e) le condizioni alle quali gli offerenti potranno rilanciare, in particolare gli scarti minimi eventualmente richiesti per il rilancio;</w:t>
      </w:r>
    </w:p>
    <w:p w14:paraId="3785C265" w14:textId="77777777"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f) le informazioni pertinenti sul dispositivo elettronico utilizzato e sulle modalità e specifiche tecniche di collegamento.</w:t>
      </w:r>
    </w:p>
    <w:p w14:paraId="5D483DA0"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5. Prima di procedere all'asta elettronica, le stazioni appaltanti e gli enti concedenti effettuano una valutazione completa delle offerte conformemente al criterio o ai criteri di aggiudicazione stabiliti e alla relativa ponderazione.</w:t>
      </w:r>
    </w:p>
    <w:p w14:paraId="47942449" w14:textId="77777777" w:rsidR="00446F27" w:rsidRPr="004A5029" w:rsidRDefault="00446F27" w:rsidP="00446F27">
      <w:pPr>
        <w:shd w:val="clear" w:color="auto" w:fill="FFFFFF" w:themeFill="background1"/>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6. Nei settori ordinari, un'offerta è considerata ammissibile se è stata presentata da un offerente che non è stato escluso ai sensi degli articoli 94 e 95, che soddisfa i criteri di selezione di cui all'articolo 99 e la cui offerta è conforme alle specifiche tecniche senza essere irregolare o inaccettabile ovvero inadeguata, ai sensi dei commi 8, 9 e 10 </w:t>
      </w:r>
      <w:r w:rsidRPr="004A5029">
        <w:rPr>
          <w:rFonts w:ascii="Times New Roman" w:eastAsia="Times New Roman" w:hAnsi="Times New Roman" w:cs="Times New Roman"/>
          <w:bCs/>
          <w:color w:val="000000" w:themeColor="text1"/>
          <w:lang w:eastAsia="it-IT"/>
        </w:rPr>
        <w:t>del presente articolo.</w:t>
      </w:r>
    </w:p>
    <w:p w14:paraId="262D596F"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7. Nei settori speciali, un'offerta è considerata ammissibile se è stata presentata da un offerente che non è stato escluso ai sensi dell’articolo 167, comma 1, lettera c), che soddisfa i criteri di selezione di cui al medesimo articolo 167, comma 1, lettera d), e la cui offerta è conforme alle specifiche tecniche senza essere irregolare o inaccettabile ovvero inadeguata, ai sensi dei commi 8, 9 e 10 </w:t>
      </w:r>
      <w:r w:rsidRPr="004A5029">
        <w:rPr>
          <w:rFonts w:ascii="Times New Roman" w:eastAsia="Times New Roman" w:hAnsi="Times New Roman" w:cs="Times New Roman"/>
          <w:bCs/>
          <w:color w:val="000000" w:themeColor="text1"/>
          <w:lang w:eastAsia="it-IT"/>
        </w:rPr>
        <w:t>del presente articolo</w:t>
      </w:r>
      <w:r w:rsidRPr="004A5029">
        <w:rPr>
          <w:rFonts w:ascii="Times New Roman" w:eastAsia="Times New Roman" w:hAnsi="Times New Roman" w:cs="Times New Roman"/>
          <w:color w:val="000000" w:themeColor="text1"/>
          <w:lang w:eastAsia="it-IT"/>
        </w:rPr>
        <w:t>.</w:t>
      </w:r>
    </w:p>
    <w:p w14:paraId="0A661A03"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8. Sono considerate irregolari le offerte che non rispettano i documenti di gara, che sono state ricevute in ritardo, in relazione alle quali vi sono prove di corruzione, concussione o abuso di ufficio o accordo tra operatori economici finalizzato a turbare l'asta, o che la stazione appaltante ha giudicato anormalmente basse.</w:t>
      </w:r>
    </w:p>
    <w:p w14:paraId="78DF9BB1"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9. Sono considerate inaccettabili le offerte presentate da offerenti che non possiedono la qualificazione necessaria e le offerte il cui prezzo supera l'importo posto dalle stazioni appaltanti e dagli enti concedenti a base di gara stabilito e documentato prima dell'avvio della procedura di appalto.</w:t>
      </w:r>
    </w:p>
    <w:p w14:paraId="2FC46BFA" w14:textId="067E3FD0"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10. Un'offerta è ritenuta inadeguata se non presenta alcuna pertinenza con l'appalto ed è quindi manifestamente incongruente, fatte salve le modifiche sostanziali idonee a rispondere alle esigenze della stazione appaltante </w:t>
      </w:r>
      <w:r w:rsidRPr="004A5029">
        <w:rPr>
          <w:rFonts w:ascii="Times New Roman" w:eastAsia="Times New Roman" w:hAnsi="Times New Roman" w:cs="Times New Roman"/>
          <w:bCs/>
          <w:color w:val="000000" w:themeColor="text1"/>
          <w:lang w:eastAsia="it-IT"/>
        </w:rPr>
        <w:t xml:space="preserve">o dell’ente </w:t>
      </w:r>
      <w:r w:rsidRPr="004A5029">
        <w:rPr>
          <w:rFonts w:ascii="Times New Roman" w:eastAsia="Times New Roman" w:hAnsi="Times New Roman" w:cs="Times New Roman"/>
          <w:b/>
          <w:strike/>
          <w:color w:val="000000" w:themeColor="text1"/>
          <w:lang w:eastAsia="it-IT"/>
        </w:rPr>
        <w:t>concedenti</w:t>
      </w:r>
      <w:r w:rsidRPr="004A5029">
        <w:rPr>
          <w:rFonts w:ascii="Times New Roman" w:eastAsia="Times New Roman" w:hAnsi="Times New Roman" w:cs="Times New Roman"/>
          <w:b/>
          <w:color w:val="000000" w:themeColor="text1"/>
          <w:lang w:eastAsia="it-IT"/>
        </w:rPr>
        <w:t xml:space="preserve"> </w:t>
      </w:r>
      <w:r w:rsidR="00C8489F" w:rsidRPr="004A5029">
        <w:rPr>
          <w:rFonts w:ascii="Times New Roman" w:eastAsia="Times New Roman" w:hAnsi="Times New Roman" w:cs="Times New Roman"/>
          <w:b/>
          <w:color w:val="000000" w:themeColor="text1"/>
          <w:lang w:eastAsia="it-IT"/>
        </w:rPr>
        <w:t>concedente</w:t>
      </w:r>
      <w:r w:rsidR="00C8489F"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e ai requisiti specificati nei documenti di gara. Una domanda di partecipazione non è ritenuta adeguata se l'operatore economico interessato deve o può essere escluso ai sensi degli articoli 94 e 95 o dell’articolo 167, comma 1, lettera c), o non soddisfa i criteri di selezione stabiliti dalla </w:t>
      </w:r>
      <w:r w:rsidRPr="004A5029">
        <w:rPr>
          <w:rFonts w:ascii="Times New Roman" w:eastAsia="Times New Roman" w:hAnsi="Times New Roman" w:cs="Times New Roman"/>
          <w:bCs/>
          <w:color w:val="000000" w:themeColor="text1"/>
          <w:lang w:eastAsia="it-IT"/>
        </w:rPr>
        <w:t>stazione appaltante</w:t>
      </w:r>
      <w:r w:rsidRPr="004A5029">
        <w:rPr>
          <w:rFonts w:ascii="Times New Roman" w:eastAsia="Times New Roman" w:hAnsi="Times New Roman" w:cs="Times New Roman"/>
          <w:color w:val="000000" w:themeColor="text1"/>
          <w:lang w:eastAsia="it-IT"/>
        </w:rPr>
        <w:t xml:space="preserve"> ai sensi dell'articolo 99.</w:t>
      </w:r>
    </w:p>
    <w:p w14:paraId="3E83618E"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11. Tutti gli offerenti che hanno presentato offerte ammissibili sono invitati simultaneamente, per via elettronica, a partecipare all'asta elettronica utilizzando, a decorrere dalla data e dall'ora previste, le modalità di connessione conformi alle istruzioni contenute nell'invito. L'asta elettronica può svolgersi in più fasi successive e non ha inizio prima di due giorni lavorativi successivi alla data di invio degli inviti.</w:t>
      </w:r>
    </w:p>
    <w:p w14:paraId="5C3F4CB3"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12. L'invito è corredato del risultato della valutazione completa dell'offerta, effettuata conformemente alla ponderazione di cui all'articolo 108, commi 7 e 8. L'invito precisa, altresì, la formula matematica che determina, durante l'asta elettronica, le riclassificazioni automatiche in funzione dei nuovi prezzi e/o dei nuovi valori presentati. Salvo il caso in cui l'offerta economicamente più vantaggiosa sia individuata sulla base del solo prezzo, tale formula integra la ponderazione di tutti i criteri stabiliti per determinare l'offerta economicamente più vantaggiosa, quale indicata nel bando di gara o in altri documenti di gara. A tal fine, le eventuali forcelle devono essere precedentemente espresse con un valore determinato. Qualora siano autorizzate varianti, per ciascuna variante deve essere fornita una formula separata.</w:t>
      </w:r>
    </w:p>
    <w:p w14:paraId="5BFB0A2D"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13. Nel corso di ogni fase dell'asta elettronica, le stazioni appaltanti comunicano in tempo reale a tutti gli offerenti almeno le informazioni che consentono loro di conoscere in ogni momento la rispettiva classificazione. Le stazioni appaltanti e gli enti concedenti possono, purché previsto nei documenti di gara, comunicare altre informazioni riguardanti altri prezzi o valori presentati. Possono, inoltre, rendere noto in qualsiasi momento il numero di partecipanti alla fase specifica dell'asta. In nessun caso, possono rendere nota l'identità degli offerenti durante lo svolgimento delle fasi dell'asta elettronica.</w:t>
      </w:r>
    </w:p>
    <w:p w14:paraId="400AF3F5"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14. Le stazioni appaltanti e gli enti concedenti dichiarano conclusa l'asta elettronica secondo una o più delle seguenti modalità:</w:t>
      </w:r>
    </w:p>
    <w:p w14:paraId="401DAE2D"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alla data e all'ora preventivamente indicate;</w:t>
      </w:r>
    </w:p>
    <w:p w14:paraId="670D41AB"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quando non ricevono più nuovi prezzi o nuovi valori che rispondono alle esigenze degli scarti minimi, a condizione che abbiano preventivamente indicato il termine che rispetteranno a partire dalla ricezione dell'ultima presentazione prima di dichiarare conclusa l'asta elettronica;</w:t>
      </w:r>
    </w:p>
    <w:p w14:paraId="347F6C2D"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c) quando il numero di fasi dell'asta preventivamente indicato è stato raggiunto.</w:t>
      </w:r>
    </w:p>
    <w:p w14:paraId="300C3A41"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15. Se le stazioni appaltanti e gli enti concedenti intendono dichiarare conclusa l'asta elettronica ai sensi del comma 14, lettera c), eventualmente in combinazione con le modalità di cui alla lettera b) del medesimo comma, l'invito a partecipare all'asta indica il calendario di ogni fase dell'asta.</w:t>
      </w:r>
    </w:p>
    <w:p w14:paraId="0186FD54"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16. Dopo aver dichiarata conclusa l'asta elettronica, le stazioni appaltanti e gli enti concedenti aggiudicano l'appalto in funzione dei suoi risultati.</w:t>
      </w:r>
    </w:p>
    <w:p w14:paraId="4C4CEA3D" w14:textId="77777777" w:rsidR="00446F27" w:rsidRPr="004A5029" w:rsidRDefault="00446F27" w:rsidP="00446F27">
      <w:pPr>
        <w:jc w:val="both"/>
        <w:rPr>
          <w:rFonts w:ascii="Times New Roman" w:hAnsi="Times New Roman" w:cs="Times New Roman"/>
          <w:color w:val="000000" w:themeColor="text1"/>
        </w:rPr>
      </w:pPr>
    </w:p>
    <w:p w14:paraId="01D5043A" w14:textId="77777777" w:rsidR="00446F27" w:rsidRPr="004A5029" w:rsidRDefault="00446F27" w:rsidP="00446F27">
      <w:pPr>
        <w:shd w:val="clear" w:color="auto" w:fill="FFFFFF"/>
        <w:jc w:val="both"/>
        <w:textAlignment w:val="baseline"/>
        <w:rPr>
          <w:rFonts w:ascii="Times New Roman" w:eastAsia="Times New Roman" w:hAnsi="Times New Roman" w:cs="Times New Roman"/>
          <w:b/>
          <w:bCs/>
          <w:color w:val="000000" w:themeColor="text1"/>
          <w:lang w:eastAsia="it-IT"/>
        </w:rPr>
      </w:pPr>
      <w:r w:rsidRPr="004A5029">
        <w:rPr>
          <w:rFonts w:ascii="Times New Roman" w:hAnsi="Times New Roman" w:cs="Times New Roman"/>
          <w:b/>
          <w:color w:val="000000" w:themeColor="text1"/>
        </w:rPr>
        <w:t>Articolo 34.</w:t>
      </w:r>
    </w:p>
    <w:p w14:paraId="44DA1A0A" w14:textId="77777777" w:rsidR="00446F27" w:rsidRPr="004A5029" w:rsidRDefault="00446F27" w:rsidP="00446F27">
      <w:pPr>
        <w:shd w:val="clear" w:color="auto" w:fill="FFFFFF"/>
        <w:jc w:val="both"/>
        <w:textAlignment w:val="baseline"/>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Cs/>
          <w:i/>
          <w:color w:val="000000" w:themeColor="text1"/>
          <w:lang w:eastAsia="it-IT"/>
        </w:rPr>
        <w:t>Cataloghi elettronici.</w:t>
      </w:r>
    </w:p>
    <w:p w14:paraId="239832FD" w14:textId="77777777" w:rsidR="00446F27" w:rsidRPr="004A5029" w:rsidRDefault="00446F27" w:rsidP="00446F27">
      <w:pPr>
        <w:shd w:val="clear" w:color="auto" w:fill="FFFFFF" w:themeFill="background1"/>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1. Le stazioni appaltanti e gli enti concedenti possono chiedere che le offerte siano presentate sotto forma di catalogo elettronico o che includano un catalogo elettronico. Le offerte presentate sotto forma di catalogo elettronico possono essere corredate di altri documenti, a completamento dell'offerta.</w:t>
      </w:r>
    </w:p>
    <w:p w14:paraId="56CE52B5"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2. I cataloghi elettronici sono predisposti dai candidati o dagli offerenti per la partecipazione a una determinata procedura di appalto in conformità alle specifiche tecniche e al formato stabiliti dalle stazioni appaltanti. </w:t>
      </w:r>
    </w:p>
    <w:p w14:paraId="6032807C"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Quando la presentazione delle offerte sotto forma di cataloghi elettronici è accettata o richiesta, le stazioni appaltanti e gli enti concedenti:</w:t>
      </w:r>
    </w:p>
    <w:p w14:paraId="68751EE7"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nei settori ordinari, lo indicano nel bando di gara o nell'invito a confermare interesse, quando il mezzo di indizione di gara è un avviso di pre-informazione; nei settori speciali, lo indicano nel bando di gara, nell'invito a confermare interesse, o, quando il mezzo di indizione di gara è un avviso sull'esistenza di un sistema di qualificazione, nell'invito a presentare offerte o a negoziare;</w:t>
      </w:r>
    </w:p>
    <w:p w14:paraId="00A1A428" w14:textId="77777777" w:rsidR="00446F27" w:rsidRPr="004A5029" w:rsidRDefault="00446F27" w:rsidP="00446F27">
      <w:pPr>
        <w:shd w:val="clear" w:color="auto" w:fill="FFFFFF"/>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b) indicano nei documenti di gara tutte le informazioni relative al formato, al dispositivo elettronico utilizzato nonché alle modalità e alle specifiche tecniche per il catalogo.</w:t>
      </w:r>
    </w:p>
    <w:p w14:paraId="7CF2C459"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4. Quando un accordo quadro è concluso con più operatori economici dopo la presentazione delle offerte sotto forma di cataloghi elettronici,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possono prevedere che la riapertura del confronto competitivo per i contratti specifici avvenga sulla base di cataloghi aggiornati. In tal caso, </w:t>
      </w:r>
      <w:r w:rsidRPr="004A5029">
        <w:rPr>
          <w:rFonts w:ascii="Times New Roman" w:eastAsia="Times New Roman" w:hAnsi="Times New Roman" w:cs="Times New Roman"/>
          <w:bCs/>
          <w:color w:val="000000" w:themeColor="text1"/>
          <w:lang w:eastAsia="it-IT"/>
        </w:rPr>
        <w:t>le stazioni appaltanti e gli enti concedenti</w:t>
      </w:r>
      <w:r w:rsidRPr="004A5029">
        <w:rPr>
          <w:rFonts w:ascii="Times New Roman" w:eastAsia="Times New Roman" w:hAnsi="Times New Roman" w:cs="Times New Roman"/>
          <w:color w:val="000000" w:themeColor="text1"/>
          <w:lang w:eastAsia="it-IT"/>
        </w:rPr>
        <w:t xml:space="preserve"> utilizzano, alternativamente, uno dei seguenti metodi:</w:t>
      </w:r>
    </w:p>
    <w:p w14:paraId="78C5F937"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invitano gli offerenti a ripresentare i loro cataloghi elettronici, adattati alle esigenze del contratto in questione;</w:t>
      </w:r>
    </w:p>
    <w:p w14:paraId="66CA680A" w14:textId="77777777" w:rsidR="00446F27" w:rsidRPr="004A5029" w:rsidRDefault="00446F27" w:rsidP="00446F27">
      <w:pPr>
        <w:shd w:val="clear" w:color="auto" w:fill="FFFFFF"/>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b) comunicano agli offerenti che intendono avvalersi delle informazioni raccolte dai cataloghi elettronici già presentati per costituire offerte adeguate ai requisiti del contratto in questione, a condizione che il ricorso a questa possibilità sia stato previsto nei documenti di gara relativi all'accordo quadro.</w:t>
      </w:r>
    </w:p>
    <w:p w14:paraId="0A045857" w14:textId="77777777" w:rsidR="00446F27" w:rsidRPr="004A5029" w:rsidRDefault="00446F27" w:rsidP="00446F27">
      <w:pPr>
        <w:shd w:val="clear" w:color="auto" w:fill="FFFFFF" w:themeFill="background1"/>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5.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in caso di riapertura del confronto competitivo per i contratti specifici in conformità al comma 4, lettera b), indicano agli offerenti la data e l'ora in cui intendono procedere alla raccolta delle informazioni necessarie per costituire offerte adattate ai requisiti del contratto specifico e danno agli offerenti la possibilità di rifiutare tale raccolta di informazioni. Le stazioni appaltanti </w:t>
      </w:r>
      <w:r w:rsidRPr="004A5029">
        <w:rPr>
          <w:rFonts w:ascii="Times New Roman" w:eastAsia="Times New Roman" w:hAnsi="Times New Roman" w:cs="Times New Roman"/>
          <w:bCs/>
          <w:color w:val="000000" w:themeColor="text1"/>
          <w:lang w:eastAsia="it-IT"/>
        </w:rPr>
        <w:t xml:space="preserve">e gli enti concedenti </w:t>
      </w:r>
      <w:r w:rsidRPr="004A5029">
        <w:rPr>
          <w:rFonts w:ascii="Times New Roman" w:eastAsia="Times New Roman" w:hAnsi="Times New Roman" w:cs="Times New Roman"/>
          <w:color w:val="000000" w:themeColor="text1"/>
          <w:lang w:eastAsia="it-IT"/>
        </w:rPr>
        <w:t xml:space="preserve">prevedono un adeguato periodo di tempo tra la notifica e l'effettiva raccolta di informazioni. Prima dell'aggiudicazione dell'appalto, le stazioni appaltanti </w:t>
      </w:r>
      <w:r w:rsidRPr="004A5029">
        <w:rPr>
          <w:rFonts w:ascii="Times New Roman" w:eastAsia="Times New Roman" w:hAnsi="Times New Roman" w:cs="Times New Roman"/>
          <w:bCs/>
          <w:color w:val="000000" w:themeColor="text1"/>
          <w:lang w:eastAsia="it-IT"/>
        </w:rPr>
        <w:t>e gli enti concedenti</w:t>
      </w:r>
      <w:r w:rsidRPr="004A5029">
        <w:rPr>
          <w:rFonts w:ascii="Times New Roman" w:eastAsia="Times New Roman" w:hAnsi="Times New Roman" w:cs="Times New Roman"/>
          <w:color w:val="000000" w:themeColor="text1"/>
          <w:lang w:eastAsia="it-IT"/>
        </w:rPr>
        <w:t xml:space="preserve"> presentano le informazioni raccolte all'offerente interessato, in modo da offrire la possibilità di contestare o confermare che l'offerta così costituita non contiene errori materiali.</w:t>
      </w:r>
    </w:p>
    <w:p w14:paraId="40B02332" w14:textId="77777777" w:rsidR="00446F27" w:rsidRPr="004A5029" w:rsidRDefault="00446F27" w:rsidP="00446F27">
      <w:pPr>
        <w:shd w:val="clear" w:color="auto" w:fill="FFFFFF"/>
        <w:jc w:val="both"/>
        <w:textAlignment w:val="baseline"/>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color w:val="000000" w:themeColor="text1"/>
          <w:lang w:eastAsia="it-IT"/>
        </w:rPr>
        <w:t>6. Le stazioni appaltanti e gli enti concedenti possono aggiudicare appalti basati su un sistema dinamico di acquisizione richiedendo che le offerte per un appalto specifico siano presentate sotto forma di catalogo elettronico. Le stazioni appaltanti e gli enti concedenti possono, inoltre, aggiudicare appalti basati su un sistema dinamico di acquisizione conformemente al comma 4, lettera b), e al comma 5, a condizione che la domanda di partecipazione al sistema dinamico di acquisizione sia accompagnata da un catalogo elettronico in conformità con le specifiche tecniche e il formato stabilito dalla stazione appaltante o dall’ente concedente. Tale catalogo è completato dai candidati, qualora sia stata comunicata l'intenzione della stazione appaltante o dell’ente concedente di costituire offerte attraverso la procedura di cui al comma 4, lettera b).</w:t>
      </w:r>
    </w:p>
    <w:p w14:paraId="50895670" w14:textId="77777777" w:rsidR="00446F27" w:rsidRPr="004A5029" w:rsidRDefault="00446F27" w:rsidP="00446F27">
      <w:pPr>
        <w:jc w:val="both"/>
        <w:rPr>
          <w:rFonts w:ascii="Times New Roman" w:hAnsi="Times New Roman" w:cs="Times New Roman"/>
          <w:color w:val="000000" w:themeColor="text1"/>
        </w:rPr>
      </w:pPr>
    </w:p>
    <w:p w14:paraId="76905C98"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hAnsi="Times New Roman" w:cs="Times New Roman"/>
          <w:b/>
          <w:bCs/>
          <w:color w:val="000000" w:themeColor="text1"/>
        </w:rPr>
        <w:t>Articolo</w:t>
      </w:r>
      <w:r w:rsidRPr="004A5029">
        <w:rPr>
          <w:rFonts w:ascii="Times New Roman" w:eastAsia="Times New Roman" w:hAnsi="Times New Roman" w:cs="Times New Roman"/>
          <w:b/>
          <w:bCs/>
          <w:color w:val="000000" w:themeColor="text1"/>
          <w:lang w:eastAsia="it-IT"/>
        </w:rPr>
        <w:t xml:space="preserve"> 35</w:t>
      </w:r>
      <w:r w:rsidRPr="004A5029">
        <w:rPr>
          <w:rFonts w:ascii="Times New Roman" w:eastAsia="Times New Roman" w:hAnsi="Times New Roman" w:cs="Times New Roman"/>
          <w:color w:val="000000" w:themeColor="text1"/>
          <w:lang w:eastAsia="it-IT"/>
        </w:rPr>
        <w:t>.</w:t>
      </w:r>
    </w:p>
    <w:p w14:paraId="24CC9B7A" w14:textId="77777777" w:rsidR="00446F27" w:rsidRPr="004A5029" w:rsidRDefault="00446F27" w:rsidP="00446F27">
      <w:pPr>
        <w:shd w:val="clear" w:color="auto" w:fill="FFFFFF"/>
        <w:jc w:val="both"/>
        <w:textAlignment w:val="baseline"/>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Cs/>
          <w:i/>
          <w:color w:val="000000" w:themeColor="text1"/>
          <w:lang w:eastAsia="it-IT"/>
        </w:rPr>
        <w:t>Accesso agli atti e riservatezza.</w:t>
      </w:r>
    </w:p>
    <w:p w14:paraId="42C49114"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1. Le stazioni appaltanti e gli enti concedenti assicurano in modalità digitale </w:t>
      </w:r>
      <w:r w:rsidRPr="004A5029">
        <w:rPr>
          <w:rFonts w:ascii="Times New Roman" w:hAnsi="Times New Roman" w:cs="Times New Roman"/>
          <w:color w:val="000000" w:themeColor="text1"/>
        </w:rPr>
        <w:t>l’accesso agli atti delle procedure di affidamento e di esecuzione dei contratti pubblici</w:t>
      </w:r>
      <w:r w:rsidRPr="004A5029">
        <w:rPr>
          <w:rFonts w:ascii="Times New Roman" w:hAnsi="Times New Roman" w:cs="Times New Roman"/>
          <w:bCs/>
          <w:color w:val="000000" w:themeColor="text1"/>
        </w:rPr>
        <w:t xml:space="preserve">, mediante acquisizione diretta dei dati e delle informazioni inseriti nelle piattaforme, ai sensi </w:t>
      </w:r>
      <w:r w:rsidRPr="004A5029">
        <w:rPr>
          <w:rFonts w:ascii="Times New Roman" w:hAnsi="Times New Roman" w:cs="Times New Roman"/>
          <w:color w:val="000000" w:themeColor="text1"/>
        </w:rPr>
        <w:t>degli articoli 3-</w:t>
      </w:r>
      <w:r w:rsidRPr="004A5029">
        <w:rPr>
          <w:rFonts w:ascii="Times New Roman" w:hAnsi="Times New Roman" w:cs="Times New Roman"/>
          <w:i/>
          <w:iCs/>
          <w:color w:val="000000" w:themeColor="text1"/>
        </w:rPr>
        <w:t>bis</w:t>
      </w:r>
      <w:r w:rsidRPr="004A5029">
        <w:rPr>
          <w:rFonts w:ascii="Times New Roman" w:hAnsi="Times New Roman" w:cs="Times New Roman"/>
          <w:color w:val="000000" w:themeColor="text1"/>
        </w:rPr>
        <w:t xml:space="preserve"> e 22 e seguenti della</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legge 7 agosto 1990, n. 241</w:t>
      </w:r>
      <w:r w:rsidRPr="004A5029">
        <w:rPr>
          <w:rFonts w:ascii="Times New Roman" w:hAnsi="Times New Roman" w:cs="Times New Roman"/>
          <w:bCs/>
          <w:color w:val="000000" w:themeColor="text1"/>
        </w:rPr>
        <w:t xml:space="preserve"> e degli articoli 5 e 5-</w:t>
      </w:r>
      <w:r w:rsidRPr="004A5029">
        <w:rPr>
          <w:rFonts w:ascii="Times New Roman" w:hAnsi="Times New Roman" w:cs="Times New Roman"/>
          <w:bCs/>
          <w:i/>
          <w:iCs/>
          <w:color w:val="000000" w:themeColor="text1"/>
        </w:rPr>
        <w:t>bis</w:t>
      </w:r>
      <w:r w:rsidRPr="004A5029">
        <w:rPr>
          <w:rFonts w:ascii="Times New Roman" w:hAnsi="Times New Roman" w:cs="Times New Roman"/>
          <w:bCs/>
          <w:color w:val="000000" w:themeColor="text1"/>
        </w:rPr>
        <w:t xml:space="preserve"> del decreto legislativo 14 marzo 2013, n. 33.</w:t>
      </w:r>
    </w:p>
    <w:p w14:paraId="41B04CF6"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Fatta salva la disciplina prevista dal codice per i contratti secretati o la cui esecuzione richiede speciali misure di sicurezza, l’esercizio del diritto di accesso è differito:</w:t>
      </w:r>
    </w:p>
    <w:p w14:paraId="310D049C"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 nelle procedure aperte, in relazione all'elenco dei soggetti che hanno presentato offerte, fino alla scadenza del termine per la presentazione delle medesime;</w:t>
      </w:r>
    </w:p>
    <w:p w14:paraId="267C4ACB" w14:textId="77777777" w:rsidR="00446F27" w:rsidRPr="004A5029" w:rsidRDefault="00446F27" w:rsidP="00446F27">
      <w:pPr>
        <w:widowControl w:val="0"/>
        <w:jc w:val="both"/>
        <w:rPr>
          <w:rFonts w:ascii="Times New Roman" w:hAnsi="Times New Roman" w:cs="Times New Roman"/>
          <w:color w:val="000000" w:themeColor="text1"/>
        </w:rPr>
      </w:pPr>
      <w:r w:rsidRPr="004A5029">
        <w:rPr>
          <w:rFonts w:ascii="Times New Roman" w:hAnsi="Times New Roman" w:cs="Times New Roman"/>
          <w:color w:val="000000" w:themeColor="text1"/>
        </w:rPr>
        <w:t>b) 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delle stazioni appaltanti o degli enti concedenti, dei nominativi dei candidati da invitare;</w:t>
      </w:r>
    </w:p>
    <w:p w14:paraId="308C68D8"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c) in relazione alle </w:t>
      </w:r>
      <w:r w:rsidRPr="004A5029">
        <w:rPr>
          <w:rFonts w:ascii="Times New Roman" w:eastAsia="Times New Roman" w:hAnsi="Times New Roman" w:cs="Times New Roman"/>
          <w:bCs/>
          <w:color w:val="000000" w:themeColor="text1"/>
          <w:lang w:eastAsia="it-IT"/>
        </w:rPr>
        <w:t>domande di partecipazione e agli atti, dati e informazioni relativi ai requisiti di partecipazione di cui agli articoli 94, 95 e 98 e ai verbali relativi alla fase di ammissione dei candidati e offerenti, fino all’aggiudicazione;</w:t>
      </w:r>
    </w:p>
    <w:p w14:paraId="23A33546"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d) in relazione alle offerte e ai verbali relativi alla valutazione delle stesse e agli atti, dati e informazioni a questa presupposti, fino all’aggiudicazione;</w:t>
      </w:r>
    </w:p>
    <w:p w14:paraId="59B1A078" w14:textId="77777777" w:rsidR="00446F27" w:rsidRPr="004A5029" w:rsidRDefault="00446F27" w:rsidP="00446F27">
      <w:pPr>
        <w:shd w:val="clear" w:color="auto" w:fill="FFFFFF" w:themeFill="background1"/>
        <w:jc w:val="both"/>
        <w:rPr>
          <w:rFonts w:ascii="Times New Roman" w:eastAsia="Times New Roman" w:hAnsi="Times New Roman" w:cs="Times New Roman"/>
          <w:bCs/>
          <w:dstrike/>
          <w:color w:val="000000" w:themeColor="text1"/>
          <w:highlight w:val="yellow"/>
          <w:lang w:eastAsia="it-IT"/>
        </w:rPr>
      </w:pPr>
      <w:r w:rsidRPr="004A5029">
        <w:rPr>
          <w:rFonts w:ascii="Times New Roman" w:eastAsia="Times New Roman" w:hAnsi="Times New Roman" w:cs="Times New Roman"/>
          <w:color w:val="000000" w:themeColor="text1"/>
          <w:lang w:eastAsia="it-IT"/>
        </w:rPr>
        <w:t xml:space="preserve">e) in relazione alla verifica della anomalia dell'offerta e </w:t>
      </w:r>
      <w:r w:rsidRPr="004A5029">
        <w:rPr>
          <w:rFonts w:ascii="Times New Roman" w:eastAsia="Times New Roman" w:hAnsi="Times New Roman" w:cs="Times New Roman"/>
          <w:bCs/>
          <w:color w:val="000000" w:themeColor="text1"/>
          <w:lang w:eastAsia="it-IT"/>
        </w:rPr>
        <w:t xml:space="preserve">ai verbali riferiti alla detta fase, </w:t>
      </w:r>
      <w:r w:rsidRPr="004A5029">
        <w:rPr>
          <w:rFonts w:ascii="Times New Roman" w:eastAsia="Times New Roman" w:hAnsi="Times New Roman" w:cs="Times New Roman"/>
          <w:color w:val="000000" w:themeColor="text1"/>
          <w:lang w:eastAsia="it-IT"/>
        </w:rPr>
        <w:t>fino all’aggiudicazione</w:t>
      </w:r>
      <w:r w:rsidRPr="004A5029">
        <w:rPr>
          <w:rFonts w:ascii="Times New Roman" w:eastAsia="Times New Roman" w:hAnsi="Times New Roman" w:cs="Times New Roman"/>
          <w:bCs/>
          <w:color w:val="000000" w:themeColor="text1"/>
          <w:lang w:eastAsia="it-IT"/>
        </w:rPr>
        <w:t>.</w:t>
      </w:r>
    </w:p>
    <w:p w14:paraId="7A878A41"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3. Fino alla conclusione delle fasi o alla scadenza dei termini di cui al comma 2 gli atti, i dati e le informazioni non possono essere resi accessibili o conoscibili. Per i pubblici ufficiali o per gli incaricati di pubblico servizio la violazione della presente disposizione rileva ai fini dell'</w:t>
      </w:r>
      <w:hyperlink r:id="rId12" w:anchor="id=05AC00004063,__m=document" w:history="1">
        <w:r w:rsidRPr="004A5029">
          <w:rPr>
            <w:rFonts w:ascii="Times New Roman" w:eastAsia="Times New Roman" w:hAnsi="Times New Roman" w:cs="Times New Roman"/>
            <w:color w:val="000000" w:themeColor="text1"/>
            <w:lang w:eastAsia="it-IT"/>
          </w:rPr>
          <w:t>articolo 326 del codice penale</w:t>
        </w:r>
      </w:hyperlink>
      <w:r w:rsidRPr="004A5029">
        <w:rPr>
          <w:rFonts w:ascii="Times New Roman" w:eastAsia="Times New Roman" w:hAnsi="Times New Roman" w:cs="Times New Roman"/>
          <w:color w:val="000000" w:themeColor="text1"/>
          <w:lang w:eastAsia="it-IT"/>
        </w:rPr>
        <w:t>.</w:t>
      </w:r>
    </w:p>
    <w:p w14:paraId="65A53709"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4. Fatta salva la disciplina prevista per i contratti secretati o la cui esecuzione richiede speciali misure di sicurezza, e salvo quanto disposto dal comma 5, il diritto di accesso e ogni forma di divulgazione:</w:t>
      </w:r>
    </w:p>
    <w:p w14:paraId="6E316318"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a) possono</w:t>
      </w:r>
      <w:r w:rsidRPr="004A5029">
        <w:rPr>
          <w:rFonts w:ascii="Times New Roman" w:eastAsia="Times New Roman" w:hAnsi="Times New Roman" w:cs="Times New Roman"/>
          <w:color w:val="000000" w:themeColor="text1"/>
          <w:lang w:eastAsia="it-IT"/>
        </w:rPr>
        <w:t xml:space="preserve"> essere esclusi in relazione alle informazioni fornite nell'ambito dell'offerta o a giustificazione della medesima che costituiscano, secondo motivata e comprovata dichiarazione dell'offerente, segreti tecnici o commerciali;</w:t>
      </w:r>
    </w:p>
    <w:p w14:paraId="07921891" w14:textId="77777777" w:rsidR="00446F27" w:rsidRPr="004A5029" w:rsidRDefault="00446F27" w:rsidP="00446F27">
      <w:pPr>
        <w:shd w:val="clear" w:color="auto" w:fill="FFFFFF"/>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sono esclusi in relazione: </w:t>
      </w:r>
    </w:p>
    <w:p w14:paraId="40D6E84C"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ai pareri legali acquisiti dai soggetti tenuti all'applicazione del codice, per la soluzione di liti, potenziali o in atto, relative ai contratti pubblici;</w:t>
      </w:r>
    </w:p>
    <w:p w14:paraId="4BC31604"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alle relazioni riservate del direttore dei lavori, del direttore dell'esecuzione e dell'organo di collaudo sulle domande e sulle riserve del soggetto esecutore del contratto;</w:t>
      </w:r>
    </w:p>
    <w:p w14:paraId="45049780" w14:textId="77777777" w:rsidR="00446F27" w:rsidRPr="004A5029" w:rsidRDefault="00446F27" w:rsidP="00446F27">
      <w:pPr>
        <w:shd w:val="clear" w:color="auto" w:fill="FFFFFF"/>
        <w:jc w:val="both"/>
        <w:rPr>
          <w:rFonts w:ascii="Times New Roman" w:hAnsi="Times New Roman" w:cs="Times New Roman"/>
          <w:color w:val="000000" w:themeColor="text1"/>
        </w:rPr>
      </w:pPr>
      <w:r w:rsidRPr="004A5029">
        <w:rPr>
          <w:rFonts w:ascii="Times New Roman" w:eastAsia="Times New Roman" w:hAnsi="Times New Roman" w:cs="Times New Roman"/>
          <w:bCs/>
          <w:color w:val="000000" w:themeColor="text1"/>
          <w:lang w:eastAsia="it-IT"/>
        </w:rPr>
        <w:t>3) alle piattaforme digitali e alle infrastrutture informatiche utilizzate dalla stazione appaltante o dall’ente concedente, ove coperte da diritti di privativa intellettuale.</w:t>
      </w:r>
    </w:p>
    <w:p w14:paraId="4F1C3822" w14:textId="347E90D9"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5. In relazione all'ipotesi di cui al comma 4, letter</w:t>
      </w:r>
      <w:r w:rsidR="00556B29" w:rsidRPr="004A5029">
        <w:rPr>
          <w:rFonts w:ascii="Times New Roman" w:eastAsia="Times New Roman" w:hAnsi="Times New Roman" w:cs="Times New Roman"/>
          <w:color w:val="000000" w:themeColor="text1"/>
          <w:lang w:eastAsia="it-IT"/>
        </w:rPr>
        <w:t>e</w:t>
      </w:r>
      <w:r w:rsidRPr="004A5029">
        <w:rPr>
          <w:rFonts w:ascii="Times New Roman" w:eastAsia="Times New Roman" w:hAnsi="Times New Roman" w:cs="Times New Roman"/>
          <w:color w:val="000000" w:themeColor="text1"/>
          <w:lang w:eastAsia="it-IT"/>
        </w:rPr>
        <w:t xml:space="preserve"> a) e b), numero 3), è consentito l'accesso al concorrente, se indispensabile ai fini della difesa in giudizio dei propri interessi giuridici rappresentati in relazione alla procedura di gara.</w:t>
      </w:r>
    </w:p>
    <w:p w14:paraId="38C1F859" w14:textId="77777777" w:rsidR="00446F27" w:rsidRPr="004A5029" w:rsidRDefault="00446F27" w:rsidP="00446F27">
      <w:pPr>
        <w:jc w:val="both"/>
        <w:rPr>
          <w:rFonts w:ascii="Times New Roman" w:hAnsi="Times New Roman" w:cs="Times New Roman"/>
          <w:color w:val="000000" w:themeColor="text1"/>
        </w:rPr>
      </w:pPr>
    </w:p>
    <w:p w14:paraId="66D4E380" w14:textId="77777777" w:rsidR="00446F27" w:rsidRPr="004A5029" w:rsidRDefault="00446F27" w:rsidP="00446F27">
      <w:pPr>
        <w:shd w:val="clear" w:color="auto" w:fill="FFFFFF"/>
        <w:jc w:val="both"/>
        <w:textAlignment w:val="baseline"/>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bCs/>
          <w:color w:val="000000" w:themeColor="text1"/>
          <w:lang w:eastAsia="it-IT"/>
        </w:rPr>
        <w:t>Articolo 36.</w:t>
      </w:r>
    </w:p>
    <w:p w14:paraId="0D09A6C4" w14:textId="77777777" w:rsidR="00446F27" w:rsidRPr="004A5029" w:rsidRDefault="00446F27" w:rsidP="00446F27">
      <w:pPr>
        <w:shd w:val="clear" w:color="auto" w:fill="FFFFFF"/>
        <w:jc w:val="both"/>
        <w:textAlignment w:val="baseline"/>
        <w:rPr>
          <w:rFonts w:ascii="Times New Roman" w:eastAsia="Times New Roman" w:hAnsi="Times New Roman" w:cs="Times New Roman"/>
          <w:i/>
          <w:color w:val="000000" w:themeColor="text1"/>
          <w:lang w:eastAsia="it-IT"/>
        </w:rPr>
      </w:pPr>
      <w:r w:rsidRPr="004A5029">
        <w:rPr>
          <w:rFonts w:ascii="Times New Roman" w:eastAsia="Times New Roman" w:hAnsi="Times New Roman" w:cs="Times New Roman"/>
          <w:i/>
          <w:iCs/>
          <w:color w:val="000000" w:themeColor="text1"/>
          <w:lang w:eastAsia="it-IT"/>
        </w:rPr>
        <w:t>Norme procedimentali e processuali in tema di accesso.</w:t>
      </w:r>
    </w:p>
    <w:p w14:paraId="7B29DE88" w14:textId="3A2551BB"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bCs/>
          <w:color w:val="000000" w:themeColor="text1"/>
          <w:lang w:eastAsia="it-IT"/>
        </w:rPr>
        <w:t xml:space="preserve">1. L’offerta dell’operatore economico risultato aggiudicatario, </w:t>
      </w:r>
      <w:r w:rsidRPr="004A5029">
        <w:rPr>
          <w:rFonts w:ascii="Times New Roman" w:hAnsi="Times New Roman" w:cs="Times New Roman"/>
          <w:bCs/>
          <w:color w:val="000000" w:themeColor="text1"/>
        </w:rPr>
        <w:t>i verbali di gara e gli atti, i dati e le informazioni presupposti all’aggiudicazione</w:t>
      </w:r>
      <w:r w:rsidRPr="004A5029">
        <w:rPr>
          <w:rFonts w:ascii="Times New Roman" w:eastAsia="Times New Roman" w:hAnsi="Times New Roman" w:cs="Times New Roman"/>
          <w:bCs/>
          <w:color w:val="000000" w:themeColor="text1"/>
          <w:lang w:eastAsia="it-IT"/>
        </w:rPr>
        <w:t xml:space="preserve"> sono resi disponibili, attraverso la piattaforma </w:t>
      </w:r>
      <w:r w:rsidR="001B2F2C" w:rsidRPr="004A5029">
        <w:rPr>
          <w:rFonts w:ascii="Times New Roman" w:eastAsia="Times New Roman" w:hAnsi="Times New Roman" w:cs="Times New Roman"/>
          <w:b/>
          <w:color w:val="000000" w:themeColor="text1"/>
          <w:lang w:eastAsia="it-IT"/>
        </w:rPr>
        <w:t xml:space="preserve">di approvvigionamento </w:t>
      </w:r>
      <w:r w:rsidRPr="004A5029">
        <w:rPr>
          <w:rFonts w:ascii="Times New Roman" w:eastAsia="Times New Roman" w:hAnsi="Times New Roman" w:cs="Times New Roman"/>
          <w:bCs/>
          <w:color w:val="000000" w:themeColor="text1"/>
          <w:lang w:eastAsia="it-IT"/>
        </w:rPr>
        <w:t>digitale di cui all’articolo 25 utilizzata dalla stazione appaltante o dall’ente concedente, a tutti i candidati e offerenti non definitivamente esclusi</w:t>
      </w:r>
      <w:r w:rsidRPr="004A5029">
        <w:rPr>
          <w:rFonts w:ascii="Times New Roman" w:eastAsia="Times New Roman" w:hAnsi="Times New Roman" w:cs="Times New Roman"/>
          <w:color w:val="000000" w:themeColor="text1"/>
          <w:lang w:eastAsia="it-IT"/>
        </w:rPr>
        <w:t xml:space="preserve"> </w:t>
      </w:r>
      <w:r w:rsidRPr="004A5029">
        <w:rPr>
          <w:rFonts w:ascii="Times New Roman" w:hAnsi="Times New Roman" w:cs="Times New Roman"/>
          <w:bCs/>
          <w:color w:val="000000" w:themeColor="text1"/>
        </w:rPr>
        <w:t>contestualmente alla comunicazione digitale dell’aggiudicazione ai sensi dell’articolo 90</w:t>
      </w:r>
      <w:r w:rsidRPr="004A5029">
        <w:rPr>
          <w:rFonts w:ascii="Times New Roman" w:hAnsi="Times New Roman" w:cs="Times New Roman"/>
          <w:color w:val="000000" w:themeColor="text1"/>
        </w:rPr>
        <w:t>.</w:t>
      </w:r>
    </w:p>
    <w:p w14:paraId="1061A940" w14:textId="77777777" w:rsidR="00446F27" w:rsidRPr="004A5029" w:rsidRDefault="00446F27" w:rsidP="00446F27">
      <w:pPr>
        <w:shd w:val="clear" w:color="auto" w:fill="FFFFFF" w:themeFill="background1"/>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2. Agli operatori economici collocatisi nei primi cinque posti in graduatoria sono resi reciprocamente disponibili, attraverso la stessa piattaforma, gli atti di cui al comma 1, nonché le offerte dagli stessi presentate.</w:t>
      </w:r>
    </w:p>
    <w:p w14:paraId="0228C2D1" w14:textId="77777777" w:rsidR="00446F27" w:rsidRPr="004A5029" w:rsidRDefault="00446F27" w:rsidP="00446F27">
      <w:pPr>
        <w:shd w:val="clear" w:color="auto" w:fill="FFFFFF" w:themeFill="background1"/>
        <w:jc w:val="both"/>
        <w:textAlignment w:val="baseline"/>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it-IT"/>
        </w:rPr>
        <w:t xml:space="preserve">3. Nella comunicazione dell’aggiudicazione di cui al comma 1, la stazione appaltante o l’ente concedente dà anche atto </w:t>
      </w:r>
      <w:r w:rsidRPr="004A5029">
        <w:rPr>
          <w:rFonts w:ascii="Times New Roman" w:hAnsi="Times New Roman" w:cs="Times New Roman"/>
          <w:bCs/>
          <w:color w:val="000000" w:themeColor="text1"/>
        </w:rPr>
        <w:t xml:space="preserve">delle decisioni assunte </w:t>
      </w:r>
      <w:r w:rsidRPr="004A5029">
        <w:rPr>
          <w:rFonts w:ascii="Times New Roman" w:eastAsia="Times New Roman" w:hAnsi="Times New Roman" w:cs="Times New Roman"/>
          <w:bCs/>
          <w:color w:val="000000" w:themeColor="text1"/>
          <w:lang w:eastAsia="it-IT"/>
        </w:rPr>
        <w:t>sulle eventuali richieste di oscuramento di parti</w:t>
      </w:r>
      <w:r w:rsidRPr="004A5029">
        <w:rPr>
          <w:rFonts w:ascii="Times New Roman" w:hAnsi="Times New Roman" w:cs="Times New Roman"/>
          <w:bCs/>
          <w:color w:val="000000" w:themeColor="text1"/>
        </w:rPr>
        <w:t xml:space="preserve"> delle offerte di cui ai commi 1 e 2, indicate dagli operatori ai sensi dell’articolo 35, comma 4, lettera a).</w:t>
      </w:r>
    </w:p>
    <w:p w14:paraId="7E079DB6" w14:textId="68A15D39" w:rsidR="00446F27" w:rsidRPr="004A5029" w:rsidRDefault="00446F27" w:rsidP="00446F27">
      <w:pPr>
        <w:shd w:val="clear" w:color="auto" w:fill="FFFFFF" w:themeFill="background1"/>
        <w:jc w:val="both"/>
        <w:textAlignment w:val="baseline"/>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Le decisioni di cui al comma 3 sono impugnabili ai sensi dell’articolo 116 del </w:t>
      </w:r>
      <w:r w:rsidR="00556B29" w:rsidRPr="004A5029">
        <w:rPr>
          <w:rFonts w:ascii="Times New Roman" w:hAnsi="Times New Roman" w:cs="Times New Roman"/>
          <w:bCs/>
          <w:color w:val="000000" w:themeColor="text1"/>
        </w:rPr>
        <w:t>codice del processo amministrativo</w:t>
      </w:r>
      <w:r w:rsidR="0030786B" w:rsidRPr="004A5029">
        <w:rPr>
          <w:rFonts w:ascii="Times New Roman" w:eastAsia="Calibri" w:hAnsi="Times New Roman" w:cs="Times New Roman"/>
          <w:b/>
          <w:bCs/>
          <w:color w:val="000000" w:themeColor="text1"/>
        </w:rPr>
        <w:t>,</w:t>
      </w:r>
      <w:r w:rsidR="00556B29" w:rsidRPr="004A5029">
        <w:rPr>
          <w:rFonts w:ascii="Times New Roman" w:hAnsi="Times New Roman" w:cs="Times New Roman"/>
          <w:bCs/>
          <w:color w:val="000000" w:themeColor="text1"/>
        </w:rPr>
        <w:t xml:space="preserve"> di cui </w:t>
      </w:r>
      <w:r w:rsidR="00BD4B50" w:rsidRPr="004A5029">
        <w:rPr>
          <w:rFonts w:ascii="Times New Roman" w:eastAsia="Arial" w:hAnsi="Times New Roman" w:cs="Times New Roman"/>
          <w:b/>
          <w:color w:val="000000" w:themeColor="text1"/>
          <w:lang w:eastAsia="it-IT"/>
        </w:rPr>
        <w:t>all’allegato I</w:t>
      </w:r>
      <w:r w:rsidR="00BD4B50" w:rsidRPr="004A5029">
        <w:rPr>
          <w:rFonts w:ascii="Times New Roman" w:hAnsi="Times New Roman" w:cs="Times New Roman"/>
          <w:bCs/>
          <w:color w:val="000000" w:themeColor="text1"/>
        </w:rPr>
        <w:t xml:space="preserve"> </w:t>
      </w:r>
      <w:r w:rsidR="00556B29" w:rsidRPr="004A5029">
        <w:rPr>
          <w:rFonts w:ascii="Times New Roman" w:hAnsi="Times New Roman" w:cs="Times New Roman"/>
          <w:bCs/>
          <w:color w:val="000000" w:themeColor="text1"/>
        </w:rPr>
        <w:t xml:space="preserve">al </w:t>
      </w:r>
      <w:r w:rsidRPr="004A5029">
        <w:rPr>
          <w:rFonts w:ascii="Times New Roman" w:hAnsi="Times New Roman" w:cs="Times New Roman"/>
          <w:bCs/>
          <w:color w:val="000000" w:themeColor="text1"/>
        </w:rPr>
        <w:t>decreto legislativo 2 luglio 2010, n. 104</w:t>
      </w:r>
      <w:r w:rsidR="00BD4B50" w:rsidRPr="004A5029">
        <w:rPr>
          <w:rStyle w:val="Nessuno"/>
          <w:rFonts w:ascii="Times New Roman" w:hAnsi="Times New Roman" w:cs="Times New Roman"/>
          <w:b/>
          <w:bCs/>
          <w:color w:val="000000" w:themeColor="text1"/>
        </w:rPr>
        <w:t>,</w:t>
      </w:r>
      <w:r w:rsidRPr="004A5029">
        <w:rPr>
          <w:rFonts w:ascii="Times New Roman" w:hAnsi="Times New Roman" w:cs="Times New Roman"/>
          <w:bCs/>
          <w:color w:val="000000" w:themeColor="text1"/>
        </w:rPr>
        <w:t xml:space="preserve"> con ricorso notificato e depositato entro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 dieci </w:t>
      </w:r>
      <w:r w:rsidRPr="004A5029">
        <w:rPr>
          <w:rFonts w:ascii="Times New Roman" w:hAnsi="Times New Roman" w:cs="Times New Roman"/>
          <w:bCs/>
          <w:color w:val="000000" w:themeColor="text1"/>
        </w:rPr>
        <w:t>giorni dalla comunicazione digitale della aggiudicazione.</w:t>
      </w:r>
      <w:r w:rsidR="00735397" w:rsidRPr="004A5029">
        <w:rPr>
          <w:rFonts w:ascii="Times New Roman" w:hAnsi="Times New Roman" w:cs="Times New Roman"/>
          <w:bCs/>
          <w:color w:val="000000" w:themeColor="text1"/>
        </w:rPr>
        <w:t xml:space="preserve"> </w:t>
      </w:r>
      <w:r w:rsidR="00735397" w:rsidRPr="004A5029">
        <w:rPr>
          <w:rFonts w:ascii="Times New Roman" w:hAnsi="Times New Roman" w:cs="Times New Roman"/>
          <w:b/>
          <w:color w:val="000000" w:themeColor="text1"/>
        </w:rPr>
        <w:t>Le parti intimate possono costituirsi entro dieci giorni dal perfezionamento nei propri confronti della notifica del ricorso</w:t>
      </w:r>
      <w:r w:rsidR="00735397" w:rsidRPr="004A5029">
        <w:rPr>
          <w:rFonts w:ascii="Times New Roman" w:hAnsi="Times New Roman" w:cs="Times New Roman"/>
          <w:bCs/>
          <w:color w:val="000000" w:themeColor="text1"/>
        </w:rPr>
        <w:t>.</w:t>
      </w:r>
    </w:p>
    <w:p w14:paraId="4BD46F95" w14:textId="77777777" w:rsidR="00446F27" w:rsidRPr="004A5029" w:rsidRDefault="00446F27" w:rsidP="00446F27">
      <w:pPr>
        <w:shd w:val="clear" w:color="auto" w:fill="FFFFFF" w:themeFill="background1"/>
        <w:jc w:val="both"/>
        <w:textAlignment w:val="baseline"/>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it-IT"/>
        </w:rPr>
        <w:t xml:space="preserve">5. Nel caso in cui la stazione appaltante o l’ente concedente ritenga insussistenti le ragioni di segretezza indicate dall’offerente ai sensi dell’articolo 35, comma 4, lettera a), l’ostensione delle parti dell’offerta di cui è stato richiesto l’oscuramento non è consentita </w:t>
      </w:r>
      <w:r w:rsidRPr="004A5029">
        <w:rPr>
          <w:rFonts w:ascii="Times New Roman" w:hAnsi="Times New Roman" w:cs="Times New Roman"/>
          <w:bCs/>
          <w:color w:val="000000" w:themeColor="text1"/>
          <w:shd w:val="clear" w:color="auto" w:fill="FFFFFF"/>
        </w:rPr>
        <w:t>prima del decorso del termine di impugnazione delle decisioni di cui al comma 4.</w:t>
      </w:r>
    </w:p>
    <w:p w14:paraId="63028B82" w14:textId="47F09552" w:rsidR="00446F27" w:rsidRPr="004A5029" w:rsidRDefault="00446F27" w:rsidP="00446F27">
      <w:pPr>
        <w:shd w:val="clear" w:color="auto" w:fill="FFFFFF" w:themeFill="background1"/>
        <w:jc w:val="both"/>
        <w:textAlignment w:val="baseline"/>
        <w:rPr>
          <w:rFonts w:ascii="Times New Roman" w:eastAsia="Times New Roman" w:hAnsi="Times New Roman" w:cs="Times New Roman"/>
          <w:bCs/>
          <w:i/>
          <w:iCs/>
          <w:color w:val="000000" w:themeColor="text1"/>
          <w:lang w:eastAsia="it-IT"/>
        </w:rPr>
      </w:pPr>
      <w:r w:rsidRPr="004A5029">
        <w:rPr>
          <w:rFonts w:ascii="Times New Roman" w:eastAsia="Times New Roman" w:hAnsi="Times New Roman" w:cs="Times New Roman"/>
          <w:bCs/>
          <w:color w:val="000000" w:themeColor="text1"/>
          <w:lang w:eastAsia="it-IT"/>
        </w:rPr>
        <w:t xml:space="preserve">6. Nel caso di </w:t>
      </w:r>
      <w:r w:rsidRPr="004A5029">
        <w:rPr>
          <w:rFonts w:ascii="Times New Roman" w:hAnsi="Times New Roman" w:cs="Times New Roman"/>
          <w:bCs/>
          <w:color w:val="000000" w:themeColor="text1"/>
        </w:rPr>
        <w:t xml:space="preserve">cui al comma 4 </w:t>
      </w:r>
      <w:r w:rsidRPr="004A5029">
        <w:rPr>
          <w:rFonts w:ascii="Times New Roman" w:eastAsia="Times New Roman" w:hAnsi="Times New Roman" w:cs="Times New Roman"/>
          <w:bCs/>
          <w:color w:val="000000" w:themeColor="text1"/>
          <w:lang w:eastAsia="it-IT"/>
        </w:rPr>
        <w:t xml:space="preserve">la stazione appaltante o l’ente concedente può inoltrare segnalazione all’ANAC la quale può irrogare una sanzione pecuniaria nella misura stabilita dall’articolo 222, comma 9, ridotta alla metà nel caso di pagamento entro </w:t>
      </w:r>
      <w:r w:rsidRPr="004A5029">
        <w:rPr>
          <w:rFonts w:ascii="Times New Roman" w:eastAsia="Times New Roman" w:hAnsi="Times New Roman" w:cs="Times New Roman"/>
          <w:b/>
          <w:strike/>
          <w:color w:val="000000" w:themeColor="text1"/>
          <w:lang w:eastAsia="it-IT"/>
        </w:rPr>
        <w:t>30</w:t>
      </w:r>
      <w:r w:rsidRPr="004A5029">
        <w:rPr>
          <w:rFonts w:ascii="Times New Roman" w:eastAsia="Times New Roman" w:hAnsi="Times New Roman" w:cs="Times New Roman"/>
          <w:b/>
          <w:color w:val="000000" w:themeColor="text1"/>
          <w:lang w:eastAsia="it-IT"/>
        </w:rPr>
        <w:t xml:space="preserve"> </w:t>
      </w:r>
      <w:r w:rsidR="00407103" w:rsidRPr="004A5029">
        <w:rPr>
          <w:rFonts w:ascii="Times New Roman" w:eastAsia="Times New Roman" w:hAnsi="Times New Roman" w:cs="Times New Roman"/>
          <w:b/>
          <w:color w:val="000000" w:themeColor="text1"/>
          <w:lang w:eastAsia="it-IT"/>
        </w:rPr>
        <w:t xml:space="preserve">trenta </w:t>
      </w:r>
      <w:r w:rsidRPr="004A5029">
        <w:rPr>
          <w:rFonts w:ascii="Times New Roman" w:eastAsia="Times New Roman" w:hAnsi="Times New Roman" w:cs="Times New Roman"/>
          <w:bCs/>
          <w:color w:val="000000" w:themeColor="text1"/>
          <w:lang w:eastAsia="it-IT"/>
        </w:rPr>
        <w:t>giorni dalla contestazione,</w:t>
      </w:r>
      <w:r w:rsidRPr="004A5029">
        <w:rPr>
          <w:rFonts w:ascii="Times New Roman" w:eastAsia="Times New Roman" w:hAnsi="Times New Roman" w:cs="Times New Roman"/>
          <w:bCs/>
          <w:i/>
          <w:iCs/>
          <w:color w:val="000000" w:themeColor="text1"/>
          <w:lang w:eastAsia="it-IT"/>
        </w:rPr>
        <w:t xml:space="preserve"> </w:t>
      </w:r>
      <w:r w:rsidRPr="004A5029">
        <w:rPr>
          <w:rFonts w:ascii="Times New Roman" w:hAnsi="Times New Roman" w:cs="Times New Roman"/>
          <w:bCs/>
          <w:color w:val="000000" w:themeColor="text1"/>
        </w:rPr>
        <w:t>qualora vi siano reiterati rigetti di istanze di oscuramento.</w:t>
      </w:r>
    </w:p>
    <w:p w14:paraId="5EA47270" w14:textId="5734A34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7. Il ricorso di cui al comma 4 è fissato d’ufficio in udienza in camera di consiglio nel rispetto di termini pari alla metà di quelli di cui all’articolo 55 del </w:t>
      </w:r>
      <w:r w:rsidR="00455F89" w:rsidRPr="004A5029">
        <w:rPr>
          <w:rFonts w:ascii="Times New Roman" w:hAnsi="Times New Roman" w:cs="Times New Roman"/>
          <w:b/>
          <w:color w:val="000000" w:themeColor="text1"/>
        </w:rPr>
        <w:t>codice di cui all’allegato I al</w:t>
      </w:r>
      <w:r w:rsidR="00455F89"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decreto legislativo </w:t>
      </w:r>
      <w:r w:rsidRPr="004A5029">
        <w:rPr>
          <w:rFonts w:ascii="Times New Roman" w:hAnsi="Times New Roman" w:cs="Times New Roman"/>
          <w:b/>
          <w:strike/>
          <w:color w:val="000000" w:themeColor="text1"/>
        </w:rPr>
        <w:t>2 luglio 2010,</w:t>
      </w:r>
      <w:r w:rsidRPr="004A5029">
        <w:rPr>
          <w:rFonts w:ascii="Times New Roman" w:hAnsi="Times New Roman" w:cs="Times New Roman"/>
          <w:bCs/>
          <w:color w:val="000000" w:themeColor="text1"/>
        </w:rPr>
        <w:t xml:space="preserve"> n. 104 </w:t>
      </w:r>
      <w:r w:rsidR="001B2F2C" w:rsidRPr="004A5029">
        <w:rPr>
          <w:rFonts w:ascii="Times New Roman" w:hAnsi="Times New Roman" w:cs="Times New Roman"/>
          <w:b/>
          <w:color w:val="000000" w:themeColor="text1"/>
        </w:rPr>
        <w:t xml:space="preserve">del 2010 </w:t>
      </w:r>
      <w:r w:rsidRPr="004A5029">
        <w:rPr>
          <w:rFonts w:ascii="Times New Roman" w:hAnsi="Times New Roman" w:cs="Times New Roman"/>
          <w:bCs/>
          <w:color w:val="000000" w:themeColor="text1"/>
        </w:rPr>
        <w:t>ed è deciso alla medesima udienza con sentenza in forma semplificata, da pubblicarsi entro cinque giorni dall’udienza di discussione, e la cui motivazione può consistere anche in un mero richiamo delle argomentazioni contenute negli scritti delle parti che il giudice ha inteso accogliere e fare proprie.</w:t>
      </w:r>
    </w:p>
    <w:p w14:paraId="157B0A59" w14:textId="77777777" w:rsidR="00446F27" w:rsidRPr="004A5029" w:rsidRDefault="00446F27" w:rsidP="00446F27">
      <w:pPr>
        <w:jc w:val="both"/>
        <w:rPr>
          <w:rFonts w:ascii="Times New Roman" w:hAnsi="Times New Roman" w:cs="Times New Roman"/>
          <w:bCs/>
          <w:color w:val="000000" w:themeColor="text1"/>
          <w:highlight w:val="yellow"/>
        </w:rPr>
      </w:pPr>
      <w:r w:rsidRPr="004A5029">
        <w:rPr>
          <w:rFonts w:ascii="Times New Roman" w:hAnsi="Times New Roman" w:cs="Times New Roman"/>
          <w:bCs/>
          <w:color w:val="000000" w:themeColor="text1"/>
        </w:rPr>
        <w:t xml:space="preserve">8. </w:t>
      </w:r>
      <w:r w:rsidRPr="004A5029">
        <w:rPr>
          <w:rFonts w:ascii="Times New Roman" w:hAnsi="Times New Roman" w:cs="Times New Roman"/>
          <w:color w:val="000000" w:themeColor="text1"/>
        </w:rPr>
        <w:t xml:space="preserve">Il rito e i termini di cui ai commi 4 e </w:t>
      </w:r>
      <w:r w:rsidRPr="004A5029">
        <w:rPr>
          <w:rFonts w:ascii="Times New Roman" w:hAnsi="Times New Roman" w:cs="Times New Roman"/>
          <w:bCs/>
          <w:color w:val="000000" w:themeColor="text1"/>
        </w:rPr>
        <w:t>7</w:t>
      </w:r>
      <w:r w:rsidRPr="004A5029">
        <w:rPr>
          <w:rFonts w:ascii="Times New Roman" w:hAnsi="Times New Roman" w:cs="Times New Roman"/>
          <w:color w:val="000000" w:themeColor="text1"/>
        </w:rPr>
        <w:t xml:space="preserve"> si applicano anche </w:t>
      </w:r>
      <w:r w:rsidRPr="004A5029">
        <w:rPr>
          <w:rFonts w:ascii="Times New Roman" w:hAnsi="Times New Roman" w:cs="Times New Roman"/>
          <w:bCs/>
          <w:color w:val="000000" w:themeColor="text1"/>
        </w:rPr>
        <w:t>nei giudizi di impugnazione.</w:t>
      </w:r>
    </w:p>
    <w:p w14:paraId="770FC548" w14:textId="77777777" w:rsidR="00446F27" w:rsidRPr="004A5029" w:rsidRDefault="00446F27" w:rsidP="00446F27">
      <w:pPr>
        <w:shd w:val="clear" w:color="auto" w:fill="FFFFFF"/>
        <w:jc w:val="both"/>
        <w:textAlignment w:val="baseline"/>
        <w:rPr>
          <w:rFonts w:ascii="Times New Roman" w:hAnsi="Times New Roman" w:cs="Times New Roman"/>
          <w:color w:val="000000" w:themeColor="text1"/>
        </w:rPr>
      </w:pPr>
      <w:r w:rsidRPr="004A5029">
        <w:rPr>
          <w:rFonts w:ascii="Times New Roman" w:hAnsi="Times New Roman" w:cs="Times New Roman"/>
          <w:bCs/>
          <w:color w:val="000000" w:themeColor="text1"/>
        </w:rPr>
        <w:t>9. Il termine di impugnazione dell’aggiudicazione e dell’ammissione e valutazione delle offerte diverse da quella aggiudicataria decorre comunque dalla comunicazione di cui all’articolo 90.</w:t>
      </w:r>
    </w:p>
    <w:p w14:paraId="0C8FE7CE" w14:textId="77777777" w:rsidR="00446F27" w:rsidRPr="004A5029" w:rsidRDefault="00446F27" w:rsidP="00446F27">
      <w:pPr>
        <w:rPr>
          <w:rFonts w:ascii="Times New Roman" w:hAnsi="Times New Roman" w:cs="Times New Roman"/>
          <w:color w:val="000000" w:themeColor="text1"/>
        </w:rPr>
      </w:pPr>
    </w:p>
    <w:p w14:paraId="41004F19" w14:textId="77777777" w:rsidR="00446F27" w:rsidRPr="004A5029" w:rsidRDefault="00446F27" w:rsidP="00446F27">
      <w:pPr>
        <w:jc w:val="both"/>
        <w:rPr>
          <w:rFonts w:ascii="Times New Roman" w:hAnsi="Times New Roman" w:cs="Times New Roman"/>
          <w:color w:val="000000" w:themeColor="text1"/>
        </w:rPr>
      </w:pPr>
    </w:p>
    <w:p w14:paraId="67C0C651" w14:textId="77777777" w:rsidR="00446F27" w:rsidRPr="004A5029" w:rsidRDefault="00446F27" w:rsidP="00446F27">
      <w:pPr>
        <w:jc w:val="both"/>
        <w:rPr>
          <w:rFonts w:ascii="Times New Roman" w:hAnsi="Times New Roman" w:cs="Times New Roman"/>
          <w:b/>
          <w:noProof/>
          <w:color w:val="000000" w:themeColor="text1"/>
          <w:lang w:eastAsia="it-IT"/>
        </w:rPr>
      </w:pPr>
      <w:r w:rsidRPr="004A5029">
        <w:rPr>
          <w:rFonts w:ascii="Times New Roman" w:hAnsi="Times New Roman" w:cs="Times New Roman"/>
          <w:b/>
          <w:noProof/>
          <w:color w:val="000000" w:themeColor="text1"/>
          <w:lang w:eastAsia="it-IT"/>
        </w:rPr>
        <w:br w:type="page"/>
      </w:r>
    </w:p>
    <w:p w14:paraId="20471C20" w14:textId="77777777" w:rsidR="00446F27" w:rsidRPr="004A5029" w:rsidRDefault="00446F27" w:rsidP="00446F27">
      <w:pPr>
        <w:jc w:val="center"/>
        <w:rPr>
          <w:rFonts w:ascii="Times New Roman" w:hAnsi="Times New Roman" w:cs="Times New Roman"/>
          <w:b/>
          <w:noProof/>
          <w:color w:val="000000" w:themeColor="text1"/>
          <w:lang w:eastAsia="it-IT"/>
        </w:rPr>
      </w:pPr>
      <w:r w:rsidRPr="004A5029">
        <w:rPr>
          <w:rFonts w:ascii="Times New Roman" w:hAnsi="Times New Roman" w:cs="Times New Roman"/>
          <w:b/>
          <w:noProof/>
          <w:color w:val="000000" w:themeColor="text1"/>
          <w:lang w:eastAsia="it-IT"/>
        </w:rPr>
        <w:t xml:space="preserve">PARTE III </w:t>
      </w:r>
    </w:p>
    <w:p w14:paraId="6F9DA556" w14:textId="77777777" w:rsidR="00446F27" w:rsidRPr="004A5029" w:rsidRDefault="00446F27" w:rsidP="00446F27">
      <w:pPr>
        <w:jc w:val="center"/>
        <w:rPr>
          <w:rFonts w:ascii="Times New Roman" w:hAnsi="Times New Roman" w:cs="Times New Roman"/>
          <w:b/>
          <w:noProof/>
          <w:color w:val="000000" w:themeColor="text1"/>
          <w:u w:val="single"/>
          <w:lang w:eastAsia="it-IT"/>
        </w:rPr>
      </w:pPr>
      <w:r w:rsidRPr="004A5029">
        <w:rPr>
          <w:rFonts w:ascii="Times New Roman" w:hAnsi="Times New Roman" w:cs="Times New Roman"/>
          <w:b/>
          <w:noProof/>
          <w:color w:val="000000" w:themeColor="text1"/>
          <w:lang w:eastAsia="it-IT"/>
        </w:rPr>
        <w:t>DELLA PROGRAMMAZIONE</w:t>
      </w:r>
    </w:p>
    <w:p w14:paraId="308D56CC" w14:textId="77777777" w:rsidR="00446F27" w:rsidRPr="004A5029" w:rsidRDefault="00446F27" w:rsidP="00446F27">
      <w:pPr>
        <w:jc w:val="both"/>
        <w:rPr>
          <w:rFonts w:ascii="Times New Roman" w:hAnsi="Times New Roman" w:cs="Times New Roman"/>
          <w:color w:val="000000" w:themeColor="text1"/>
        </w:rPr>
      </w:pPr>
    </w:p>
    <w:p w14:paraId="3EFA1CF3"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37.</w:t>
      </w:r>
    </w:p>
    <w:p w14:paraId="1DAFAD2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lang w:eastAsia="it-IT"/>
        </w:rPr>
        <w:t>Programmazione dei lavori e degli acquisti di beni e servizi.</w:t>
      </w:r>
    </w:p>
    <w:p w14:paraId="3D7335D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stazioni appaltanti e gli enti concedenti:</w:t>
      </w:r>
    </w:p>
    <w:p w14:paraId="1E36843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adottano il programma triennale dei lavori pubblici e il programma triennale degli acquisti di beni e servizi. I programmi sono approvati nel rispetto dei documenti programmatori e in coerenza con il bilancio e, per gli enti locali, secondo le norme della programmazione economico-finanziaria e i principi contabili;</w:t>
      </w:r>
    </w:p>
    <w:p w14:paraId="057DFE0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b) approvano l’elenco annuale che indica i lavori da avviare nella prima annualità e specifica per ogni opera la fonte di finanziamento, stanziata nello stato di previsione o nel bilancio o comunque disponibile.</w:t>
      </w:r>
    </w:p>
    <w:p w14:paraId="65B10184" w14:textId="0A7A38B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Il programma triennale dei lavori pubblici e i relativi aggiornamenti annuali contengono i lavori, </w:t>
      </w:r>
      <w:r w:rsidRPr="004A5029">
        <w:rPr>
          <w:rFonts w:ascii="Times New Roman" w:hAnsi="Times New Roman" w:cs="Times New Roman"/>
          <w:bCs/>
          <w:color w:val="000000" w:themeColor="text1"/>
        </w:rPr>
        <w:t>compresi quelli complessi e da realizzare tramite concessione o partenariato pubblico-privato</w:t>
      </w:r>
      <w:r w:rsidRPr="004A5029">
        <w:rPr>
          <w:rFonts w:ascii="Times New Roman" w:hAnsi="Times New Roman" w:cs="Times New Roman"/>
          <w:color w:val="000000" w:themeColor="text1"/>
        </w:rPr>
        <w:t xml:space="preserve">, il </w:t>
      </w:r>
      <w:r w:rsidRPr="004A5029">
        <w:rPr>
          <w:rFonts w:ascii="Times New Roman" w:hAnsi="Times New Roman" w:cs="Times New Roman"/>
          <w:bCs/>
          <w:color w:val="000000" w:themeColor="text1"/>
        </w:rPr>
        <w:t>cui</w:t>
      </w:r>
      <w:r w:rsidRPr="004A5029">
        <w:rPr>
          <w:rFonts w:ascii="Times New Roman" w:hAnsi="Times New Roman" w:cs="Times New Roman"/>
          <w:color w:val="000000" w:themeColor="text1"/>
        </w:rPr>
        <w:t xml:space="preserve"> importo </w:t>
      </w:r>
      <w:r w:rsidRPr="004A5029">
        <w:rPr>
          <w:rFonts w:ascii="Times New Roman" w:hAnsi="Times New Roman" w:cs="Times New Roman"/>
          <w:bCs/>
          <w:color w:val="000000" w:themeColor="text1"/>
        </w:rPr>
        <w:t>si stima</w:t>
      </w:r>
      <w:r w:rsidRPr="004A5029">
        <w:rPr>
          <w:rFonts w:ascii="Times New Roman" w:hAnsi="Times New Roman" w:cs="Times New Roman"/>
          <w:color w:val="000000" w:themeColor="text1"/>
        </w:rPr>
        <w:t xml:space="preserve"> pari o superiore </w:t>
      </w:r>
      <w:r w:rsidRPr="004A5029">
        <w:rPr>
          <w:rFonts w:ascii="Times New Roman" w:hAnsi="Times New Roman" w:cs="Times New Roman"/>
          <w:b/>
          <w:bCs/>
          <w:strike/>
          <w:color w:val="000000" w:themeColor="text1"/>
        </w:rPr>
        <w:t>a 150.000 euro</w:t>
      </w:r>
      <w:r w:rsidR="007945E5" w:rsidRPr="004A5029">
        <w:rPr>
          <w:color w:val="000000" w:themeColor="text1"/>
        </w:rPr>
        <w:t xml:space="preserve"> </w:t>
      </w:r>
      <w:r w:rsidR="007945E5" w:rsidRPr="004A5029">
        <w:rPr>
          <w:rFonts w:ascii="Times New Roman" w:hAnsi="Times New Roman" w:cs="Times New Roman"/>
          <w:b/>
          <w:bCs/>
          <w:color w:val="000000" w:themeColor="text1"/>
        </w:rPr>
        <w:t>alla soglia di cui all’articolo 50, comma 1, lettera a)</w:t>
      </w:r>
      <w:r w:rsidRPr="004A5029">
        <w:rPr>
          <w:rFonts w:ascii="Times New Roman" w:hAnsi="Times New Roman" w:cs="Times New Roman"/>
          <w:color w:val="000000" w:themeColor="text1"/>
        </w:rPr>
        <w:t>. I lavori di importo pari o superiore all</w:t>
      </w:r>
      <w:r w:rsidR="00556B29" w:rsidRPr="004A5029">
        <w:rPr>
          <w:rFonts w:ascii="Times New Roman" w:hAnsi="Times New Roman" w:cs="Times New Roman"/>
          <w:color w:val="000000" w:themeColor="text1"/>
        </w:rPr>
        <w:t>a</w:t>
      </w:r>
      <w:r w:rsidRPr="004A5029">
        <w:rPr>
          <w:rFonts w:ascii="Times New Roman" w:hAnsi="Times New Roman" w:cs="Times New Roman"/>
          <w:color w:val="000000" w:themeColor="text1"/>
        </w:rPr>
        <w:t xml:space="preserve"> sogli</w:t>
      </w:r>
      <w:r w:rsidR="00556B29" w:rsidRPr="004A5029">
        <w:rPr>
          <w:rFonts w:ascii="Times New Roman" w:hAnsi="Times New Roman" w:cs="Times New Roman"/>
          <w:color w:val="000000" w:themeColor="text1"/>
        </w:rPr>
        <w:t>a</w:t>
      </w:r>
      <w:r w:rsidRPr="004A5029">
        <w:rPr>
          <w:rFonts w:ascii="Times New Roman" w:hAnsi="Times New Roman" w:cs="Times New Roman"/>
          <w:color w:val="000000" w:themeColor="text1"/>
        </w:rPr>
        <w:t xml:space="preserve"> di rilevanza europea di cui all’articolo 14, comma 1, lettera a)</w:t>
      </w:r>
      <w:r w:rsidR="00556B29"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sono</w:t>
      </w:r>
      <w:r w:rsidRPr="004A5029">
        <w:rPr>
          <w:rFonts w:ascii="Times New Roman" w:hAnsi="Times New Roman" w:cs="Times New Roman"/>
          <w:bCs/>
          <w:color w:val="000000" w:themeColor="text1"/>
        </w:rPr>
        <w:t xml:space="preserve"> inseriti nell’elenco triennale dopo l’approvazione del documento di fattibilità delle alternative progettuali e </w:t>
      </w:r>
      <w:r w:rsidRPr="004A5029">
        <w:rPr>
          <w:rFonts w:ascii="Times New Roman" w:hAnsi="Times New Roman" w:cs="Times New Roman"/>
          <w:color w:val="000000" w:themeColor="text1"/>
        </w:rPr>
        <w:t xml:space="preserve">nell’elenco annuale </w:t>
      </w:r>
      <w:r w:rsidRPr="004A5029">
        <w:rPr>
          <w:rFonts w:ascii="Times New Roman" w:hAnsi="Times New Roman" w:cs="Times New Roman"/>
          <w:bCs/>
          <w:color w:val="000000" w:themeColor="text1"/>
        </w:rPr>
        <w:t xml:space="preserve">dopo l’approvazione del documento di indirizzo della progettazione. I lavori di manutenzione ordinaria superiori alla soglia indicata nel </w:t>
      </w:r>
      <w:r w:rsidR="00556B29" w:rsidRPr="004A5029">
        <w:rPr>
          <w:rFonts w:ascii="Times New Roman" w:hAnsi="Times New Roman" w:cs="Times New Roman"/>
          <w:bCs/>
          <w:color w:val="000000" w:themeColor="text1"/>
        </w:rPr>
        <w:t xml:space="preserve">secondo </w:t>
      </w:r>
      <w:r w:rsidRPr="004A5029">
        <w:rPr>
          <w:rFonts w:ascii="Times New Roman" w:hAnsi="Times New Roman" w:cs="Times New Roman"/>
          <w:bCs/>
          <w:color w:val="000000" w:themeColor="text1"/>
        </w:rPr>
        <w:t xml:space="preserve">periodo </w:t>
      </w:r>
      <w:r w:rsidR="00E07A23" w:rsidRPr="004A5029">
        <w:rPr>
          <w:rFonts w:ascii="Times New Roman" w:hAnsi="Times New Roman" w:cs="Times New Roman"/>
          <w:bCs/>
          <w:color w:val="000000" w:themeColor="text1"/>
        </w:rPr>
        <w:t>sono</w:t>
      </w:r>
      <w:r w:rsidRPr="004A5029">
        <w:rPr>
          <w:rFonts w:ascii="Times New Roman" w:hAnsi="Times New Roman" w:cs="Times New Roman"/>
          <w:bCs/>
          <w:color w:val="000000" w:themeColor="text1"/>
        </w:rPr>
        <w:t xml:space="preserve"> inseriti nell’elenco triennale anche in assenza del </w:t>
      </w:r>
      <w:r w:rsidRPr="004A5029">
        <w:rPr>
          <w:rFonts w:ascii="Times New Roman" w:hAnsi="Times New Roman" w:cs="Times New Roman"/>
          <w:color w:val="000000" w:themeColor="text1"/>
        </w:rPr>
        <w:t>documento di fattibilità delle alternative progettuali.</w:t>
      </w:r>
      <w:r w:rsidR="007945E5" w:rsidRPr="004A5029">
        <w:rPr>
          <w:color w:val="000000" w:themeColor="text1"/>
        </w:rPr>
        <w:t xml:space="preserve"> </w:t>
      </w:r>
      <w:r w:rsidR="007945E5" w:rsidRPr="004A5029">
        <w:rPr>
          <w:rFonts w:ascii="Times New Roman" w:hAnsi="Times New Roman" w:cs="Times New Roman"/>
          <w:b/>
          <w:bCs/>
          <w:color w:val="000000" w:themeColor="text1"/>
        </w:rPr>
        <w:t>I lavori, servizi e forniture da realizzare in amministrazione diretta non sono inseriti nella programmazione.</w:t>
      </w:r>
    </w:p>
    <w:p w14:paraId="200B3F7D" w14:textId="13885EC8"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w:t>
      </w:r>
      <w:r w:rsidRPr="004A5029">
        <w:rPr>
          <w:rFonts w:ascii="Times New Roman" w:hAnsi="Times New Roman" w:cs="Times New Roman"/>
          <w:color w:val="000000" w:themeColor="text1"/>
        </w:rPr>
        <w:t>. Il programma</w:t>
      </w:r>
      <w:r w:rsidRPr="004A5029">
        <w:rPr>
          <w:rFonts w:ascii="Times New Roman" w:hAnsi="Times New Roman" w:cs="Times New Roman"/>
          <w:bCs/>
          <w:color w:val="000000" w:themeColor="text1"/>
        </w:rPr>
        <w:t xml:space="preserve"> triennale di acquisti di beni</w:t>
      </w:r>
      <w:r w:rsidRPr="004A5029">
        <w:rPr>
          <w:rFonts w:ascii="Times New Roman" w:hAnsi="Times New Roman" w:cs="Times New Roman"/>
          <w:color w:val="000000" w:themeColor="text1"/>
        </w:rPr>
        <w:t xml:space="preserve"> e servizi e i relativi aggiornamenti annuali</w:t>
      </w:r>
      <w:r w:rsidRPr="004A5029">
        <w:rPr>
          <w:rFonts w:ascii="Times New Roman" w:hAnsi="Times New Roman" w:cs="Times New Roman"/>
          <w:bCs/>
          <w:color w:val="000000" w:themeColor="text1"/>
        </w:rPr>
        <w:t xml:space="preserve"> indicano gli </w:t>
      </w:r>
      <w:r w:rsidRPr="004A5029">
        <w:rPr>
          <w:rFonts w:ascii="Times New Roman" w:hAnsi="Times New Roman" w:cs="Times New Roman"/>
          <w:color w:val="000000" w:themeColor="text1"/>
        </w:rPr>
        <w:t>acquisti</w:t>
      </w:r>
      <w:r w:rsidRPr="004A5029">
        <w:rPr>
          <w:rFonts w:ascii="Times New Roman" w:hAnsi="Times New Roman" w:cs="Times New Roman"/>
          <w:bCs/>
          <w:color w:val="000000" w:themeColor="text1"/>
        </w:rPr>
        <w:t xml:space="preserve"> di </w:t>
      </w:r>
      <w:r w:rsidRPr="004A5029">
        <w:rPr>
          <w:rFonts w:ascii="Times New Roman" w:hAnsi="Times New Roman" w:cs="Times New Roman"/>
          <w:color w:val="000000" w:themeColor="text1"/>
        </w:rPr>
        <w:t>importo stimato</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pari o superiore</w:t>
      </w:r>
      <w:r w:rsidRPr="004A5029">
        <w:rPr>
          <w:rFonts w:ascii="Times New Roman" w:hAnsi="Times New Roman" w:cs="Times New Roman"/>
          <w:bCs/>
          <w:color w:val="000000" w:themeColor="text1"/>
        </w:rPr>
        <w:t xml:space="preserve"> </w:t>
      </w:r>
      <w:r w:rsidR="007945E5" w:rsidRPr="004A5029">
        <w:rPr>
          <w:rFonts w:ascii="Times New Roman" w:hAnsi="Times New Roman" w:cs="Times New Roman"/>
          <w:b/>
          <w:bCs/>
          <w:strike/>
          <w:color w:val="000000" w:themeColor="text1"/>
        </w:rPr>
        <w:t>a 140.000 euro</w:t>
      </w:r>
      <w:r w:rsidR="007945E5" w:rsidRPr="004A5029">
        <w:rPr>
          <w:rFonts w:ascii="Times New Roman" w:hAnsi="Times New Roman" w:cs="Times New Roman"/>
          <w:bCs/>
          <w:color w:val="000000" w:themeColor="text1"/>
        </w:rPr>
        <w:t xml:space="preserve"> </w:t>
      </w:r>
      <w:r w:rsidR="007945E5" w:rsidRPr="004A5029">
        <w:rPr>
          <w:rFonts w:ascii="Times New Roman" w:hAnsi="Times New Roman" w:cs="Times New Roman"/>
          <w:b/>
          <w:bCs/>
          <w:color w:val="000000" w:themeColor="text1"/>
        </w:rPr>
        <w:t>alla soglia di cui all’articolo 50, comma 1, lettera b)</w:t>
      </w:r>
      <w:r w:rsidR="007945E5" w:rsidRPr="004A5029">
        <w:rPr>
          <w:rFonts w:ascii="Times New Roman" w:hAnsi="Times New Roman" w:cs="Times New Roman"/>
          <w:bCs/>
          <w:color w:val="000000" w:themeColor="text1"/>
        </w:rPr>
        <w:t>.</w:t>
      </w:r>
    </w:p>
    <w:p w14:paraId="05C2E470" w14:textId="1413EBC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Il programma</w:t>
      </w:r>
      <w:r w:rsidRPr="004A5029">
        <w:rPr>
          <w:rFonts w:ascii="Times New Roman" w:hAnsi="Times New Roman" w:cs="Times New Roman"/>
          <w:bCs/>
          <w:color w:val="000000" w:themeColor="text1"/>
        </w:rPr>
        <w:t xml:space="preserve"> triennale </w:t>
      </w:r>
      <w:r w:rsidRPr="004A5029">
        <w:rPr>
          <w:rFonts w:ascii="Times New Roman" w:hAnsi="Times New Roman" w:cs="Times New Roman"/>
          <w:color w:val="000000" w:themeColor="text1"/>
        </w:rPr>
        <w:t xml:space="preserve">e i relativi aggiornamenti annuali sono pubblicati sul sito istituzionale </w:t>
      </w:r>
      <w:r w:rsidRPr="004A5029">
        <w:rPr>
          <w:rFonts w:ascii="Times New Roman" w:hAnsi="Times New Roman" w:cs="Times New Roman"/>
          <w:bCs/>
          <w:color w:val="000000" w:themeColor="text1"/>
        </w:rPr>
        <w:t xml:space="preserve">e nella </w:t>
      </w:r>
      <w:r w:rsidRPr="004A5029">
        <w:rPr>
          <w:rFonts w:ascii="Times New Roman" w:hAnsi="Times New Roman" w:cs="Times New Roman"/>
          <w:b/>
          <w:strike/>
          <w:color w:val="000000" w:themeColor="text1"/>
        </w:rPr>
        <w:t>b</w:t>
      </w:r>
      <w:r w:rsidR="001B1251" w:rsidRPr="004A5029">
        <w:rPr>
          <w:rFonts w:ascii="Times New Roman" w:hAnsi="Times New Roman" w:cs="Times New Roman"/>
          <w:b/>
          <w:color w:val="000000" w:themeColor="text1"/>
        </w:rPr>
        <w:t>B</w:t>
      </w:r>
      <w:r w:rsidRPr="004A5029">
        <w:rPr>
          <w:rFonts w:ascii="Times New Roman" w:hAnsi="Times New Roman" w:cs="Times New Roman"/>
          <w:bCs/>
          <w:color w:val="000000" w:themeColor="text1"/>
        </w:rPr>
        <w:t>anca dati nazionale dei contratti pubblici.</w:t>
      </w:r>
    </w:p>
    <w:p w14:paraId="3B74309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5. Il presente articolo non si applica alla pianificazione delle attività dei soggetti aggregatori e delle centrali di committenza.</w:t>
      </w:r>
    </w:p>
    <w:p w14:paraId="1ECF2B1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6. Con l’allegato I.5 </w:t>
      </w:r>
      <w:r w:rsidRPr="004A5029">
        <w:rPr>
          <w:rFonts w:ascii="Times New Roman" w:hAnsi="Times New Roman" w:cs="Times New Roman"/>
          <w:color w:val="000000" w:themeColor="text1"/>
        </w:rPr>
        <w:t>sono definiti:</w:t>
      </w:r>
    </w:p>
    <w:p w14:paraId="1B23019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gli schemi tipo, gli ordini di priorità degli interventi, comprensivi del completamento delle opere incompiute e dell’effettuazione dei lavori programmati e non avviati, e la specificazione delle fonti di finanziamento; </w:t>
      </w:r>
    </w:p>
    <w:p w14:paraId="36D9F57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le condizioni che consentono di modificare la programmazione e di realizzare un intervento o procedere a un acquisto non previsto nell'elenco annuale;</w:t>
      </w:r>
    </w:p>
    <w:p w14:paraId="052CD76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le modalità di raccordo con la pianificazione dell’attività dei soggetti aggregatori e delle centrali di committenza ai quali le stazioni appaltanti e gli enti concedenti possono delegare le attività.</w:t>
      </w:r>
    </w:p>
    <w:p w14:paraId="22DF2659" w14:textId="3D43CFAB"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hAnsi="Times New Roman" w:cs="Times New Roman"/>
          <w:bCs/>
          <w:color w:val="000000" w:themeColor="text1"/>
        </w:rPr>
        <w:t xml:space="preserve">7. </w:t>
      </w:r>
      <w:r w:rsidRPr="004A5029">
        <w:rPr>
          <w:rFonts w:ascii="Times New Roman" w:eastAsia="Times New Roman" w:hAnsi="Times New Roman" w:cs="Times New Roman"/>
          <w:color w:val="000000" w:themeColor="text1"/>
        </w:rPr>
        <w:t xml:space="preserve">In sede di prima applicazione del codice, l’allegato I.5 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decreto del </w:t>
      </w:r>
      <w:r w:rsidRPr="004A5029">
        <w:rPr>
          <w:rFonts w:ascii="Times New Roman" w:hAnsi="Times New Roman" w:cs="Times New Roman"/>
          <w:bCs/>
          <w:color w:val="000000" w:themeColor="text1"/>
        </w:rPr>
        <w:t xml:space="preserve">Ministro delle infrastrutture e dei trasporti di concerto con il Ministro dell’economia e delle finanze, previo parere del </w:t>
      </w:r>
      <w:r w:rsidR="00F93B8B" w:rsidRPr="004A5029">
        <w:rPr>
          <w:rFonts w:ascii="Times New Roman" w:hAnsi="Times New Roman" w:cs="Times New Roman"/>
          <w:color w:val="000000" w:themeColor="text1"/>
        </w:rPr>
        <w:t>Comitato interministeriale per la programmazione economica e lo sviluppo sostenibile</w:t>
      </w:r>
      <w:r w:rsidR="00F93B8B"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CIPESS</w:t>
      </w:r>
      <w:r w:rsidR="00F93B8B" w:rsidRPr="004A5029">
        <w:rPr>
          <w:rFonts w:ascii="Times New Roman" w:hAnsi="Times New Roman" w:cs="Times New Roman"/>
          <w:bCs/>
          <w:color w:val="000000" w:themeColor="text1"/>
        </w:rPr>
        <w:t>)</w:t>
      </w:r>
      <w:r w:rsidRPr="004A5029">
        <w:rPr>
          <w:rFonts w:ascii="Times New Roman" w:hAnsi="Times New Roman" w:cs="Times New Roman"/>
          <w:bCs/>
          <w:color w:val="000000" w:themeColor="text1"/>
        </w:rPr>
        <w:t>, d'intesa con la Conferenza unificata</w:t>
      </w:r>
      <w:r w:rsidRPr="004A5029">
        <w:rPr>
          <w:rFonts w:ascii="Times New Roman" w:eastAsia="Times New Roman" w:hAnsi="Times New Roman" w:cs="Times New Roman"/>
          <w:color w:val="000000" w:themeColor="text1"/>
        </w:rPr>
        <w:t>, che lo sostituisce integralmente anche in qualità di allegato al codice.</w:t>
      </w:r>
    </w:p>
    <w:p w14:paraId="797E50C6" w14:textId="77777777" w:rsidR="00446F27" w:rsidRPr="004A5029" w:rsidRDefault="00446F27" w:rsidP="00446F27">
      <w:pPr>
        <w:jc w:val="both"/>
        <w:rPr>
          <w:rFonts w:ascii="Times New Roman" w:hAnsi="Times New Roman" w:cs="Times New Roman"/>
          <w:b/>
          <w:color w:val="000000" w:themeColor="text1"/>
        </w:rPr>
      </w:pPr>
    </w:p>
    <w:p w14:paraId="21A16849"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38.</w:t>
      </w:r>
    </w:p>
    <w:p w14:paraId="297122B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Localizzazione e approvazione del progetto delle opere.</w:t>
      </w:r>
    </w:p>
    <w:p w14:paraId="27DA2EF5" w14:textId="36AA3F0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shd w:val="clear" w:color="auto" w:fill="FFFFFF"/>
        </w:rPr>
        <w:t xml:space="preserve">1. </w:t>
      </w:r>
      <w:r w:rsidRPr="0094785C">
        <w:rPr>
          <w:rFonts w:ascii="Times New Roman" w:hAnsi="Times New Roman" w:cs="Times New Roman"/>
          <w:color w:val="000000" w:themeColor="text1"/>
          <w:shd w:val="clear" w:color="auto" w:fill="FFFFFF"/>
        </w:rPr>
        <w:t xml:space="preserve">L'approvazione </w:t>
      </w:r>
      <w:r w:rsidRPr="00CE0BF3">
        <w:rPr>
          <w:rFonts w:ascii="Times New Roman" w:hAnsi="Times New Roman" w:cs="Times New Roman"/>
          <w:color w:val="000000" w:themeColor="text1"/>
          <w:shd w:val="clear" w:color="auto" w:fill="FFFFFF"/>
        </w:rPr>
        <w:t xml:space="preserve">dei progetti </w:t>
      </w:r>
      <w:r w:rsidRPr="0094785C">
        <w:rPr>
          <w:rFonts w:ascii="Times New Roman" w:hAnsi="Times New Roman" w:cs="Times New Roman"/>
          <w:color w:val="000000" w:themeColor="text1"/>
          <w:shd w:val="clear" w:color="auto" w:fill="FFFFFF"/>
        </w:rPr>
        <w:t>da parte</w:t>
      </w:r>
      <w:r w:rsidRPr="004A5029">
        <w:rPr>
          <w:rFonts w:ascii="Times New Roman" w:hAnsi="Times New Roman" w:cs="Times New Roman"/>
          <w:color w:val="000000" w:themeColor="text1"/>
          <w:shd w:val="clear" w:color="auto" w:fill="FFFFFF"/>
        </w:rPr>
        <w:t xml:space="preserve"> delle amministrazioni </w:t>
      </w:r>
      <w:r w:rsidR="00E07A23" w:rsidRPr="004A5029">
        <w:rPr>
          <w:rFonts w:ascii="Times New Roman" w:hAnsi="Times New Roman" w:cs="Times New Roman"/>
          <w:color w:val="000000" w:themeColor="text1"/>
          <w:shd w:val="clear" w:color="auto" w:fill="FFFFFF"/>
        </w:rPr>
        <w:t>è</w:t>
      </w:r>
      <w:r w:rsidRPr="004A5029">
        <w:rPr>
          <w:rFonts w:ascii="Times New Roman" w:hAnsi="Times New Roman" w:cs="Times New Roman"/>
          <w:color w:val="000000" w:themeColor="text1"/>
          <w:shd w:val="clear" w:color="auto" w:fill="FFFFFF"/>
        </w:rPr>
        <w:t xml:space="preserve"> effettuata in conformità alla legge 7 agosto 1990, n. 241, e alle disposizioni statali e regionali che regolano la materia. La procedura di cui al presente articolo si applica anche alle opere di interesse pubblico, ivi comprese quelle di cui al decreto legislativo 3 aprile 2006, n. 152, se concernenti la concessione e la gestione di opere pubbliche, oppure la concessione di servizi pubblici con opere da realizzare da parte del concessionario.</w:t>
      </w:r>
    </w:p>
    <w:p w14:paraId="6B3F59E3"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La procedura di cui al presente articolo non si applica se è stata già accertata la conformità del progetto di fattibilità tecnica ed economica alla pianificazione urbanistica e alla regolamentazione edilizia:</w:t>
      </w:r>
    </w:p>
    <w:p w14:paraId="6589DD66" w14:textId="1A30A55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a) per le opere pubbliche di interesse statale, escluse quelle destinate alla difesa militare, dal Ministero delle infrastrutture e </w:t>
      </w:r>
      <w:r w:rsidR="00556B29" w:rsidRPr="004A5029">
        <w:rPr>
          <w:rFonts w:ascii="Times New Roman" w:hAnsi="Times New Roman" w:cs="Times New Roman"/>
          <w:bCs/>
          <w:color w:val="000000" w:themeColor="text1"/>
        </w:rPr>
        <w:t>dei trasporti</w:t>
      </w:r>
      <w:r w:rsidRPr="004A5029">
        <w:rPr>
          <w:rFonts w:ascii="Times New Roman" w:hAnsi="Times New Roman" w:cs="Times New Roman"/>
          <w:bCs/>
          <w:color w:val="000000" w:themeColor="text1"/>
        </w:rPr>
        <w:t>, sentiti gli enti territoriali interessati;</w:t>
      </w:r>
    </w:p>
    <w:p w14:paraId="52F3D81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b) per le opere pubbliche di interesse locale, dal comune, oppure dalla regione o dalla provincia autonoma interessata in caso di opere interessanti il territorio di almeno due comuni.</w:t>
      </w:r>
    </w:p>
    <w:p w14:paraId="50849EF4" w14:textId="21767CA8" w:rsidR="00446F27" w:rsidRPr="004A5029" w:rsidRDefault="00446F27" w:rsidP="00446F27">
      <w:pPr>
        <w:jc w:val="both"/>
        <w:rPr>
          <w:rStyle w:val="Rimandonotaapidipagina"/>
          <w:rFonts w:ascii="Times New Roman" w:hAnsi="Times New Roman" w:cs="Times New Roman"/>
          <w:bCs/>
          <w:color w:val="000000" w:themeColor="text1"/>
        </w:rPr>
      </w:pPr>
      <w:r w:rsidRPr="0074761F">
        <w:rPr>
          <w:rFonts w:ascii="Times New Roman" w:hAnsi="Times New Roman" w:cs="Times New Roman"/>
          <w:bCs/>
          <w:color w:val="000000" w:themeColor="text1"/>
        </w:rPr>
        <w:t>3. La stazione appaltante o l’ente concedente convoca, ai fini dell’approvazione del progetto di fattibilità tecnica ed economica nonché della localizzazione dell’opera,</w:t>
      </w:r>
      <w:r w:rsidR="00DC11EF" w:rsidRPr="0074761F">
        <w:rPr>
          <w:rFonts w:ascii="Times New Roman" w:hAnsi="Times New Roman" w:cs="Times New Roman"/>
          <w:b/>
          <w:color w:val="000000" w:themeColor="text1"/>
        </w:rPr>
        <w:t xml:space="preserve"> </w:t>
      </w:r>
      <w:r w:rsidRPr="0074761F">
        <w:rPr>
          <w:rFonts w:ascii="Times New Roman" w:hAnsi="Times New Roman" w:cs="Times New Roman"/>
          <w:bCs/>
          <w:color w:val="000000" w:themeColor="text1"/>
        </w:rPr>
        <w:t>una conferenza di servizi semplificata ai sensi dell’articolo 14-</w:t>
      </w:r>
      <w:r w:rsidRPr="0074761F">
        <w:rPr>
          <w:rFonts w:ascii="Times New Roman" w:hAnsi="Times New Roman" w:cs="Times New Roman"/>
          <w:bCs/>
          <w:i/>
          <w:iCs/>
          <w:color w:val="000000" w:themeColor="text1"/>
        </w:rPr>
        <w:t>bis</w:t>
      </w:r>
      <w:r w:rsidRPr="0074761F">
        <w:rPr>
          <w:rFonts w:ascii="Times New Roman" w:hAnsi="Times New Roman" w:cs="Times New Roman"/>
          <w:bCs/>
          <w:color w:val="000000" w:themeColor="text1"/>
        </w:rPr>
        <w:t xml:space="preserve"> della legge 7 agosto 1990, n. 241</w:t>
      </w:r>
      <w:r w:rsidR="00DC11EF" w:rsidRPr="0074761F">
        <w:rPr>
          <w:rFonts w:ascii="Times New Roman" w:hAnsi="Times New Roman" w:cs="Times New Roman"/>
          <w:bCs/>
          <w:color w:val="000000" w:themeColor="text1"/>
        </w:rPr>
        <w:t xml:space="preserve"> </w:t>
      </w:r>
      <w:r w:rsidRPr="0074761F">
        <w:rPr>
          <w:rFonts w:ascii="Times New Roman" w:hAnsi="Times New Roman" w:cs="Times New Roman"/>
          <w:bCs/>
          <w:color w:val="000000" w:themeColor="text1"/>
        </w:rPr>
        <w:t>a cui partecipano tutte le amministrazioni interessate, ivi comprese le regioni, le province autonome, i comuni incisi dall’opera e le amministrazioni preposte alla tutela ambientale, del patrimonio culturale, del paesaggio e della salute.</w:t>
      </w:r>
      <w:r w:rsidR="00823469" w:rsidRPr="0074761F">
        <w:rPr>
          <w:rFonts w:ascii="Times New Roman" w:hAnsi="Times New Roman" w:cs="Times New Roman"/>
          <w:b/>
          <w:color w:val="000000" w:themeColor="text1"/>
        </w:rPr>
        <w:t xml:space="preserve"> </w:t>
      </w:r>
    </w:p>
    <w:p w14:paraId="765E487C" w14:textId="77777777" w:rsidR="00446F27" w:rsidRPr="00CE0BF3"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Per le opere pubbliche di interesse statale, contestualmente alla convocazione della conferenza di servizi di cui al comma 3, la stazione appaltante o l’ente concedente trasmette il progetto di fattibilità tecnica ed economica al Consiglio superiore dei lavori pubblici, o al competente Provveditorato interregionale per le opere pubbliche, ai fini dell’espressione del parere, ove previsto. </w:t>
      </w:r>
      <w:r w:rsidRPr="00CE0BF3">
        <w:rPr>
          <w:rFonts w:ascii="Times New Roman" w:hAnsi="Times New Roman" w:cs="Times New Roman"/>
          <w:bCs/>
          <w:color w:val="000000" w:themeColor="text1"/>
        </w:rPr>
        <w:t>Il progetto di fattibilità tecnica ed economica contiene sempre l’alternativa di progetto a consumo zero del suolo ai fini della rigenerazione urbana.</w:t>
      </w:r>
    </w:p>
    <w:p w14:paraId="404D9B17" w14:textId="4F1B8FCE" w:rsidR="00446F27" w:rsidRPr="004A5029" w:rsidRDefault="00446F27" w:rsidP="00446F27">
      <w:pPr>
        <w:jc w:val="both"/>
        <w:rPr>
          <w:rStyle w:val="Rimandonotaapidipagina"/>
          <w:rFonts w:ascii="Times New Roman" w:hAnsi="Times New Roman" w:cs="Times New Roman"/>
          <w:bCs/>
          <w:color w:val="000000" w:themeColor="text1"/>
        </w:rPr>
      </w:pPr>
      <w:r w:rsidRPr="004A5029">
        <w:rPr>
          <w:rFonts w:ascii="Times New Roman" w:hAnsi="Times New Roman" w:cs="Times New Roman"/>
          <w:bCs/>
          <w:color w:val="000000" w:themeColor="text1"/>
        </w:rPr>
        <w:t>5. Il Consiglio superiore dei lavori pubblici o il Provveditorato interregionale</w:t>
      </w:r>
      <w:r w:rsidR="001B2F2C" w:rsidRPr="004A5029">
        <w:rPr>
          <w:rFonts w:ascii="Times New Roman" w:hAnsi="Times New Roman" w:cs="Times New Roman"/>
          <w:bCs/>
          <w:color w:val="000000" w:themeColor="text1"/>
        </w:rPr>
        <w:t xml:space="preserve"> </w:t>
      </w:r>
      <w:r w:rsidR="001B2F2C" w:rsidRPr="004A5029">
        <w:rPr>
          <w:rFonts w:ascii="Times New Roman" w:hAnsi="Times New Roman" w:cs="Times New Roman"/>
          <w:b/>
          <w:color w:val="000000" w:themeColor="text1"/>
        </w:rPr>
        <w:t>per le opere pubbliche</w:t>
      </w:r>
      <w:r w:rsidRPr="004A5029">
        <w:rPr>
          <w:rFonts w:ascii="Times New Roman" w:hAnsi="Times New Roman" w:cs="Times New Roman"/>
          <w:bCs/>
          <w:color w:val="000000" w:themeColor="text1"/>
        </w:rPr>
        <w:t xml:space="preserve">, se ravvisa carenze ostative al rilascio del parere favorevole, ivi comprese quelle relative agli aspetti di rigenerazione urbana, restituisce il progetto entro </w:t>
      </w:r>
      <w:r w:rsidRPr="004A5029">
        <w:rPr>
          <w:rFonts w:ascii="Times New Roman" w:hAnsi="Times New Roman" w:cs="Times New Roman"/>
          <w:b/>
          <w:strike/>
          <w:color w:val="000000" w:themeColor="text1"/>
        </w:rPr>
        <w:t>15</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quindici </w:t>
      </w:r>
      <w:r w:rsidRPr="004A5029">
        <w:rPr>
          <w:rFonts w:ascii="Times New Roman" w:hAnsi="Times New Roman" w:cs="Times New Roman"/>
          <w:bCs/>
          <w:color w:val="000000" w:themeColor="text1"/>
        </w:rPr>
        <w:t xml:space="preserve">giorni dalla </w:t>
      </w:r>
      <w:r w:rsidR="0012657C" w:rsidRPr="004A5029">
        <w:rPr>
          <w:rFonts w:ascii="Times New Roman" w:hAnsi="Times New Roman" w:cs="Times New Roman"/>
          <w:b/>
          <w:color w:val="000000" w:themeColor="text1"/>
        </w:rPr>
        <w:t>sua</w:t>
      </w:r>
      <w:r w:rsidR="0012657C"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ricezione con l’indicazione delle integrazioni o modifiche necessarie. La stazione appaltante o l’ente concedente procede alle modifiche e alle integrazioni richieste entro il termine perentorio di </w:t>
      </w:r>
      <w:r w:rsidR="00407103" w:rsidRPr="004A5029">
        <w:rPr>
          <w:rFonts w:ascii="Times New Roman" w:hAnsi="Times New Roman" w:cs="Times New Roman"/>
          <w:b/>
          <w:strike/>
          <w:color w:val="000000" w:themeColor="text1"/>
        </w:rPr>
        <w:t>15</w:t>
      </w:r>
      <w:r w:rsidR="00407103" w:rsidRPr="004A5029">
        <w:rPr>
          <w:rFonts w:ascii="Times New Roman" w:hAnsi="Times New Roman" w:cs="Times New Roman"/>
          <w:b/>
          <w:color w:val="000000" w:themeColor="text1"/>
        </w:rPr>
        <w:t xml:space="preserve"> quindici</w:t>
      </w:r>
      <w:r w:rsidRPr="004A5029">
        <w:rPr>
          <w:rFonts w:ascii="Times New Roman" w:hAnsi="Times New Roman" w:cs="Times New Roman"/>
          <w:bCs/>
          <w:color w:val="000000" w:themeColor="text1"/>
        </w:rPr>
        <w:t xml:space="preserve"> giorni dalla data di restituzione del progetto. Il Consiglio superiore o il Provveditorato interregionale esprime il parere entro il termine massimo di </w:t>
      </w:r>
      <w:r w:rsidRPr="004A5029">
        <w:rPr>
          <w:rFonts w:ascii="Times New Roman" w:hAnsi="Times New Roman" w:cs="Times New Roman"/>
          <w:b/>
          <w:strike/>
          <w:color w:val="000000" w:themeColor="text1"/>
        </w:rPr>
        <w:t>45</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quarantacinque </w:t>
      </w:r>
      <w:r w:rsidRPr="004A5029">
        <w:rPr>
          <w:rFonts w:ascii="Times New Roman" w:hAnsi="Times New Roman" w:cs="Times New Roman"/>
          <w:bCs/>
          <w:color w:val="000000" w:themeColor="text1"/>
        </w:rPr>
        <w:t xml:space="preserve">giorni dalla ricezione del progetto di fattibilità tecnica ed economica oppure entro il termine massimo di </w:t>
      </w:r>
      <w:r w:rsidRPr="004A5029">
        <w:rPr>
          <w:rFonts w:ascii="Times New Roman" w:hAnsi="Times New Roman" w:cs="Times New Roman"/>
          <w:b/>
          <w:strike/>
          <w:color w:val="000000" w:themeColor="text1"/>
        </w:rPr>
        <w:t>20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venti </w:t>
      </w:r>
      <w:r w:rsidRPr="004A5029">
        <w:rPr>
          <w:rFonts w:ascii="Times New Roman" w:hAnsi="Times New Roman" w:cs="Times New Roman"/>
          <w:bCs/>
          <w:color w:val="000000" w:themeColor="text1"/>
        </w:rPr>
        <w:t>giorni dalla ricezione del progetto modificato o integrato. Decorsi tali termini, il parere si intende reso in senso favorevole.</w:t>
      </w:r>
    </w:p>
    <w:p w14:paraId="529AA444" w14:textId="1C49D510"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6. Decorsi </w:t>
      </w:r>
      <w:r w:rsidR="00407103" w:rsidRPr="004A5029">
        <w:rPr>
          <w:rFonts w:ascii="Times New Roman" w:hAnsi="Times New Roman" w:cs="Times New Roman"/>
          <w:b/>
          <w:strike/>
          <w:color w:val="000000" w:themeColor="text1"/>
        </w:rPr>
        <w:t>15</w:t>
      </w:r>
      <w:r w:rsidR="00407103" w:rsidRPr="004A5029">
        <w:rPr>
          <w:rFonts w:ascii="Times New Roman" w:hAnsi="Times New Roman" w:cs="Times New Roman"/>
          <w:b/>
          <w:color w:val="000000" w:themeColor="text1"/>
        </w:rPr>
        <w:t xml:space="preserve"> quindici</w:t>
      </w:r>
      <w:r w:rsidRPr="004A5029">
        <w:rPr>
          <w:rFonts w:ascii="Times New Roman" w:hAnsi="Times New Roman" w:cs="Times New Roman"/>
          <w:bCs/>
          <w:color w:val="000000" w:themeColor="text1"/>
        </w:rPr>
        <w:t xml:space="preserve"> giorni dalla trasmissione del progetto al Consiglio superiore dei lavori pubblici o al Provveditorato interregionale </w:t>
      </w:r>
      <w:r w:rsidRPr="004A5029">
        <w:rPr>
          <w:rFonts w:ascii="Times New Roman" w:hAnsi="Times New Roman" w:cs="Times New Roman"/>
          <w:b/>
          <w:strike/>
          <w:color w:val="000000" w:themeColor="text1"/>
        </w:rPr>
        <w:t>delle</w:t>
      </w:r>
      <w:r w:rsidRPr="004A5029">
        <w:rPr>
          <w:rFonts w:ascii="Times New Roman" w:hAnsi="Times New Roman" w:cs="Times New Roman"/>
          <w:b/>
          <w:color w:val="000000" w:themeColor="text1"/>
        </w:rPr>
        <w:t xml:space="preserve"> </w:t>
      </w:r>
      <w:r w:rsidR="0012657C" w:rsidRPr="004A5029">
        <w:rPr>
          <w:rFonts w:ascii="Times New Roman" w:hAnsi="Times New Roman" w:cs="Times New Roman"/>
          <w:b/>
          <w:color w:val="000000" w:themeColor="text1"/>
        </w:rPr>
        <w:t>per le</w:t>
      </w:r>
      <w:r w:rsidR="0012657C"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opere pubbliche o, nel caso in cui sia stato restituito a norma del comma</w:t>
      </w:r>
      <w:r w:rsidR="00556B29" w:rsidRPr="004A5029">
        <w:rPr>
          <w:rFonts w:ascii="Times New Roman" w:hAnsi="Times New Roman" w:cs="Times New Roman"/>
          <w:bCs/>
          <w:color w:val="000000" w:themeColor="text1"/>
        </w:rPr>
        <w:t xml:space="preserve"> 5</w:t>
      </w:r>
      <w:r w:rsidRPr="004A5029">
        <w:rPr>
          <w:rFonts w:ascii="Times New Roman" w:hAnsi="Times New Roman" w:cs="Times New Roman"/>
          <w:bCs/>
          <w:color w:val="000000" w:themeColor="text1"/>
        </w:rPr>
        <w:t xml:space="preserve">, contestualmente alla trasmissione al Consiglio o al Provveditorato del progetto modificato, la stazione appaltante o l’ente concedente trasmette il progetto alle autorità competenti per i provvedimenti di cui al comma 8. </w:t>
      </w:r>
    </w:p>
    <w:p w14:paraId="3CB251BE" w14:textId="3E4BA37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7. Nel caso di opere pubbliche di interesse locale o di interesse statale per le quali non è richiesto il parere del Consiglio superiore </w:t>
      </w:r>
      <w:r w:rsidR="0012657C" w:rsidRPr="004A5029">
        <w:rPr>
          <w:rFonts w:ascii="Times New Roman" w:hAnsi="Times New Roman" w:cs="Times New Roman"/>
          <w:b/>
          <w:color w:val="000000" w:themeColor="text1"/>
        </w:rPr>
        <w:t xml:space="preserve">dei lavori pubblici </w:t>
      </w:r>
      <w:r w:rsidRPr="004A5029">
        <w:rPr>
          <w:rFonts w:ascii="Times New Roman" w:hAnsi="Times New Roman" w:cs="Times New Roman"/>
          <w:bCs/>
          <w:color w:val="000000" w:themeColor="text1"/>
        </w:rPr>
        <w:t>o del Provveditorato interregionale</w:t>
      </w:r>
      <w:r w:rsidR="0012657C" w:rsidRPr="004A5029">
        <w:rPr>
          <w:rFonts w:ascii="Times New Roman" w:hAnsi="Times New Roman" w:cs="Times New Roman"/>
          <w:bCs/>
          <w:color w:val="000000" w:themeColor="text1"/>
        </w:rPr>
        <w:t xml:space="preserve"> </w:t>
      </w:r>
      <w:r w:rsidR="0012657C" w:rsidRPr="004A5029">
        <w:rPr>
          <w:rFonts w:ascii="Times New Roman" w:hAnsi="Times New Roman" w:cs="Times New Roman"/>
          <w:b/>
          <w:color w:val="000000" w:themeColor="text1"/>
        </w:rPr>
        <w:t>per le opere pubbliche</w:t>
      </w:r>
      <w:r w:rsidRPr="004A5029">
        <w:rPr>
          <w:rFonts w:ascii="Times New Roman" w:hAnsi="Times New Roman" w:cs="Times New Roman"/>
          <w:bCs/>
          <w:color w:val="000000" w:themeColor="text1"/>
        </w:rPr>
        <w:t>,</w:t>
      </w:r>
      <w:r w:rsidR="007A3F67" w:rsidRPr="004A5029">
        <w:rPr>
          <w:rFonts w:ascii="Times New Roman" w:hAnsi="Times New Roman" w:cs="Times New Roman"/>
          <w:b/>
          <w:color w:val="000000" w:themeColor="text1"/>
        </w:rPr>
        <w:t xml:space="preserve"> </w:t>
      </w:r>
      <w:r w:rsidR="008F3085" w:rsidRPr="004A5029">
        <w:rPr>
          <w:rFonts w:ascii="Times New Roman" w:hAnsi="Times New Roman" w:cs="Times New Roman"/>
          <w:b/>
          <w:color w:val="000000" w:themeColor="text1"/>
        </w:rPr>
        <w:t xml:space="preserve">la stazione appaltante o l’ente concedente trasmette </w:t>
      </w:r>
      <w:r w:rsidRPr="004A5029">
        <w:rPr>
          <w:rFonts w:ascii="Times New Roman" w:hAnsi="Times New Roman" w:cs="Times New Roman"/>
          <w:bCs/>
          <w:color w:val="000000" w:themeColor="text1"/>
        </w:rPr>
        <w:t xml:space="preserve">il progetto </w:t>
      </w:r>
      <w:r w:rsidRPr="004A5029">
        <w:rPr>
          <w:rFonts w:ascii="Times New Roman" w:hAnsi="Times New Roman" w:cs="Times New Roman"/>
          <w:b/>
          <w:strike/>
          <w:color w:val="000000" w:themeColor="text1"/>
        </w:rPr>
        <w:t>è trasmesso</w:t>
      </w:r>
      <w:r w:rsidRPr="004A5029">
        <w:rPr>
          <w:rFonts w:ascii="Times New Roman" w:hAnsi="Times New Roman" w:cs="Times New Roman"/>
          <w:bCs/>
          <w:color w:val="000000" w:themeColor="text1"/>
        </w:rPr>
        <w:t xml:space="preserve"> </w:t>
      </w:r>
      <w:r w:rsidR="004B4B59" w:rsidRPr="004A5029">
        <w:rPr>
          <w:rFonts w:ascii="Times New Roman" w:hAnsi="Times New Roman" w:cs="Times New Roman"/>
          <w:b/>
          <w:color w:val="000000" w:themeColor="text1"/>
        </w:rPr>
        <w:t>alle autorità competenti per i provvedimenti di cui al comma 8</w:t>
      </w:r>
      <w:r w:rsidR="008F3085" w:rsidRPr="004A5029">
        <w:rPr>
          <w:rFonts w:ascii="Times New Roman" w:hAnsi="Times New Roman" w:cs="Times New Roman"/>
          <w:b/>
          <w:color w:val="000000" w:themeColor="text1"/>
        </w:rPr>
        <w:t>.</w:t>
      </w:r>
      <w:r w:rsidR="004B4B59" w:rsidRPr="004A5029">
        <w:rPr>
          <w:rFonts w:ascii="Times New Roman" w:hAnsi="Times New Roman" w:cs="Times New Roman"/>
          <w:bCs/>
          <w:color w:val="000000" w:themeColor="text1"/>
        </w:rPr>
        <w:t xml:space="preserve"> </w:t>
      </w:r>
      <w:r w:rsidRPr="004A5029">
        <w:rPr>
          <w:rFonts w:ascii="Times New Roman" w:hAnsi="Times New Roman" w:cs="Times New Roman"/>
          <w:b/>
          <w:strike/>
          <w:color w:val="000000" w:themeColor="text1"/>
        </w:rPr>
        <w:t>per la valutazione di impatto ambientale contestualmente alla convocazione della conferenza di servizi di cui al comma 3</w:t>
      </w:r>
      <w:r w:rsidRPr="004A5029">
        <w:rPr>
          <w:rFonts w:ascii="Times New Roman" w:hAnsi="Times New Roman" w:cs="Times New Roman"/>
          <w:b/>
          <w:color w:val="000000" w:themeColor="text1"/>
        </w:rPr>
        <w:t xml:space="preserve">. </w:t>
      </w:r>
      <w:r w:rsidRPr="004A5029">
        <w:rPr>
          <w:rFonts w:ascii="Times New Roman" w:hAnsi="Times New Roman" w:cs="Times New Roman"/>
          <w:b/>
          <w:strike/>
          <w:color w:val="000000" w:themeColor="text1"/>
        </w:rPr>
        <w:t>Gli esiti della valutazione di impatto ambientale sono comunicati dall’autorità competente alle altre amministrazioni che partecipano alla conferenza di servizi.</w:t>
      </w:r>
      <w:r w:rsidR="00823469" w:rsidRPr="004A5029">
        <w:rPr>
          <w:rFonts w:eastAsia="Times New Roman" w:cstheme="minorHAnsi"/>
          <w:b/>
          <w:bCs/>
          <w:color w:val="000000" w:themeColor="text1"/>
          <w:sz w:val="20"/>
          <w:szCs w:val="20"/>
        </w:rPr>
        <w:t xml:space="preserve"> </w:t>
      </w:r>
      <w:r w:rsidRPr="004A5029">
        <w:rPr>
          <w:rFonts w:ascii="Times New Roman" w:hAnsi="Times New Roman" w:cs="Times New Roman"/>
          <w:b/>
          <w:strike/>
          <w:color w:val="000000" w:themeColor="text1"/>
        </w:rPr>
        <w:t>Qualora si sia svolto il dibattito pubblico, è escluso il ricorso all'inchiesta pubblica o ad altra forma di consultazione del pubblico.</w:t>
      </w:r>
    </w:p>
    <w:p w14:paraId="0CBB1491" w14:textId="70CE7B5F"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Cs/>
          <w:color w:val="000000" w:themeColor="text1"/>
        </w:rPr>
        <w:t xml:space="preserve">8. Nel corso della conferenza </w:t>
      </w:r>
      <w:r w:rsidR="00C13D6E" w:rsidRPr="004A5029">
        <w:rPr>
          <w:rFonts w:ascii="Times New Roman" w:hAnsi="Times New Roman" w:cs="Times New Roman"/>
          <w:b/>
          <w:color w:val="000000" w:themeColor="text1"/>
        </w:rPr>
        <w:t>di servizi</w:t>
      </w:r>
      <w:r w:rsidR="00C13D6E"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sono acquisiti e valutati </w:t>
      </w:r>
      <w:r w:rsidRPr="004A5029">
        <w:rPr>
          <w:rFonts w:ascii="Times New Roman" w:hAnsi="Times New Roman" w:cs="Times New Roman"/>
          <w:b/>
          <w:color w:val="000000" w:themeColor="text1"/>
        </w:rPr>
        <w:t>l</w:t>
      </w:r>
      <w:r w:rsidR="004B4B59" w:rsidRPr="004A5029">
        <w:rPr>
          <w:rFonts w:ascii="Times New Roman" w:hAnsi="Times New Roman" w:cs="Times New Roman"/>
          <w:b/>
          <w:color w:val="000000" w:themeColor="text1"/>
        </w:rPr>
        <w:t>’assoggettabilità alla</w:t>
      </w:r>
      <w:r w:rsidRPr="004A5029">
        <w:rPr>
          <w:rFonts w:ascii="Times New Roman" w:hAnsi="Times New Roman" w:cs="Times New Roman"/>
          <w:bCs/>
          <w:color w:val="000000" w:themeColor="text1"/>
        </w:rPr>
        <w:t xml:space="preserve"> verifica preventiva dell’interesse archeologico e della </w:t>
      </w:r>
      <w:r w:rsidR="00547D62" w:rsidRPr="004A5029">
        <w:rPr>
          <w:rFonts w:ascii="Times New Roman" w:hAnsi="Times New Roman" w:cs="Times New Roman"/>
          <w:b/>
          <w:color w:val="000000" w:themeColor="text1"/>
        </w:rPr>
        <w:t>VIA valutazione di impatto ambientale</w:t>
      </w:r>
      <w:r w:rsidRPr="004A5029">
        <w:rPr>
          <w:rFonts w:ascii="Times New Roman" w:hAnsi="Times New Roman" w:cs="Times New Roman"/>
          <w:bCs/>
          <w:color w:val="000000" w:themeColor="text1"/>
        </w:rPr>
        <w:t>, tenuto conto delle preminenti esigenze di appaltabilità dell’opera e di certezza dei tempi di realizzazione, l’esito dell’eventuale dibattito pubblico, nonché, per le opere pubbliche di interesse statale, il parere di cui ai commi 4 e 5.</w:t>
      </w:r>
      <w:r w:rsidR="00823469" w:rsidRPr="004A5029">
        <w:rPr>
          <w:rFonts w:cstheme="minorHAnsi"/>
          <w:b/>
          <w:bCs/>
          <w:color w:val="000000" w:themeColor="text1"/>
          <w:sz w:val="20"/>
          <w:szCs w:val="20"/>
        </w:rPr>
        <w:t xml:space="preserve"> </w:t>
      </w:r>
      <w:r w:rsidR="00823469" w:rsidRPr="004A5029">
        <w:rPr>
          <w:rFonts w:ascii="Times New Roman" w:hAnsi="Times New Roman" w:cs="Times New Roman"/>
          <w:b/>
          <w:color w:val="000000" w:themeColor="text1"/>
        </w:rPr>
        <w:t xml:space="preserve">Le risultanze della valutazione di assoggettabilità alla verifica preventiva dell’interesse archeologico </w:t>
      </w:r>
      <w:r w:rsidR="004B4B59" w:rsidRPr="004A5029">
        <w:rPr>
          <w:rFonts w:ascii="Times New Roman" w:hAnsi="Times New Roman" w:cs="Times New Roman"/>
          <w:b/>
          <w:color w:val="000000" w:themeColor="text1"/>
        </w:rPr>
        <w:t xml:space="preserve">sono acquisite nel corso della conferenza dei servizi di cui al comma 3 e </w:t>
      </w:r>
      <w:r w:rsidR="00823469" w:rsidRPr="004A5029">
        <w:rPr>
          <w:rFonts w:ascii="Times New Roman" w:hAnsi="Times New Roman" w:cs="Times New Roman"/>
          <w:b/>
          <w:color w:val="000000" w:themeColor="text1"/>
        </w:rPr>
        <w:t xml:space="preserve">sono corredate, </w:t>
      </w:r>
      <w:r w:rsidR="004B4B59" w:rsidRPr="004A5029">
        <w:rPr>
          <w:rFonts w:ascii="Times New Roman" w:hAnsi="Times New Roman" w:cs="Times New Roman"/>
          <w:b/>
          <w:color w:val="000000" w:themeColor="text1"/>
        </w:rPr>
        <w:t xml:space="preserve">qualora </w:t>
      </w:r>
      <w:r w:rsidR="00823469" w:rsidRPr="004A5029">
        <w:rPr>
          <w:rFonts w:ascii="Times New Roman" w:hAnsi="Times New Roman" w:cs="Times New Roman"/>
          <w:b/>
          <w:color w:val="000000" w:themeColor="text1"/>
        </w:rPr>
        <w:t>non emerg</w:t>
      </w:r>
      <w:r w:rsidR="004B4B59" w:rsidRPr="004A5029">
        <w:rPr>
          <w:rFonts w:ascii="Times New Roman" w:hAnsi="Times New Roman" w:cs="Times New Roman"/>
          <w:b/>
          <w:color w:val="000000" w:themeColor="text1"/>
        </w:rPr>
        <w:t>a</w:t>
      </w:r>
      <w:r w:rsidR="00823469" w:rsidRPr="004A5029">
        <w:rPr>
          <w:rFonts w:ascii="Times New Roman" w:hAnsi="Times New Roman" w:cs="Times New Roman"/>
          <w:b/>
          <w:color w:val="000000" w:themeColor="text1"/>
        </w:rPr>
        <w:t xml:space="preserve"> la sussistenza di un interesse archeologico, d</w:t>
      </w:r>
      <w:r w:rsidR="00CD0BE6" w:rsidRPr="004A5029">
        <w:rPr>
          <w:rFonts w:ascii="Times New Roman" w:hAnsi="Times New Roman" w:cs="Times New Roman"/>
          <w:b/>
          <w:color w:val="000000" w:themeColor="text1"/>
        </w:rPr>
        <w:t>e</w:t>
      </w:r>
      <w:r w:rsidR="00823469" w:rsidRPr="004A5029">
        <w:rPr>
          <w:rFonts w:ascii="Times New Roman" w:hAnsi="Times New Roman" w:cs="Times New Roman"/>
          <w:b/>
          <w:color w:val="000000" w:themeColor="text1"/>
        </w:rPr>
        <w:t xml:space="preserve">lle eventuali prescrizioni relative alle attività di assistenza archeologica in corso d’opera. </w:t>
      </w:r>
      <w:r w:rsidR="004B4B59" w:rsidRPr="004A5029">
        <w:rPr>
          <w:rFonts w:ascii="Times New Roman" w:hAnsi="Times New Roman" w:cs="Times New Roman"/>
          <w:b/>
          <w:color w:val="000000" w:themeColor="text1"/>
        </w:rPr>
        <w:t xml:space="preserve">Qualora </w:t>
      </w:r>
      <w:r w:rsidR="00823469" w:rsidRPr="004A5029">
        <w:rPr>
          <w:rFonts w:ascii="Times New Roman" w:hAnsi="Times New Roman" w:cs="Times New Roman"/>
          <w:b/>
          <w:color w:val="000000" w:themeColor="text1"/>
        </w:rPr>
        <w:t>dalla valutazione di assoggettabilità alla verifica preventiva dell’interesse archeologico emerga l’esistenza di un interesse archeologico, il soprintendente procede ai sensi dell’</w:t>
      </w:r>
      <w:r w:rsidR="00CD0BE6" w:rsidRPr="004A5029">
        <w:rPr>
          <w:rFonts w:ascii="Times New Roman" w:hAnsi="Times New Roman" w:cs="Times New Roman"/>
          <w:b/>
          <w:color w:val="000000" w:themeColor="text1"/>
        </w:rPr>
        <w:t>a</w:t>
      </w:r>
      <w:r w:rsidR="00823469" w:rsidRPr="004A5029">
        <w:rPr>
          <w:rFonts w:ascii="Times New Roman" w:hAnsi="Times New Roman" w:cs="Times New Roman"/>
          <w:b/>
          <w:color w:val="000000" w:themeColor="text1"/>
        </w:rPr>
        <w:t>llegato I.8, tenuto conto del cronoprogramma dell’opera.</w:t>
      </w:r>
      <w:r w:rsidR="004B4B59" w:rsidRPr="004A5029">
        <w:rPr>
          <w:rFonts w:ascii="Times New Roman" w:hAnsi="Times New Roman" w:cs="Times New Roman"/>
          <w:b/>
          <w:color w:val="000000" w:themeColor="text1"/>
        </w:rPr>
        <w:t xml:space="preserve"> </w:t>
      </w:r>
      <w:r w:rsidR="008F3085" w:rsidRPr="004A5029">
        <w:rPr>
          <w:rFonts w:ascii="Times New Roman" w:hAnsi="Times New Roman" w:cs="Times New Roman"/>
          <w:b/>
          <w:color w:val="000000" w:themeColor="text1"/>
        </w:rPr>
        <w:t>Gli esiti della valutazione di impatto ambientale sono comunicati dall’autorità competente alle altre amministrazioni che partecipano alla conferenza di servizi.</w:t>
      </w:r>
      <w:r w:rsidR="008F3085" w:rsidRPr="004A5029">
        <w:rPr>
          <w:rFonts w:eastAsia="Times New Roman" w:cstheme="minorHAnsi"/>
          <w:b/>
          <w:bCs/>
          <w:color w:val="000000" w:themeColor="text1"/>
          <w:sz w:val="20"/>
          <w:szCs w:val="20"/>
        </w:rPr>
        <w:t xml:space="preserve"> </w:t>
      </w:r>
      <w:r w:rsidR="008F3085" w:rsidRPr="004A5029">
        <w:rPr>
          <w:rFonts w:ascii="Times New Roman" w:hAnsi="Times New Roman" w:cs="Times New Roman"/>
          <w:b/>
          <w:color w:val="000000" w:themeColor="text1"/>
        </w:rPr>
        <w:t>Qualora si sia svolto il dibattito pubblico, è escluso il ricorso all'inchiesta pubblica o ad altra forma di consultazione del pubblico.</w:t>
      </w:r>
    </w:p>
    <w:p w14:paraId="6C5792D0" w14:textId="080D16AA"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9. La conferenza di servizi si conclude nel termine di </w:t>
      </w:r>
      <w:r w:rsidRPr="004A5029">
        <w:rPr>
          <w:rFonts w:ascii="Times New Roman" w:hAnsi="Times New Roman" w:cs="Times New Roman"/>
          <w:b/>
          <w:strike/>
          <w:color w:val="000000" w:themeColor="text1"/>
        </w:rPr>
        <w:t>60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sessanta </w:t>
      </w:r>
      <w:r w:rsidRPr="004A5029">
        <w:rPr>
          <w:rFonts w:ascii="Times New Roman" w:hAnsi="Times New Roman" w:cs="Times New Roman"/>
          <w:bCs/>
          <w:color w:val="000000" w:themeColor="text1"/>
        </w:rPr>
        <w:t>giorni dalla sua convocazione, prorogabile, su richiesta motivata delle amministrazioni preposte alla tutela degli interessi di cui all’articolo 14-</w:t>
      </w:r>
      <w:r w:rsidRPr="004A5029">
        <w:rPr>
          <w:rFonts w:ascii="Times New Roman" w:hAnsi="Times New Roman" w:cs="Times New Roman"/>
          <w:bCs/>
          <w:i/>
          <w:iCs/>
          <w:color w:val="000000" w:themeColor="text1"/>
        </w:rPr>
        <w:t>quinquies</w:t>
      </w:r>
      <w:r w:rsidRPr="004A5029">
        <w:rPr>
          <w:rFonts w:ascii="Times New Roman" w:hAnsi="Times New Roman" w:cs="Times New Roman"/>
          <w:bCs/>
          <w:color w:val="000000" w:themeColor="text1"/>
        </w:rPr>
        <w:t xml:space="preserve">, comma 1, della </w:t>
      </w:r>
      <w:r w:rsidRPr="004A5029">
        <w:rPr>
          <w:rFonts w:ascii="Times New Roman" w:hAnsi="Times New Roman" w:cs="Times New Roman"/>
          <w:b/>
          <w:strike/>
          <w:color w:val="000000" w:themeColor="text1"/>
        </w:rPr>
        <w:t xml:space="preserve">citata </w:t>
      </w:r>
      <w:r w:rsidRPr="004A5029">
        <w:rPr>
          <w:rFonts w:ascii="Times New Roman" w:hAnsi="Times New Roman" w:cs="Times New Roman"/>
          <w:bCs/>
          <w:color w:val="000000" w:themeColor="text1"/>
        </w:rPr>
        <w:t xml:space="preserve">legge n. 241 del 1990, una sola volta per non più di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dieci </w:t>
      </w:r>
      <w:r w:rsidRPr="004A5029">
        <w:rPr>
          <w:rFonts w:ascii="Times New Roman" w:hAnsi="Times New Roman" w:cs="Times New Roman"/>
          <w:bCs/>
          <w:color w:val="000000" w:themeColor="text1"/>
        </w:rPr>
        <w:t>giorni. Si considera acquisito l’assenso delle amministrazioni che non si sono espresse nel termine di conclusione della conferenza</w:t>
      </w:r>
      <w:r w:rsidR="00C13D6E" w:rsidRPr="004A5029">
        <w:rPr>
          <w:rFonts w:ascii="Times New Roman" w:hAnsi="Times New Roman" w:cs="Times New Roman"/>
          <w:bCs/>
          <w:color w:val="000000" w:themeColor="text1"/>
        </w:rPr>
        <w:t xml:space="preserve"> </w:t>
      </w:r>
      <w:r w:rsidR="00C13D6E" w:rsidRPr="004A5029">
        <w:rPr>
          <w:rFonts w:ascii="Times New Roman" w:hAnsi="Times New Roman" w:cs="Times New Roman"/>
          <w:b/>
          <w:color w:val="000000" w:themeColor="text1"/>
        </w:rPr>
        <w:t>di servizi</w:t>
      </w:r>
      <w:r w:rsidRPr="004A5029">
        <w:rPr>
          <w:rFonts w:ascii="Times New Roman" w:hAnsi="Times New Roman" w:cs="Times New Roman"/>
          <w:bCs/>
          <w:color w:val="000000" w:themeColor="text1"/>
        </w:rPr>
        <w:t>, di quelle assenti o che abbiano espresso un dissenso non motivato o riferito a questioni che non costituiscono oggetto della conferenza</w:t>
      </w:r>
      <w:r w:rsidR="00C13D6E" w:rsidRPr="004A5029">
        <w:rPr>
          <w:rFonts w:ascii="Times New Roman" w:hAnsi="Times New Roman" w:cs="Times New Roman"/>
          <w:bCs/>
          <w:color w:val="000000" w:themeColor="text1"/>
        </w:rPr>
        <w:t xml:space="preserve"> </w:t>
      </w:r>
      <w:r w:rsidR="00C13D6E" w:rsidRPr="004A5029">
        <w:rPr>
          <w:rFonts w:ascii="Times New Roman" w:hAnsi="Times New Roman" w:cs="Times New Roman"/>
          <w:b/>
          <w:color w:val="000000" w:themeColor="text1"/>
        </w:rPr>
        <w:t>medesima</w:t>
      </w:r>
      <w:r w:rsidRPr="004A5029">
        <w:rPr>
          <w:rFonts w:ascii="Times New Roman" w:hAnsi="Times New Roman" w:cs="Times New Roman"/>
          <w:bCs/>
          <w:color w:val="000000" w:themeColor="text1"/>
        </w:rPr>
        <w:t>.</w:t>
      </w:r>
    </w:p>
    <w:p w14:paraId="793A68AA" w14:textId="446479F0" w:rsidR="00446F27" w:rsidRPr="004A5029" w:rsidRDefault="00446F27" w:rsidP="00446F27">
      <w:pPr>
        <w:jc w:val="both"/>
        <w:rPr>
          <w:rStyle w:val="Rimandonotaapidipagina"/>
          <w:rFonts w:ascii="Times New Roman" w:hAnsi="Times New Roman" w:cs="Times New Roman"/>
          <w:b/>
          <w:bCs/>
          <w:color w:val="000000" w:themeColor="text1"/>
          <w:vertAlign w:val="baseline"/>
        </w:rPr>
      </w:pPr>
      <w:r w:rsidRPr="004A5029">
        <w:rPr>
          <w:rFonts w:ascii="Times New Roman" w:hAnsi="Times New Roman" w:cs="Times New Roman"/>
          <w:color w:val="000000" w:themeColor="text1"/>
        </w:rPr>
        <w:t xml:space="preserve">10. La determinazione conclusiva della conferenza di servizi, da adottarsi nei cinque giorni successivi alla scadenza del termine di cui al comma </w:t>
      </w:r>
      <w:r w:rsidR="00C13D6E" w:rsidRPr="004A5029">
        <w:rPr>
          <w:rFonts w:ascii="Times New Roman" w:hAnsi="Times New Roman" w:cs="Times New Roman"/>
          <w:b/>
          <w:bCs/>
          <w:color w:val="000000" w:themeColor="text1"/>
        </w:rPr>
        <w:t>9</w:t>
      </w:r>
      <w:r w:rsidR="000C543C"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precedente</w:t>
      </w:r>
      <w:r w:rsidR="000C543C"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approva il progetto e perfeziona </w:t>
      </w:r>
      <w:r w:rsidR="000C543C" w:rsidRPr="004A5029">
        <w:rPr>
          <w:rFonts w:ascii="Times New Roman" w:hAnsi="Times New Roman" w:cs="Times New Roman"/>
          <w:b/>
          <w:bCs/>
          <w:color w:val="000000" w:themeColor="text1"/>
        </w:rPr>
        <w:t xml:space="preserve">ad ogni fine urbanistico ed edilizio </w:t>
      </w:r>
      <w:r w:rsidRPr="004A5029">
        <w:rPr>
          <w:rFonts w:ascii="Times New Roman" w:hAnsi="Times New Roman" w:cs="Times New Roman"/>
          <w:color w:val="000000" w:themeColor="text1"/>
        </w:rPr>
        <w:t>l’intesa tra gli enti territoriali interessati anche ai fini della localizzazione dell'opera, della conformità urbanistica e paesaggistica dell'intervento, della risoluzione delle interferenze e delle relative opere mitigatrici e compensatrici</w:t>
      </w:r>
      <w:r w:rsidR="000C543C" w:rsidRPr="004A5029">
        <w:rPr>
          <w:rFonts w:ascii="Times New Roman" w:hAnsi="Times New Roman" w:cs="Times New Roman"/>
          <w:strike/>
          <w:color w:val="000000" w:themeColor="text1"/>
        </w:rPr>
        <w:t>;</w:t>
      </w:r>
      <w:r w:rsidR="000C543C" w:rsidRPr="004A5029">
        <w:rPr>
          <w:rFonts w:ascii="Times New Roman" w:hAnsi="Times New Roman" w:cs="Times New Roman"/>
          <w:b/>
          <w:bCs/>
          <w:color w:val="000000" w:themeColor="text1"/>
        </w:rPr>
        <w:t>. L’intesa tra gli enti interessati, in ordine alla localizzazione dell’opera,</w:t>
      </w:r>
      <w:r w:rsidRPr="004A5029">
        <w:rPr>
          <w:rFonts w:ascii="Times New Roman" w:hAnsi="Times New Roman" w:cs="Times New Roman"/>
          <w:color w:val="000000" w:themeColor="text1"/>
        </w:rPr>
        <w:t xml:space="preserve"> ha effetto di variante agli strumenti urbanistici vigenti</w:t>
      </w:r>
      <w:r w:rsidRPr="004A5029">
        <w:rPr>
          <w:rFonts w:ascii="Times New Roman" w:hAnsi="Times New Roman" w:cs="Times New Roman"/>
          <w:strike/>
          <w:color w:val="000000" w:themeColor="text1"/>
        </w:rPr>
        <w:t>,</w:t>
      </w:r>
      <w:r w:rsidR="000C543C" w:rsidRPr="004A5029">
        <w:rPr>
          <w:rFonts w:ascii="Times New Roman" w:hAnsi="Times New Roman" w:cs="Times New Roman"/>
          <w:b/>
          <w:bCs/>
          <w:color w:val="000000" w:themeColor="text1"/>
        </w:rPr>
        <w:t xml:space="preserve">. </w:t>
      </w:r>
      <w:r w:rsidR="000C543C" w:rsidRPr="004A5029">
        <w:rPr>
          <w:rFonts w:ascii="Times New Roman" w:hAnsi="Times New Roman" w:cs="Times New Roman"/>
          <w:color w:val="000000" w:themeColor="text1"/>
        </w:rPr>
        <w:t>Essa</w:t>
      </w:r>
      <w:r w:rsidR="000C543C"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comprende il provvedimento di </w:t>
      </w:r>
      <w:r w:rsidRPr="004A5029">
        <w:rPr>
          <w:rFonts w:ascii="Times New Roman" w:hAnsi="Times New Roman" w:cs="Times New Roman"/>
          <w:b/>
          <w:bCs/>
          <w:strike/>
          <w:color w:val="000000" w:themeColor="text1"/>
        </w:rPr>
        <w:t>VIA</w:t>
      </w:r>
      <w:r w:rsidR="00FA5FF3" w:rsidRPr="004A5029">
        <w:rPr>
          <w:rFonts w:ascii="Times New Roman" w:hAnsi="Times New Roman" w:cs="Times New Roman"/>
          <w:color w:val="000000" w:themeColor="text1"/>
        </w:rPr>
        <w:t xml:space="preserve"> </w:t>
      </w:r>
      <w:r w:rsidR="00FA5FF3" w:rsidRPr="004A5029">
        <w:rPr>
          <w:rFonts w:ascii="Times New Roman" w:hAnsi="Times New Roman" w:cs="Times New Roman"/>
          <w:b/>
          <w:color w:val="000000" w:themeColor="text1"/>
        </w:rPr>
        <w:t>valutazione di impatto ambientale</w:t>
      </w:r>
      <w:r w:rsidRPr="004A5029">
        <w:rPr>
          <w:rFonts w:ascii="Times New Roman" w:hAnsi="Times New Roman" w:cs="Times New Roman"/>
          <w:color w:val="000000" w:themeColor="text1"/>
        </w:rPr>
        <w:t>,</w:t>
      </w:r>
      <w:r w:rsidR="000C543C" w:rsidRPr="004A5029">
        <w:rPr>
          <w:rFonts w:ascii="Times New Roman" w:hAnsi="Times New Roman" w:cs="Times New Roman"/>
          <w:color w:val="000000" w:themeColor="text1"/>
        </w:rPr>
        <w:t xml:space="preserve"> </w:t>
      </w:r>
      <w:r w:rsidR="000C543C" w:rsidRPr="004A5029">
        <w:rPr>
          <w:rFonts w:ascii="Times New Roman" w:hAnsi="Times New Roman" w:cs="Times New Roman"/>
          <w:b/>
          <w:bCs/>
          <w:color w:val="000000" w:themeColor="text1"/>
        </w:rPr>
        <w:t xml:space="preserve">la </w:t>
      </w:r>
      <w:r w:rsidR="008F3085" w:rsidRPr="004A5029">
        <w:rPr>
          <w:rFonts w:ascii="Times New Roman" w:hAnsi="Times New Roman" w:cs="Times New Roman"/>
          <w:b/>
          <w:bCs/>
          <w:color w:val="000000" w:themeColor="text1"/>
        </w:rPr>
        <w:t xml:space="preserve">valutazione di assoggettabilità alla </w:t>
      </w:r>
      <w:r w:rsidR="000C543C" w:rsidRPr="004A5029">
        <w:rPr>
          <w:rFonts w:ascii="Times New Roman" w:hAnsi="Times New Roman" w:cs="Times New Roman"/>
          <w:b/>
          <w:bCs/>
          <w:color w:val="000000" w:themeColor="text1"/>
        </w:rPr>
        <w:t>verifica preventiva dell’interesse archeologico,</w:t>
      </w:r>
      <w:r w:rsidRPr="004A5029">
        <w:rPr>
          <w:rFonts w:ascii="Times New Roman" w:hAnsi="Times New Roman" w:cs="Times New Roman"/>
          <w:color w:val="000000" w:themeColor="text1"/>
        </w:rPr>
        <w:t xml:space="preserve"> i titoli abilitativi necessari</w:t>
      </w:r>
      <w:r w:rsidR="000C543C" w:rsidRPr="004A5029">
        <w:rPr>
          <w:rFonts w:ascii="Times New Roman" w:hAnsi="Times New Roman" w:cs="Times New Roman"/>
          <w:b/>
          <w:bCs/>
          <w:color w:val="000000" w:themeColor="text1"/>
        </w:rPr>
        <w:t>,</w:t>
      </w:r>
      <w:r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e</w:t>
      </w:r>
      <w:r w:rsidRPr="004A5029">
        <w:rPr>
          <w:rFonts w:ascii="Times New Roman" w:hAnsi="Times New Roman" w:cs="Times New Roman"/>
          <w:color w:val="000000" w:themeColor="text1"/>
        </w:rPr>
        <w:t xml:space="preserve"> la dichiarazione di pubblica utilità e</w:t>
      </w:r>
      <w:r w:rsidRPr="004A5029">
        <w:rPr>
          <w:rFonts w:ascii="Times New Roman" w:hAnsi="Times New Roman" w:cs="Times New Roman"/>
          <w:strike/>
          <w:color w:val="000000" w:themeColor="text1"/>
        </w:rPr>
        <w:t>d</w:t>
      </w:r>
      <w:r w:rsidRPr="004A5029">
        <w:rPr>
          <w:rFonts w:ascii="Times New Roman" w:hAnsi="Times New Roman" w:cs="Times New Roman"/>
          <w:color w:val="000000" w:themeColor="text1"/>
        </w:rPr>
        <w:t xml:space="preserve"> indifferibilità delle opere nonché</w:t>
      </w:r>
      <w:r w:rsidR="000C543C" w:rsidRPr="004A5029">
        <w:rPr>
          <w:rFonts w:ascii="Times New Roman" w:hAnsi="Times New Roman" w:cs="Times New Roman"/>
          <w:b/>
          <w:bCs/>
          <w:strike/>
          <w:color w:val="000000" w:themeColor="text1"/>
        </w:rPr>
        <w:t xml:space="preserve"> ed</w:t>
      </w:r>
      <w:r w:rsidRPr="004A5029">
        <w:rPr>
          <w:rFonts w:ascii="Times New Roman" w:hAnsi="Times New Roman" w:cs="Times New Roman"/>
          <w:strike/>
          <w:color w:val="000000" w:themeColor="text1"/>
        </w:rPr>
        <w:t xml:space="preserve"> </w:t>
      </w:r>
      <w:r w:rsidRPr="004A5029">
        <w:rPr>
          <w:rFonts w:ascii="Times New Roman" w:hAnsi="Times New Roman" w:cs="Times New Roman"/>
          <w:color w:val="000000" w:themeColor="text1"/>
        </w:rPr>
        <w:t>il vincolo preordinato all’esproprio e consente la realizzazione di tutte le opere e attività previste nel progetto approvato.</w:t>
      </w:r>
      <w:r w:rsidR="000C543C" w:rsidRPr="004A5029">
        <w:rPr>
          <w:rFonts w:ascii="Times New Roman" w:hAnsi="Times New Roman" w:cs="Times New Roman"/>
          <w:color w:val="000000" w:themeColor="text1"/>
        </w:rPr>
        <w:t xml:space="preserve"> </w:t>
      </w:r>
      <w:r w:rsidR="000C543C" w:rsidRPr="004A5029">
        <w:rPr>
          <w:rFonts w:ascii="Times New Roman" w:hAnsi="Times New Roman" w:cs="Times New Roman"/>
          <w:b/>
          <w:bCs/>
          <w:color w:val="000000" w:themeColor="text1"/>
        </w:rPr>
        <w:t xml:space="preserve">A tal fine, le comunicazioni agli interessati di cui all'articolo 14, comma 5, della legge n. 241 del 1990 tengono luogo della fase partecipativa di cui all'articolo 11 del </w:t>
      </w:r>
      <w:r w:rsidR="00CD0BE6" w:rsidRPr="004A5029">
        <w:rPr>
          <w:rFonts w:ascii="Times New Roman" w:hAnsi="Times New Roman" w:cs="Times New Roman"/>
          <w:b/>
          <w:color w:val="000000" w:themeColor="text1"/>
        </w:rPr>
        <w:t xml:space="preserve">testo unico delle disposizioni legislative e regolamentari in materia di espropriazione per pubblica utilità di cui al </w:t>
      </w:r>
      <w:r w:rsidR="000C543C" w:rsidRPr="004A5029">
        <w:rPr>
          <w:rFonts w:ascii="Times New Roman" w:hAnsi="Times New Roman" w:cs="Times New Roman"/>
          <w:b/>
          <w:bCs/>
          <w:color w:val="000000" w:themeColor="text1"/>
        </w:rPr>
        <w:t>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14:paraId="49F507A5" w14:textId="1CEC0971" w:rsidR="00446F27" w:rsidRPr="004A5029" w:rsidRDefault="523BF8A5" w:rsidP="6E003A1F">
      <w:pPr>
        <w:jc w:val="both"/>
        <w:rPr>
          <w:rStyle w:val="Rimandonotaapidipagina"/>
          <w:rFonts w:ascii="Times New Roman" w:eastAsia="Times New Roman" w:hAnsi="Times New Roman" w:cs="Times New Roman"/>
          <w:b/>
          <w:bCs/>
          <w:strike/>
          <w:color w:val="000000" w:themeColor="text1"/>
        </w:rPr>
      </w:pPr>
      <w:r w:rsidRPr="004A5029">
        <w:rPr>
          <w:rFonts w:ascii="Times New Roman" w:eastAsia="Times New Roman" w:hAnsi="Times New Roman" w:cs="Times New Roman"/>
          <w:color w:val="000000" w:themeColor="text1"/>
        </w:rPr>
        <w:t>11. Nella procedura di cui al presente articolo,</w:t>
      </w:r>
      <w:r w:rsidR="000C543C"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le determinazioni delle amministrazioni diverse dalla stazione appaltante o dall’ente concedente e comunque coinvolte ai sensi dell’articolo 14-</w:t>
      </w:r>
      <w:r w:rsidRPr="004A5029">
        <w:rPr>
          <w:rFonts w:ascii="Times New Roman" w:eastAsia="Times New Roman" w:hAnsi="Times New Roman" w:cs="Times New Roman"/>
          <w:i/>
          <w:iCs/>
          <w:color w:val="000000" w:themeColor="text1"/>
        </w:rPr>
        <w:t>bis</w:t>
      </w:r>
      <w:r w:rsidRPr="004A5029">
        <w:rPr>
          <w:rFonts w:ascii="Times New Roman" w:eastAsia="Times New Roman" w:hAnsi="Times New Roman" w:cs="Times New Roman"/>
          <w:color w:val="000000" w:themeColor="text1"/>
        </w:rPr>
        <w:t>, comma 3, della legge n. 241 del 1990, in qualsiasi caso di dissenso o non completo assenso, non possono limitarsi a esprimere contrarietà alla realizzazione delle opere o degli impianti, ma devono,</w:t>
      </w:r>
      <w:r w:rsidR="008F3085" w:rsidRPr="004A5029">
        <w:rPr>
          <w:rFonts w:ascii="Times New Roman" w:eastAsia="Times New Roman" w:hAnsi="Times New Roman" w:cs="Times New Roman"/>
          <w:b/>
          <w:bCs/>
          <w:color w:val="000000" w:themeColor="text1"/>
        </w:rPr>
        <w:t xml:space="preserve"> </w:t>
      </w:r>
      <w:r w:rsidR="008F3085" w:rsidRPr="004A5029">
        <w:rPr>
          <w:rFonts w:ascii="Times New Roman" w:hAnsi="Times New Roman" w:cs="Times New Roman"/>
          <w:b/>
          <w:bCs/>
          <w:color w:val="000000" w:themeColor="text1"/>
        </w:rPr>
        <w:t xml:space="preserve">tenuto conto delle circostanze del caso concreto, </w:t>
      </w:r>
      <w:r w:rsidRPr="004A5029">
        <w:rPr>
          <w:rFonts w:ascii="Times New Roman" w:eastAsia="Times New Roman" w:hAnsi="Times New Roman" w:cs="Times New Roman"/>
          <w:b/>
          <w:bCs/>
          <w:strike/>
          <w:color w:val="000000" w:themeColor="text1"/>
        </w:rPr>
        <w:t xml:space="preserve"> in ogni caso, a pena di decadenza, </w:t>
      </w:r>
      <w:r w:rsidRPr="004A5029">
        <w:rPr>
          <w:rFonts w:ascii="Times New Roman" w:eastAsia="Times New Roman" w:hAnsi="Times New Roman" w:cs="Times New Roman"/>
          <w:color w:val="000000" w:themeColor="text1"/>
        </w:rPr>
        <w:t>indicare le prescrizioni e le misure mitigatrici che rendano compatibile l’opera e possibile l’assenso</w:t>
      </w:r>
      <w:r w:rsidR="008F3085" w:rsidRPr="004A5029">
        <w:rPr>
          <w:rFonts w:ascii="Times New Roman" w:hAnsi="Times New Roman" w:cs="Times New Roman"/>
          <w:b/>
          <w:bCs/>
          <w:color w:val="000000" w:themeColor="text1"/>
        </w:rPr>
        <w:t>, quantificandone altresì i relativi costi</w:t>
      </w:r>
      <w:r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b/>
          <w:bCs/>
          <w:color w:val="000000" w:themeColor="text1"/>
        </w:rPr>
        <w:t xml:space="preserve"> </w:t>
      </w:r>
      <w:r w:rsidRPr="004A5029">
        <w:rPr>
          <w:rFonts w:ascii="Times New Roman" w:eastAsia="Times New Roman" w:hAnsi="Times New Roman" w:cs="Times New Roman"/>
          <w:color w:val="000000" w:themeColor="text1"/>
        </w:rPr>
        <w:t>Tali prescrizioni sono determinate conformemente ai principi di proporzionalità, efficacia e sostenibilità finanziaria dell’intervento risultante dal progetto originariamente presentato. Le disposizioni di cui a</w:t>
      </w:r>
      <w:r w:rsidR="00556B29" w:rsidRPr="004A5029">
        <w:rPr>
          <w:rFonts w:ascii="Times New Roman" w:eastAsia="Times New Roman" w:hAnsi="Times New Roman" w:cs="Times New Roman"/>
          <w:color w:val="000000" w:themeColor="text1"/>
        </w:rPr>
        <w:t>l primo e secondo</w:t>
      </w:r>
      <w:r w:rsidRPr="004A5029">
        <w:rPr>
          <w:rFonts w:ascii="Times New Roman" w:eastAsia="Times New Roman" w:hAnsi="Times New Roman" w:cs="Times New Roman"/>
          <w:color w:val="000000" w:themeColor="text1"/>
        </w:rPr>
        <w:t xml:space="preserve"> period</w:t>
      </w:r>
      <w:r w:rsidR="00556B29" w:rsidRPr="004A5029">
        <w:rPr>
          <w:rFonts w:ascii="Times New Roman" w:eastAsia="Times New Roman" w:hAnsi="Times New Roman" w:cs="Times New Roman"/>
          <w:color w:val="000000" w:themeColor="text1"/>
        </w:rPr>
        <w:t>o</w:t>
      </w:r>
      <w:r w:rsidRPr="004A5029">
        <w:rPr>
          <w:rFonts w:ascii="Times New Roman" w:eastAsia="Times New Roman" w:hAnsi="Times New Roman" w:cs="Times New Roman"/>
          <w:color w:val="000000" w:themeColor="text1"/>
        </w:rPr>
        <w:t xml:space="preserve"> si applicano, senza deroghe, a tutte le amministrazioni comunque partecipanti alla conferenza</w:t>
      </w:r>
      <w:r w:rsidR="00C13D6E" w:rsidRPr="004A5029">
        <w:rPr>
          <w:rFonts w:ascii="Times New Roman" w:eastAsia="Times New Roman" w:hAnsi="Times New Roman" w:cs="Times New Roman"/>
          <w:color w:val="000000" w:themeColor="text1"/>
        </w:rPr>
        <w:t xml:space="preserve"> </w:t>
      </w:r>
      <w:r w:rsidR="00C13D6E" w:rsidRPr="004A5029">
        <w:rPr>
          <w:rFonts w:ascii="Times New Roman" w:hAnsi="Times New Roman" w:cs="Times New Roman"/>
          <w:b/>
          <w:bCs/>
          <w:color w:val="000000" w:themeColor="text1"/>
        </w:rPr>
        <w:t>di servizi</w:t>
      </w:r>
      <w:r w:rsidRPr="004A5029">
        <w:rPr>
          <w:rFonts w:ascii="Times New Roman" w:eastAsia="Times New Roman" w:hAnsi="Times New Roman" w:cs="Times New Roman"/>
          <w:color w:val="000000" w:themeColor="text1"/>
        </w:rPr>
        <w:t>, incluse quelle titolari delle competenze in materia urbanistica, paesaggistica, archeologica e del patrimonio culturale</w:t>
      </w:r>
      <w:r w:rsidR="00446F27" w:rsidRPr="004A5029">
        <w:rPr>
          <w:rFonts w:ascii="Times New Roman" w:eastAsia="Times New Roman" w:hAnsi="Times New Roman" w:cs="Times New Roman"/>
          <w:color w:val="000000" w:themeColor="text1"/>
        </w:rPr>
        <w:t>.</w:t>
      </w:r>
      <w:r w:rsidR="00446F27" w:rsidRPr="004A5029">
        <w:rPr>
          <w:rFonts w:ascii="Times New Roman" w:eastAsia="Times New Roman" w:hAnsi="Times New Roman" w:cs="Times New Roman"/>
          <w:b/>
          <w:bCs/>
          <w:strike/>
          <w:color w:val="000000" w:themeColor="text1"/>
        </w:rPr>
        <w:t xml:space="preserve"> </w:t>
      </w:r>
    </w:p>
    <w:p w14:paraId="3A7C537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12. Le disposizioni di cui al comma 11 si applicano anche ai procedimenti pendenti alla data di entrata in vigore del codice, per i quali non sia ancora intervenuta la determinazione conclusiva della conferenza di servizi.</w:t>
      </w:r>
    </w:p>
    <w:p w14:paraId="32927B2B" w14:textId="4B245281"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13. Per gli appalti conseguenti al ritiro, alla revoca o all'annullamento di un precedente appalto sono validi i pareri, le autorizzazioni e le intese già acquisite, purché il RUP attesti l’assenza di variazioni nel progetto e nella regolamentazione ambientale, paesaggistica e urbanistica sulla cui base i pareri, le autorizzazioni e le intese erano stati adottati. La disposizione di cui al </w:t>
      </w:r>
      <w:r w:rsidR="00556B29" w:rsidRPr="004A5029">
        <w:rPr>
          <w:rFonts w:ascii="Times New Roman" w:hAnsi="Times New Roman" w:cs="Times New Roman"/>
          <w:bCs/>
          <w:color w:val="000000" w:themeColor="text1"/>
        </w:rPr>
        <w:t xml:space="preserve">primo </w:t>
      </w:r>
      <w:r w:rsidRPr="004A5029">
        <w:rPr>
          <w:rFonts w:ascii="Times New Roman" w:hAnsi="Times New Roman" w:cs="Times New Roman"/>
          <w:bCs/>
          <w:color w:val="000000" w:themeColor="text1"/>
        </w:rPr>
        <w:t>periodo non si applica ai casi di ritiro, revoca o annullamento del precedente appalto per vizi o circostanze inerenti ai pareri, alle autorizzazioni o alle intese.</w:t>
      </w:r>
    </w:p>
    <w:p w14:paraId="0AB3405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Garamond" w:hAnsi="Times New Roman" w:cs="Times New Roman"/>
          <w:bCs/>
          <w:color w:val="000000" w:themeColor="text1"/>
        </w:rPr>
        <w:t>14. Restano ferme le disposizioni speciali vigenti per determinate tipologie di opere pubbliche di interesse nazionale, comprese quelle relative agli interventi del Piano nazionale di ripresa e resilienza (PNRR).</w:t>
      </w:r>
    </w:p>
    <w:p w14:paraId="7B04FA47" w14:textId="77777777" w:rsidR="00446F27" w:rsidRPr="004A5029" w:rsidRDefault="00446F27" w:rsidP="00446F27">
      <w:pPr>
        <w:jc w:val="both"/>
        <w:rPr>
          <w:rFonts w:ascii="Times New Roman" w:hAnsi="Times New Roman" w:cs="Times New Roman"/>
          <w:color w:val="000000" w:themeColor="text1"/>
        </w:rPr>
      </w:pPr>
    </w:p>
    <w:p w14:paraId="023B17AB"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39.</w:t>
      </w:r>
    </w:p>
    <w:p w14:paraId="7F2CFB48" w14:textId="77777777"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Programmazione e progettazione delle infrastrutture strategiche e di preminente interesse nazionale.</w:t>
      </w:r>
    </w:p>
    <w:p w14:paraId="61FE1393" w14:textId="6F20B4F4" w:rsidR="00194B91"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w:t>
      </w:r>
      <w:r w:rsidR="00194B91" w:rsidRPr="004A5029">
        <w:rPr>
          <w:rFonts w:ascii="Times New Roman" w:hAnsi="Times New Roman" w:cs="Times New Roman"/>
          <w:color w:val="000000" w:themeColor="text1"/>
        </w:rPr>
        <w:t xml:space="preserve"> Le disposizioni del presente articolo disciplinano le procedure di pianificazione, programmazione e progettazione delle infrastrutture strategiche la cui realizzazione riveste carattere di urgenza e di preminente interesse nazionale ai fini della modernizzazione e dello sviluppo della Nazione.</w:t>
      </w:r>
    </w:p>
    <w:p w14:paraId="35815A60" w14:textId="6B3AC89A" w:rsidR="00446F27" w:rsidRPr="004A5029" w:rsidRDefault="00194B91"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2.</w:t>
      </w:r>
      <w:r w:rsidR="00446F27" w:rsidRPr="004A5029">
        <w:rPr>
          <w:rFonts w:ascii="Times New Roman" w:hAnsi="Times New Roman" w:cs="Times New Roman"/>
          <w:color w:val="000000" w:themeColor="text1"/>
        </w:rPr>
        <w:t xml:space="preserve"> Il Governo qualifica una infrastruttura come strategica e di preminente interesse nazionale con delibera del Consiglio</w:t>
      </w:r>
      <w:r w:rsidR="00446F27" w:rsidRPr="004A5029">
        <w:rPr>
          <w:rFonts w:ascii="Times New Roman" w:hAnsi="Times New Roman" w:cs="Times New Roman"/>
          <w:bCs/>
          <w:color w:val="000000" w:themeColor="text1"/>
        </w:rPr>
        <w:t xml:space="preserve"> dei </w:t>
      </w:r>
      <w:bookmarkStart w:id="18" w:name="_Hlk127517174"/>
      <w:r w:rsidR="00446F27"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w:t>
      </w:r>
      <w:bookmarkEnd w:id="18"/>
      <w:r w:rsidR="00446F27" w:rsidRPr="004A5029">
        <w:rPr>
          <w:rFonts w:ascii="Times New Roman" w:hAnsi="Times New Roman" w:cs="Times New Roman"/>
          <w:bCs/>
          <w:color w:val="000000" w:themeColor="text1"/>
        </w:rPr>
        <w:t xml:space="preserve">inistri, in considerazione del rendimento infrastrutturale, dei costi, degli obiettivi e dei tempi di realizzazione dell’opera. La qualificazione è operata su proposta dei Ministri competenti, sentite le </w:t>
      </w:r>
      <w:bookmarkStart w:id="19" w:name="_Hlk127517187"/>
      <w:r w:rsidR="00446F27" w:rsidRPr="004A5029">
        <w:rPr>
          <w:rFonts w:ascii="Times New Roman" w:hAnsi="Times New Roman" w:cs="Times New Roman"/>
          <w:b/>
          <w:strike/>
          <w:color w:val="000000" w:themeColor="text1"/>
        </w:rPr>
        <w:t>R</w:t>
      </w:r>
      <w:r w:rsidR="004520DA" w:rsidRPr="004A5029">
        <w:rPr>
          <w:rFonts w:ascii="Times New Roman" w:hAnsi="Times New Roman" w:cs="Times New Roman"/>
          <w:b/>
          <w:color w:val="000000" w:themeColor="text1"/>
        </w:rPr>
        <w:t>r</w:t>
      </w:r>
      <w:bookmarkEnd w:id="19"/>
      <w:r w:rsidR="00446F27" w:rsidRPr="004A5029">
        <w:rPr>
          <w:rFonts w:ascii="Times New Roman" w:hAnsi="Times New Roman" w:cs="Times New Roman"/>
          <w:bCs/>
          <w:color w:val="000000" w:themeColor="text1"/>
        </w:rPr>
        <w:t xml:space="preserve">egioni interessate, ovvero su proposta delle </w:t>
      </w:r>
      <w:r w:rsidR="00556B29" w:rsidRPr="004A5029">
        <w:rPr>
          <w:rFonts w:ascii="Times New Roman" w:hAnsi="Times New Roman" w:cs="Times New Roman"/>
          <w:bCs/>
          <w:color w:val="000000" w:themeColor="text1"/>
        </w:rPr>
        <w:t>r</w:t>
      </w:r>
      <w:r w:rsidR="00446F27" w:rsidRPr="004A5029">
        <w:rPr>
          <w:rFonts w:ascii="Times New Roman" w:hAnsi="Times New Roman" w:cs="Times New Roman"/>
          <w:bCs/>
          <w:color w:val="000000" w:themeColor="text1"/>
        </w:rPr>
        <w:t>egioni al Governo, sentiti i Ministri competenti.</w:t>
      </w:r>
    </w:p>
    <w:p w14:paraId="228E8EE1" w14:textId="520E47F8" w:rsidR="00446F27" w:rsidRPr="004A5029" w:rsidRDefault="00194B91"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3</w:t>
      </w:r>
      <w:r w:rsidR="00446F27" w:rsidRPr="004A5029">
        <w:rPr>
          <w:rFonts w:ascii="Times New Roman" w:hAnsi="Times New Roman" w:cs="Times New Roman"/>
          <w:bCs/>
          <w:color w:val="000000" w:themeColor="text1"/>
        </w:rPr>
        <w:t xml:space="preserve">. L’elenco </w:t>
      </w:r>
      <w:r w:rsidR="00446F27" w:rsidRPr="004A5029">
        <w:rPr>
          <w:rFonts w:ascii="Times New Roman" w:hAnsi="Times New Roman" w:cs="Times New Roman"/>
          <w:color w:val="000000" w:themeColor="text1"/>
        </w:rPr>
        <w:t>delle infrastrutture di cui al presente articolo è inserito nel documento di economia e finanza, con l’indicazione:</w:t>
      </w:r>
    </w:p>
    <w:p w14:paraId="1033B13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a) dei criteri di rendimento attesi in termini di sviluppo infrastrutturale, riequilibrio socio-economico fra le aree del territorio nazionale, sostenibilità ambientale, garanzia della sicurezza strategica, contenimento dei costi dell’approvvigionamento energetico del Paese, adeguamento della strategia nazionale a quella della rete europea delle infrastrutture;</w:t>
      </w:r>
    </w:p>
    <w:p w14:paraId="54FD323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degli esiti della valutazione delle alternative progettuali;</w:t>
      </w:r>
    </w:p>
    <w:p w14:paraId="396AF7E6"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c) dei costi stimati e dei relativi stanziamenti;</w:t>
      </w:r>
    </w:p>
    <w:p w14:paraId="5B797FAA"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d) del cronoprogramma di realizzazione.</w:t>
      </w:r>
    </w:p>
    <w:p w14:paraId="418AC575" w14:textId="2343331D" w:rsidR="00446F27" w:rsidRPr="004A5029" w:rsidRDefault="00194B91" w:rsidP="00446F27">
      <w:pPr>
        <w:pBdr>
          <w:top w:val="none" w:sz="0" w:space="1" w:color="auto"/>
          <w:bottom w:val="none" w:sz="0" w:space="1" w:color="auto"/>
        </w:pBd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w:t>
      </w:r>
      <w:r w:rsidR="00446F27" w:rsidRPr="004A5029">
        <w:rPr>
          <w:rFonts w:ascii="Times New Roman" w:hAnsi="Times New Roman" w:cs="Times New Roman"/>
          <w:bCs/>
          <w:color w:val="000000" w:themeColor="text1"/>
        </w:rPr>
        <w:t xml:space="preserve">. Gli interventi di cui al comma </w:t>
      </w:r>
      <w:r w:rsidRPr="004A5029">
        <w:rPr>
          <w:rFonts w:ascii="Times New Roman" w:hAnsi="Times New Roman" w:cs="Times New Roman"/>
          <w:bCs/>
          <w:color w:val="000000" w:themeColor="text1"/>
        </w:rPr>
        <w:t>3</w:t>
      </w:r>
      <w:r w:rsidR="00446F27" w:rsidRPr="004A5029">
        <w:rPr>
          <w:rFonts w:ascii="Times New Roman" w:hAnsi="Times New Roman" w:cs="Times New Roman"/>
          <w:bCs/>
          <w:color w:val="000000" w:themeColor="text1"/>
        </w:rPr>
        <w:t xml:space="preserve"> sono automaticamente inseriti nelle intese istituzionali di programma e negli accordi di programma quadro ai fini della individuazione delle priorità e ai fini dell'armonizzazione con le iniziative già incluse nelle intese e negli accordi stessi.</w:t>
      </w:r>
    </w:p>
    <w:p w14:paraId="26946AB3" w14:textId="103E9533" w:rsidR="00194B91" w:rsidRPr="004A5029" w:rsidRDefault="00194B91"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w:t>
      </w:r>
      <w:r w:rsidR="00ED2353" w:rsidRPr="004A5029">
        <w:rPr>
          <w:rFonts w:ascii="Times New Roman" w:hAnsi="Times New Roman" w:cs="Times New Roman"/>
          <w:bCs/>
          <w:color w:val="000000" w:themeColor="text1"/>
        </w:rPr>
        <w:t>P</w:t>
      </w:r>
      <w:r w:rsidRPr="004A5029">
        <w:rPr>
          <w:rFonts w:ascii="Times New Roman" w:hAnsi="Times New Roman" w:cs="Times New Roman"/>
          <w:bCs/>
          <w:color w:val="000000" w:themeColor="text1"/>
        </w:rPr>
        <w:t>er l’approvazione dei progetti relativi agli interventi di cui al comma 3 si applicano le disposizioni di cui all’articolo 38. A tal fine</w:t>
      </w:r>
      <w:r w:rsidR="00ED2353" w:rsidRPr="004A5029">
        <w:rPr>
          <w:rFonts w:ascii="Times New Roman" w:hAnsi="Times New Roman" w:cs="Times New Roman"/>
          <w:bCs/>
          <w:color w:val="000000" w:themeColor="text1"/>
        </w:rPr>
        <w:t>,</w:t>
      </w:r>
      <w:r w:rsidRPr="004A5029">
        <w:rPr>
          <w:rFonts w:ascii="Times New Roman" w:hAnsi="Times New Roman" w:cs="Times New Roman"/>
          <w:bCs/>
          <w:color w:val="000000" w:themeColor="text1"/>
        </w:rPr>
        <w:t xml:space="preserve"> i termini di cui al terzo periodo del comma 5</w:t>
      </w:r>
      <w:r w:rsidR="00ED2353" w:rsidRPr="004A5029">
        <w:rPr>
          <w:rFonts w:ascii="Times New Roman" w:hAnsi="Times New Roman" w:cs="Times New Roman"/>
          <w:b/>
          <w:strike/>
          <w:color w:val="000000" w:themeColor="text1"/>
        </w:rPr>
        <w:t>,</w:t>
      </w:r>
      <w:r w:rsidR="00ED2353" w:rsidRPr="004A5029">
        <w:rPr>
          <w:rFonts w:ascii="Times New Roman" w:hAnsi="Times New Roman" w:cs="Times New Roman"/>
          <w:bCs/>
          <w:color w:val="000000" w:themeColor="text1"/>
        </w:rPr>
        <w:t xml:space="preserve"> dell’</w:t>
      </w:r>
      <w:r w:rsidRPr="004A5029">
        <w:rPr>
          <w:rFonts w:ascii="Times New Roman" w:hAnsi="Times New Roman" w:cs="Times New Roman"/>
          <w:bCs/>
          <w:color w:val="000000" w:themeColor="text1"/>
        </w:rPr>
        <w:t>articolo 38</w:t>
      </w:r>
      <w:r w:rsidRPr="004A5029">
        <w:rPr>
          <w:rFonts w:ascii="Times New Roman" w:hAnsi="Times New Roman" w:cs="Times New Roman"/>
          <w:b/>
          <w:strike/>
          <w:color w:val="000000" w:themeColor="text1"/>
        </w:rPr>
        <w:t>,</w:t>
      </w:r>
      <w:r w:rsidRPr="004A5029">
        <w:rPr>
          <w:rFonts w:ascii="Times New Roman" w:hAnsi="Times New Roman" w:cs="Times New Roman"/>
          <w:bCs/>
          <w:color w:val="000000" w:themeColor="text1"/>
        </w:rPr>
        <w:t xml:space="preserve"> sono ridotti a trenta giorni e quelli di cui al comma 9, primo periodo</w:t>
      </w:r>
      <w:r w:rsidR="00ED2353" w:rsidRPr="004A5029">
        <w:rPr>
          <w:rFonts w:ascii="Times New Roman" w:hAnsi="Times New Roman" w:cs="Times New Roman"/>
          <w:bCs/>
          <w:color w:val="000000" w:themeColor="text1"/>
        </w:rPr>
        <w:t>,</w:t>
      </w:r>
      <w:r w:rsidRPr="004A5029">
        <w:rPr>
          <w:rFonts w:ascii="Times New Roman" w:hAnsi="Times New Roman" w:cs="Times New Roman"/>
          <w:bCs/>
          <w:color w:val="000000" w:themeColor="text1"/>
        </w:rPr>
        <w:t xml:space="preserve"> </w:t>
      </w:r>
      <w:r w:rsidR="00ED2353" w:rsidRPr="004A5029">
        <w:rPr>
          <w:rFonts w:ascii="Times New Roman" w:hAnsi="Times New Roman" w:cs="Times New Roman"/>
          <w:bCs/>
          <w:color w:val="000000" w:themeColor="text1"/>
        </w:rPr>
        <w:t xml:space="preserve">del medesimo articolo 38 </w:t>
      </w:r>
      <w:r w:rsidRPr="004A5029">
        <w:rPr>
          <w:rFonts w:ascii="Times New Roman" w:hAnsi="Times New Roman" w:cs="Times New Roman"/>
          <w:bCs/>
          <w:color w:val="000000" w:themeColor="text1"/>
        </w:rPr>
        <w:t>a quarantacinque giorni e non sono prorogabili.</w:t>
      </w:r>
    </w:p>
    <w:p w14:paraId="7F4791F0" w14:textId="0FDC18E6" w:rsidR="00446F27" w:rsidRPr="004A5029" w:rsidRDefault="00ED2353"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6</w:t>
      </w:r>
      <w:r w:rsidR="00446F27" w:rsidRPr="004A5029">
        <w:rPr>
          <w:rFonts w:ascii="Times New Roman" w:hAnsi="Times New Roman" w:cs="Times New Roman"/>
          <w:bCs/>
          <w:color w:val="000000" w:themeColor="text1"/>
        </w:rPr>
        <w:t>. Il Consiglio superiore dei lavori pubblici, senza nuovi o maggiori oneri</w:t>
      </w:r>
      <w:r w:rsidR="00690748" w:rsidRPr="004A5029">
        <w:rPr>
          <w:rFonts w:ascii="Times New Roman" w:hAnsi="Times New Roman" w:cs="Times New Roman"/>
          <w:bCs/>
          <w:color w:val="000000" w:themeColor="text1"/>
        </w:rPr>
        <w:t xml:space="preserve"> </w:t>
      </w:r>
      <w:r w:rsidR="00690748" w:rsidRPr="004A5029">
        <w:rPr>
          <w:rFonts w:ascii="Times New Roman" w:hAnsi="Times New Roman" w:cs="Times New Roman"/>
          <w:b/>
          <w:color w:val="000000" w:themeColor="text1"/>
        </w:rPr>
        <w:t>a carico della finanza pubblica</w:t>
      </w:r>
      <w:r w:rsidR="00446F27" w:rsidRPr="004A5029">
        <w:rPr>
          <w:rFonts w:ascii="Times New Roman" w:hAnsi="Times New Roman" w:cs="Times New Roman"/>
          <w:bCs/>
          <w:color w:val="000000" w:themeColor="text1"/>
        </w:rPr>
        <w:t>, istituisce un comitato speciale per l’esame dei progetti relativi agli interventi</w:t>
      </w:r>
      <w:r w:rsidR="00446F27" w:rsidRPr="004A5029">
        <w:rPr>
          <w:rFonts w:ascii="Times New Roman" w:hAnsi="Times New Roman" w:cs="Times New Roman"/>
          <w:color w:val="000000" w:themeColor="text1"/>
        </w:rPr>
        <w:t xml:space="preserve"> di cui al presente articolo.</w:t>
      </w:r>
    </w:p>
    <w:p w14:paraId="5E209AC9" w14:textId="5D325F1F" w:rsidR="00ED2353" w:rsidRPr="004A5029" w:rsidRDefault="00ED2353" w:rsidP="00ED2353">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7. Ai fini della verifica preventiva dell’interesse archeologico di cui all’articolo 38, comma 8, il progetto di fattibilità tecnico ed economico relativo agli interventi di cui al comma 1 del presente articolo, è trasmesso dalla stazione appaltante alla competente soprintendenza decorsi quindici giorni dalla trasmissione al Consiglio superiore dei lavori pubblici del progetto di fattibilità tecnico-economico medesimo. Le risultanze della valutazione di assoggettabilità preventiva dell’interesse archeologico sono acquisite nel corso della conferenza dei servizi di cui all’articolo 38, comma 3. </w:t>
      </w:r>
    </w:p>
    <w:p w14:paraId="4417EBFD" w14:textId="6694BA00" w:rsidR="00446F27" w:rsidRPr="004A5029" w:rsidRDefault="00ED2353" w:rsidP="00ED2353">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8</w:t>
      </w:r>
      <w:r w:rsidR="00446F27" w:rsidRPr="004A5029">
        <w:rPr>
          <w:rFonts w:ascii="Times New Roman" w:hAnsi="Times New Roman" w:cs="Times New Roman"/>
          <w:bCs/>
          <w:color w:val="000000" w:themeColor="text1"/>
        </w:rPr>
        <w:t>. In presenza di dissensi qualificati ai sensi dell'articolo 14-</w:t>
      </w:r>
      <w:r w:rsidR="00446F27" w:rsidRPr="004A5029">
        <w:rPr>
          <w:rFonts w:ascii="Times New Roman" w:hAnsi="Times New Roman" w:cs="Times New Roman"/>
          <w:bCs/>
          <w:i/>
          <w:iCs/>
          <w:color w:val="000000" w:themeColor="text1"/>
        </w:rPr>
        <w:t>quinquies</w:t>
      </w:r>
      <w:r w:rsidR="00446F27" w:rsidRPr="004A5029">
        <w:rPr>
          <w:rFonts w:ascii="Times New Roman" w:hAnsi="Times New Roman" w:cs="Times New Roman"/>
          <w:bCs/>
          <w:color w:val="000000" w:themeColor="text1"/>
        </w:rPr>
        <w:t>, comma 1, della legge 7 agosto 1990, n. 241, la procedura</w:t>
      </w:r>
      <w:r w:rsidR="00446F27" w:rsidRPr="004A5029">
        <w:rPr>
          <w:rFonts w:ascii="Times New Roman" w:hAnsi="Times New Roman" w:cs="Times New Roman"/>
          <w:color w:val="000000" w:themeColor="text1"/>
        </w:rPr>
        <w:t xml:space="preserve"> di cui ai commi 4, 5 e 6 del medesimo articolo può essere sostituita dall’adozione di un decreto del Presidente del Consiglio dei </w:t>
      </w:r>
      <w:r w:rsidR="004520DA"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mi</w:t>
      </w:r>
      <w:r w:rsidR="004520DA" w:rsidRPr="004A5029">
        <w:rPr>
          <w:rFonts w:ascii="Times New Roman" w:hAnsi="Times New Roman" w:cs="Times New Roman"/>
          <w:bCs/>
          <w:color w:val="000000" w:themeColor="text1"/>
        </w:rPr>
        <w:t>nistri</w:t>
      </w:r>
      <w:r w:rsidR="00446F27" w:rsidRPr="004A5029">
        <w:rPr>
          <w:rFonts w:ascii="Times New Roman" w:hAnsi="Times New Roman" w:cs="Times New Roman"/>
          <w:color w:val="000000" w:themeColor="text1"/>
        </w:rPr>
        <w:t>, su proposta del Ministro delle infrastrutture e trasporti, previa deliberazione del CIPESS, integrato dai presidenti delle regioni o delle province autonome interessate, sentita la Conferenza unificata di cui all'articolo 8 del decreto legislativo 28 agosto 1997, n. 281. Il predetto decreto approva il progetto di fattibilità tecnico-economica delle infrastrutture di cui al presente articolo e produce i medesimi effetti di cui all’articolo 38, comma 10.</w:t>
      </w:r>
    </w:p>
    <w:p w14:paraId="76CDF7A1" w14:textId="3CF44214" w:rsidR="00D41440" w:rsidRPr="004A5029" w:rsidRDefault="00D41440" w:rsidP="00D41440">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Il monitoraggio delle infrastrutture e degli insediamenti prioritari per </w:t>
      </w:r>
      <w:r w:rsidR="0000289A" w:rsidRPr="004A5029">
        <w:rPr>
          <w:rFonts w:ascii="Times New Roman" w:hAnsi="Times New Roman" w:cs="Times New Roman"/>
          <w:color w:val="000000" w:themeColor="text1"/>
        </w:rPr>
        <w:t>la prevenzione e la</w:t>
      </w:r>
      <w:r w:rsidRPr="004A5029">
        <w:rPr>
          <w:rFonts w:ascii="Times New Roman" w:hAnsi="Times New Roman" w:cs="Times New Roman"/>
          <w:color w:val="000000" w:themeColor="text1"/>
        </w:rPr>
        <w:t xml:space="preserve"> </w:t>
      </w:r>
      <w:r w:rsidR="0000289A" w:rsidRPr="004A5029">
        <w:rPr>
          <w:rFonts w:ascii="Times New Roman" w:hAnsi="Times New Roman" w:cs="Times New Roman"/>
          <w:color w:val="000000" w:themeColor="text1"/>
        </w:rPr>
        <w:t>repressione di</w:t>
      </w:r>
      <w:r w:rsidRPr="004A5029">
        <w:rPr>
          <w:rFonts w:ascii="Times New Roman" w:hAnsi="Times New Roman" w:cs="Times New Roman"/>
          <w:color w:val="000000" w:themeColor="text1"/>
        </w:rPr>
        <w:t xml:space="preserve"> tentativi di infiltrazione mafiosa è attuato da un Comitato di coordinamento istituito presso il Ministero dell’interno</w:t>
      </w:r>
      <w:r w:rsidR="0000289A" w:rsidRPr="004A5029">
        <w:rPr>
          <w:rFonts w:ascii="Times New Roman" w:hAnsi="Times New Roman" w:cs="Times New Roman"/>
          <w:color w:val="000000" w:themeColor="text1"/>
        </w:rPr>
        <w:t>, secondo procedure approvate con delibera CIPES</w:t>
      </w:r>
      <w:r w:rsidR="00F93B8B" w:rsidRPr="004A5029">
        <w:rPr>
          <w:rFonts w:ascii="Times New Roman" w:hAnsi="Times New Roman" w:cs="Times New Roman"/>
          <w:color w:val="000000" w:themeColor="text1"/>
        </w:rPr>
        <w:t>S</w:t>
      </w:r>
      <w:r w:rsidR="0000289A" w:rsidRPr="004A5029">
        <w:rPr>
          <w:rFonts w:ascii="Times New Roman" w:hAnsi="Times New Roman" w:cs="Times New Roman"/>
          <w:color w:val="000000" w:themeColor="text1"/>
        </w:rPr>
        <w:t>, su proposta del medesimo Comitato di coordinamento</w:t>
      </w:r>
      <w:r w:rsidRPr="004A5029">
        <w:rPr>
          <w:rFonts w:ascii="Times New Roman" w:hAnsi="Times New Roman" w:cs="Times New Roman"/>
          <w:color w:val="000000" w:themeColor="text1"/>
        </w:rPr>
        <w:t>. Si applicano, altresì, le modalità e le procedure di monitoraggio finanziario di cui all'articolo 36 del decreto-legge 24 giugno 2014, n. 90, convertito, con modificazioni, dalla legge 11 agosto 2014, n. 114.</w:t>
      </w:r>
    </w:p>
    <w:p w14:paraId="16C883AC" w14:textId="56A1D399" w:rsidR="00D41440" w:rsidRPr="004A5029" w:rsidRDefault="00D41440" w:rsidP="00ED2353">
      <w:pPr>
        <w:jc w:val="both"/>
        <w:rPr>
          <w:rFonts w:ascii="Times New Roman" w:hAnsi="Times New Roman" w:cs="Times New Roman"/>
          <w:b/>
          <w:bCs/>
          <w:color w:val="000000" w:themeColor="text1"/>
        </w:rPr>
      </w:pPr>
    </w:p>
    <w:p w14:paraId="568C698B" w14:textId="77777777" w:rsidR="00446F27" w:rsidRPr="004A5029" w:rsidRDefault="00446F27" w:rsidP="00446F27">
      <w:pPr>
        <w:jc w:val="both"/>
        <w:rPr>
          <w:rFonts w:ascii="Times New Roman" w:hAnsi="Times New Roman" w:cs="Times New Roman"/>
          <w:color w:val="000000" w:themeColor="text1"/>
        </w:rPr>
      </w:pPr>
    </w:p>
    <w:p w14:paraId="40CC82C5"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40.</w:t>
      </w:r>
    </w:p>
    <w:p w14:paraId="6BB1A5BB"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Dibattito pubblico.</w:t>
      </w:r>
    </w:p>
    <w:p w14:paraId="7D7E425B" w14:textId="77777777" w:rsidR="00446F27" w:rsidRPr="004A5029" w:rsidRDefault="00446F27" w:rsidP="00446F27">
      <w:pPr>
        <w:spacing w:line="257"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Salvi i casi di dibattito pubblico obbligatorio indicati nell’allegato I.6, la stazione appaltante o l’ente concedente può indire il dibattito pubblico, ove ne ravvisi l’opportunità in ragione della particolare rilevanza sociale dell’intervento e del suo impatto sull’ambiente e sul territorio, </w:t>
      </w:r>
      <w:r w:rsidRPr="004A5029">
        <w:rPr>
          <w:rFonts w:ascii="Times New Roman" w:eastAsia="Times New Roman" w:hAnsi="Times New Roman" w:cs="Times New Roman"/>
          <w:color w:val="000000" w:themeColor="text1"/>
        </w:rPr>
        <w:t>garantendone in ogni caso la celerità.</w:t>
      </w:r>
    </w:p>
    <w:p w14:paraId="5CFC2E7D" w14:textId="02E7F45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In sede di prima applicazione del codice, l’allegato I.6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con decreto del Presidente del Consiglio dei ministri su proposta del Ministro delle infrastrutture e dei trasporti, sentiti il Ministro dell’ambiente e della sicurezza energetica e il Ministro della cultura, che lo sostituisce integralmente anche in qualità di allegato al codice.</w:t>
      </w:r>
    </w:p>
    <w:p w14:paraId="4D9ADC63"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Il dibattito pubblico si apre con la pubblicazione sul sito istituzionale della stazione appaltante o dell’ente concedente di una relazione contenente il progetto dell’opera e l’analisi di fattibilità delle eventuali alternative progettuali.</w:t>
      </w:r>
    </w:p>
    <w:p w14:paraId="6426588F" w14:textId="4AC47B6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4. Le amministrazioni statali interessate alla realizzazione dell’intervento, le regioni e gli altri enti territoriali interessati dall’opera, nonché i portatori di interessi diffusi costituiti in associazioni o comitati, che, in ragione degli scopi statutari, sono interessati dall’intervento, possono presentare osservazioni e proposte entro il termine di </w:t>
      </w:r>
      <w:r w:rsidRPr="004A5029">
        <w:rPr>
          <w:rFonts w:ascii="Times New Roman" w:hAnsi="Times New Roman" w:cs="Times New Roman"/>
          <w:b/>
          <w:strike/>
          <w:color w:val="000000" w:themeColor="text1"/>
        </w:rPr>
        <w:t>60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sessanta </w:t>
      </w:r>
      <w:r w:rsidRPr="004A5029">
        <w:rPr>
          <w:rFonts w:ascii="Times New Roman" w:hAnsi="Times New Roman" w:cs="Times New Roman"/>
          <w:bCs/>
          <w:color w:val="000000" w:themeColor="text1"/>
        </w:rPr>
        <w:t>giorni dalla pubblicazione di cui al comma 3.</w:t>
      </w:r>
    </w:p>
    <w:p w14:paraId="54EF1EF5" w14:textId="62DCE572" w:rsidR="00446F27" w:rsidRPr="004A5029" w:rsidRDefault="00446F27" w:rsidP="00446F27">
      <w:pPr>
        <w:pBdr>
          <w:top w:val="none" w:sz="0" w:space="1" w:color="auto"/>
          <w:bottom w:val="none" w:sz="0" w:space="1" w:color="auto"/>
        </w:pBd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Il dibattito pubblico si conclude, entro </w:t>
      </w:r>
      <w:r w:rsidRPr="004A5029">
        <w:rPr>
          <w:rFonts w:ascii="Times New Roman" w:eastAsia="Times New Roman" w:hAnsi="Times New Roman" w:cs="Times New Roman"/>
          <w:color w:val="000000" w:themeColor="text1"/>
        </w:rPr>
        <w:t xml:space="preserve">un termine compatibile con le esigenze di celerità, comunque non superiore a </w:t>
      </w:r>
      <w:r w:rsidRPr="004A5029">
        <w:rPr>
          <w:rFonts w:ascii="Times New Roman" w:hAnsi="Times New Roman" w:cs="Times New Roman"/>
          <w:strike/>
          <w:color w:val="000000" w:themeColor="text1"/>
        </w:rPr>
        <w:t>120</w:t>
      </w:r>
      <w:r w:rsidRPr="004A5029">
        <w:rPr>
          <w:rFonts w:ascii="Times New Roman" w:hAnsi="Times New Roman" w:cs="Times New Roman"/>
          <w:color w:val="000000" w:themeColor="text1"/>
        </w:rPr>
        <w:t xml:space="preserve"> </w:t>
      </w:r>
      <w:r w:rsidR="00407103" w:rsidRPr="004A5029">
        <w:rPr>
          <w:rFonts w:ascii="Times New Roman" w:hAnsi="Times New Roman" w:cs="Times New Roman"/>
          <w:b/>
          <w:bCs/>
          <w:color w:val="000000" w:themeColor="text1"/>
        </w:rPr>
        <w:t xml:space="preserve">centoventi </w:t>
      </w:r>
      <w:r w:rsidRPr="004A5029">
        <w:rPr>
          <w:rFonts w:ascii="Times New Roman" w:hAnsi="Times New Roman" w:cs="Times New Roman"/>
          <w:color w:val="000000" w:themeColor="text1"/>
        </w:rPr>
        <w:t>giorni dalla pubblicazione di cui al comma 3, con una relazione, redatta dal responsabile del dibattito pubblico e contenente una sintetica descrizione delle proposte e delle osservazioni pervenute, con l’eventuale indicazione di quelle ritenute meritevoli di accoglimento. La relazione conclusiva è pubblicata sul sito istituzionale della stazione appaltante o dell’ente concedente.</w:t>
      </w:r>
    </w:p>
    <w:p w14:paraId="3E4201C5" w14:textId="56F8CF8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Gli esiti del dibattito, ivi comprese eventuali proposte di variazione dell’intervento, sono valutati dalla stazione appaltante o dall’ente concedente ai fini dell’elaborazione de</w:t>
      </w:r>
      <w:r w:rsidR="001B46F2" w:rsidRPr="004A5029">
        <w:rPr>
          <w:rFonts w:ascii="Times New Roman" w:hAnsi="Times New Roman" w:cs="Times New Roman"/>
          <w:color w:val="000000" w:themeColor="text1"/>
        </w:rPr>
        <w:t xml:space="preserve">l </w:t>
      </w:r>
      <w:r w:rsidRPr="004A5029">
        <w:rPr>
          <w:rFonts w:ascii="Times New Roman" w:hAnsi="Times New Roman" w:cs="Times New Roman"/>
          <w:color w:val="000000" w:themeColor="text1"/>
        </w:rPr>
        <w:t>successiv</w:t>
      </w:r>
      <w:r w:rsidR="001B46F2" w:rsidRPr="004A5029">
        <w:rPr>
          <w:rFonts w:ascii="Times New Roman" w:hAnsi="Times New Roman" w:cs="Times New Roman"/>
          <w:color w:val="000000" w:themeColor="text1"/>
        </w:rPr>
        <w:t>o</w:t>
      </w:r>
      <w:r w:rsidRPr="004A5029">
        <w:rPr>
          <w:rFonts w:ascii="Times New Roman" w:hAnsi="Times New Roman" w:cs="Times New Roman"/>
          <w:color w:val="000000" w:themeColor="text1"/>
        </w:rPr>
        <w:t xml:space="preserve"> livell</w:t>
      </w:r>
      <w:r w:rsidR="001B46F2" w:rsidRPr="004A5029">
        <w:rPr>
          <w:rFonts w:ascii="Times New Roman" w:hAnsi="Times New Roman" w:cs="Times New Roman"/>
          <w:color w:val="000000" w:themeColor="text1"/>
        </w:rPr>
        <w:t xml:space="preserve">o </w:t>
      </w:r>
      <w:r w:rsidRPr="004A5029">
        <w:rPr>
          <w:rFonts w:ascii="Times New Roman" w:hAnsi="Times New Roman" w:cs="Times New Roman"/>
          <w:color w:val="000000" w:themeColor="text1"/>
        </w:rPr>
        <w:t>di progettazione.</w:t>
      </w:r>
    </w:p>
    <w:p w14:paraId="417F40CE" w14:textId="65C84DF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7. Resta ferma la disciplina prevista da specifiche disposizioni di legge per il dibattito pubblico afferente agli interventi finanziati con le risorse del PNRR e del Piano nazionale per gli investimenti complementari al PNRR (PNC)</w:t>
      </w:r>
      <w:r w:rsidR="009C7A1A">
        <w:rPr>
          <w:rFonts w:ascii="Times New Roman" w:hAnsi="Times New Roman" w:cs="Times New Roman"/>
          <w:bCs/>
          <w:color w:val="000000" w:themeColor="text1"/>
        </w:rPr>
        <w:t xml:space="preserve">, </w:t>
      </w:r>
      <w:r w:rsidR="009C7A1A" w:rsidRPr="009C7A1A">
        <w:rPr>
          <w:rFonts w:ascii="Times New Roman" w:hAnsi="Times New Roman" w:cs="Times New Roman"/>
          <w:b/>
        </w:rPr>
        <w:t>di cui al decreto-legge 6 maggio 2021, n. 59, convertito, con modificazioni, dalla legge 1° luglio 2021</w:t>
      </w:r>
      <w:r w:rsidRPr="009C7A1A">
        <w:rPr>
          <w:rFonts w:ascii="Times New Roman" w:hAnsi="Times New Roman" w:cs="Times New Roman"/>
          <w:b/>
        </w:rPr>
        <w:t>.</w:t>
      </w:r>
    </w:p>
    <w:p w14:paraId="21F1B5B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L’allegato I.6 disciplina:</w:t>
      </w:r>
    </w:p>
    <w:p w14:paraId="19CE371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a) i casi in cui il dibattito pubblico è obbligatorio;</w:t>
      </w:r>
    </w:p>
    <w:p w14:paraId="6CD059C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le modalità di partecipazione e di svolgimento del dibattito pubblico;</w:t>
      </w:r>
    </w:p>
    <w:p w14:paraId="26DAA64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le modalità di individuazione e i compiti del responsabile del dibattito pubblico;</w:t>
      </w:r>
    </w:p>
    <w:p w14:paraId="2B40ECF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gli eventuali contenuti ulteriori della relazione iniziale e di quella conclusiva del procedimento di dibattito pubblico.</w:t>
      </w:r>
    </w:p>
    <w:p w14:paraId="1A939487" w14:textId="77777777" w:rsidR="00446F27" w:rsidRPr="004A5029" w:rsidRDefault="00446F27" w:rsidP="00446F27">
      <w:pPr>
        <w:rPr>
          <w:rFonts w:ascii="Times New Roman" w:hAnsi="Times New Roman" w:cs="Times New Roman"/>
          <w:color w:val="000000" w:themeColor="text1"/>
        </w:rPr>
      </w:pPr>
    </w:p>
    <w:p w14:paraId="6AA258D8"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br w:type="page"/>
      </w:r>
    </w:p>
    <w:p w14:paraId="06EB4B15" w14:textId="77777777" w:rsidR="00446F27" w:rsidRPr="004A5029" w:rsidRDefault="00446F27" w:rsidP="00446F27">
      <w:pPr>
        <w:jc w:val="center"/>
        <w:rPr>
          <w:rFonts w:ascii="Times New Roman" w:hAnsi="Times New Roman" w:cs="Times New Roman"/>
          <w:b/>
          <w:noProof/>
          <w:color w:val="000000" w:themeColor="text1"/>
          <w:lang w:eastAsia="it-IT"/>
        </w:rPr>
      </w:pPr>
      <w:r w:rsidRPr="004A5029">
        <w:rPr>
          <w:rFonts w:ascii="Times New Roman" w:hAnsi="Times New Roman" w:cs="Times New Roman"/>
          <w:b/>
          <w:noProof/>
          <w:color w:val="000000" w:themeColor="text1"/>
          <w:lang w:eastAsia="it-IT"/>
        </w:rPr>
        <w:t xml:space="preserve">PARTE IV </w:t>
      </w:r>
    </w:p>
    <w:p w14:paraId="0F5A781D" w14:textId="77777777" w:rsidR="00446F27" w:rsidRPr="004A5029" w:rsidRDefault="00446F27" w:rsidP="00446F27">
      <w:pPr>
        <w:jc w:val="center"/>
        <w:rPr>
          <w:rFonts w:ascii="Times New Roman" w:hAnsi="Times New Roman" w:cs="Times New Roman"/>
          <w:b/>
          <w:noProof/>
          <w:color w:val="000000" w:themeColor="text1"/>
          <w:lang w:eastAsia="it-IT"/>
        </w:rPr>
      </w:pPr>
      <w:r w:rsidRPr="004A5029">
        <w:rPr>
          <w:rFonts w:ascii="Times New Roman" w:hAnsi="Times New Roman" w:cs="Times New Roman"/>
          <w:b/>
          <w:bCs/>
          <w:noProof/>
          <w:color w:val="000000" w:themeColor="text1"/>
          <w:lang w:eastAsia="it-IT"/>
        </w:rPr>
        <w:t>DELLA PROGETTAZIONE</w:t>
      </w:r>
    </w:p>
    <w:p w14:paraId="24629BAE" w14:textId="77777777" w:rsidR="00446F27" w:rsidRPr="004A5029" w:rsidRDefault="00446F27" w:rsidP="00446F27">
      <w:pPr>
        <w:jc w:val="both"/>
        <w:rPr>
          <w:rFonts w:ascii="Times New Roman" w:eastAsiaTheme="majorEastAsia" w:hAnsi="Times New Roman" w:cs="Times New Roman"/>
          <w:b/>
          <w:color w:val="000000" w:themeColor="text1"/>
        </w:rPr>
      </w:pPr>
      <w:r w:rsidRPr="004A5029">
        <w:rPr>
          <w:rFonts w:ascii="Times New Roman" w:eastAsiaTheme="majorEastAsia" w:hAnsi="Times New Roman" w:cs="Times New Roman"/>
          <w:b/>
          <w:color w:val="000000" w:themeColor="text1"/>
        </w:rPr>
        <w:t xml:space="preserve">Articolo 41. </w:t>
      </w:r>
    </w:p>
    <w:p w14:paraId="50DCB15C" w14:textId="77777777" w:rsidR="00446F27" w:rsidRPr="004A5029" w:rsidRDefault="00446F27" w:rsidP="00446F27">
      <w:pPr>
        <w:jc w:val="both"/>
        <w:rPr>
          <w:rFonts w:ascii="Times New Roman" w:eastAsiaTheme="majorEastAsia" w:hAnsi="Times New Roman" w:cs="Times New Roman"/>
          <w:i/>
          <w:color w:val="000000" w:themeColor="text1"/>
        </w:rPr>
      </w:pPr>
      <w:r w:rsidRPr="004A5029">
        <w:rPr>
          <w:rFonts w:ascii="Times New Roman" w:eastAsiaTheme="majorEastAsia" w:hAnsi="Times New Roman" w:cs="Times New Roman"/>
          <w:i/>
          <w:color w:val="000000" w:themeColor="text1"/>
        </w:rPr>
        <w:t>Livelli e contenuti della progettazione.</w:t>
      </w:r>
    </w:p>
    <w:p w14:paraId="6F82FA44" w14:textId="79BC17D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 progettazione in materia di lavori pubblici, si articola in due livelli di successivi approfondimenti tecnici: il progetto di fattibilità tecnico-economica e il progetto esecutivo. Essa è volta ad assicurare:</w:t>
      </w:r>
    </w:p>
    <w:p w14:paraId="1DEA490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il soddisfacimento dei fabbisogni della collettività;</w:t>
      </w:r>
    </w:p>
    <w:p w14:paraId="2066771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la conformità alle norme ambientali, urbanistiche e di tutela dei beni culturali e paesaggistici, nonché il rispetto di quanto previsto dalla normativa in materia di tutela della salute e della sicurezza delle costruzioni;</w:t>
      </w:r>
    </w:p>
    <w:p w14:paraId="0C50F82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la rispondenza ai requisiti di qualità architettonica e tecnico-funzionale, nonché il rispetto dei tempi e dei costi previsti;</w:t>
      </w:r>
    </w:p>
    <w:p w14:paraId="36C2ACA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il rispetto di tutti i vincoli esistenti, con particolare riguardo a quelli idrogeologici, sismici, archeologici e forestali;</w:t>
      </w:r>
    </w:p>
    <w:p w14:paraId="7B2B895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l’efficientamento energetico e la minimizzazione dell’impiego di risorse materiali non rinnovabili nell’intero ciclo di vita delle opere;</w:t>
      </w:r>
    </w:p>
    <w:p w14:paraId="5BF64D4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il rispetto dei principi della sostenibilità economica, territoriale, ambientale e sociale dell’intervento, anche per contrastare il consumo del suolo, incentivando il recupero, il riuso e la valorizzazione del patrimonio edilizio esistente e dei tessuti urbani;</w:t>
      </w:r>
    </w:p>
    <w:p w14:paraId="2A00474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g) la razionalizzazione delle attività di progettazione e delle connesse verifiche attraverso il progressivo uso di metodi e strumenti di gestione informativa digitale delle costruzioni di cui all’articolo 43;</w:t>
      </w:r>
    </w:p>
    <w:p w14:paraId="3B872AAD" w14:textId="6AE5E62B"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h) l’accessibilità e l’adattabilità secondo quanto previsto dalle disposizioni vigenti in materia di barriere architettoniche</w:t>
      </w:r>
      <w:r w:rsidRPr="004A5029">
        <w:rPr>
          <w:rFonts w:ascii="Times New Roman" w:hAnsi="Times New Roman" w:cs="Times New Roman"/>
          <w:b/>
          <w:bCs/>
          <w:strike/>
          <w:color w:val="000000" w:themeColor="text1"/>
        </w:rPr>
        <w:t>.</w:t>
      </w:r>
      <w:r w:rsidR="000C543C" w:rsidRPr="004A5029">
        <w:rPr>
          <w:rFonts w:ascii="Times New Roman" w:hAnsi="Times New Roman" w:cs="Times New Roman"/>
          <w:b/>
          <w:bCs/>
          <w:color w:val="000000" w:themeColor="text1"/>
        </w:rPr>
        <w:t>;</w:t>
      </w:r>
    </w:p>
    <w:p w14:paraId="10BC0107" w14:textId="088B1A9C" w:rsidR="000C543C" w:rsidRPr="004A5029" w:rsidRDefault="000C543C" w:rsidP="00446F27">
      <w:pPr>
        <w:jc w:val="both"/>
        <w:rPr>
          <w:rFonts w:ascii="Times New Roman" w:hAnsi="Times New Roman" w:cs="Times New Roman"/>
          <w:color w:val="000000" w:themeColor="text1"/>
        </w:rPr>
      </w:pPr>
      <w:r w:rsidRPr="004A5029">
        <w:rPr>
          <w:rFonts w:ascii="Times New Roman" w:hAnsi="Times New Roman" w:cs="Times New Roman"/>
          <w:b/>
          <w:bCs/>
          <w:color w:val="000000" w:themeColor="text1"/>
        </w:rPr>
        <w:t>i) la compatibilità geologica e geomorfologica dell’opera.</w:t>
      </w:r>
    </w:p>
    <w:p w14:paraId="264AD155" w14:textId="1EA30F9F" w:rsidR="00446F27" w:rsidRPr="004A5029" w:rsidRDefault="00446F27" w:rsidP="00446F27">
      <w:pPr>
        <w:pStyle w:val="Paragrafoelenco"/>
        <w:ind w:left="0"/>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2. L’allegato I.7 definisce i contenuti dei due livelli di progettazione e stabilisce il contenuto minimo del quadro delle necessità e del documento di indirizzo della progettazione che le stazioni appaltanti e gli enti concedenti devono predisporre. In sede di prima applicazione del codice, l’allegato I.7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con decreto del Ministro delle infrastrutture e dei trasporti, sentito il Consiglio superiore dei lavori pubblici, che lo sostituisce integralmente anche in qualità di allegato al codice.</w:t>
      </w:r>
    </w:p>
    <w:p w14:paraId="710E2EF6" w14:textId="361B254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w:t>
      </w:r>
      <w:r w:rsidRPr="004A5029">
        <w:rPr>
          <w:rFonts w:ascii="Times New Roman" w:eastAsia="Times New Roman" w:hAnsi="Times New Roman" w:cs="Times New Roman"/>
          <w:color w:val="000000" w:themeColor="text1"/>
        </w:rPr>
        <w:t>L’allegato I.7 stabilisce altresì le prescrizioni per la redazione del documento di indirizzo della progettazione da parte del RUP della stazione appaltante o dell’ente concedente</w:t>
      </w:r>
      <w:r w:rsidRPr="004A5029">
        <w:rPr>
          <w:rFonts w:ascii="Times New Roman" w:hAnsi="Times New Roman" w:cs="Times New Roman"/>
          <w:color w:val="000000" w:themeColor="text1"/>
        </w:rPr>
        <w:t xml:space="preserve">. L’allegato </w:t>
      </w:r>
      <w:r w:rsidR="00493C15" w:rsidRPr="004A5029">
        <w:rPr>
          <w:rFonts w:ascii="Times New Roman" w:eastAsia="Times New Roman" w:hAnsi="Times New Roman" w:cs="Times New Roman"/>
          <w:b/>
          <w:bCs/>
          <w:color w:val="000000" w:themeColor="text1"/>
        </w:rPr>
        <w:t xml:space="preserve">I.7 </w:t>
      </w:r>
      <w:r w:rsidRPr="004A5029">
        <w:rPr>
          <w:rFonts w:ascii="Times New Roman" w:hAnsi="Times New Roman" w:cs="Times New Roman"/>
          <w:color w:val="000000" w:themeColor="text1"/>
        </w:rPr>
        <w:t>indica anche i requisiti delle prestazioni che devono essere contenuti nel progetto di fattibilità tecnico-economica. In caso di adozione di metodi e strumenti di gestione informativa digitale delle costruzioni, il documento di indirizzo della progettazione contiene anche il capitolato informativo.</w:t>
      </w:r>
    </w:p>
    <w:p w14:paraId="15D4F197" w14:textId="73114A46"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La verifica preventiva dell'interesse archeologico nei casi di cui all'articolo 28, comma 4, del codice dei beni culturali e del paesaggio</w:t>
      </w:r>
      <w:r w:rsidR="0030786B" w:rsidRPr="004A5029">
        <w:rPr>
          <w:rFonts w:ascii="Times New Roman" w:eastAsia="Calibri" w:hAnsi="Times New Roman" w:cs="Times New Roman"/>
          <w:b/>
          <w:bCs/>
          <w:color w:val="000000" w:themeColor="text1"/>
        </w:rPr>
        <w:t>,</w:t>
      </w:r>
      <w:r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color w:val="000000" w:themeColor="text1"/>
        </w:rPr>
        <w:t xml:space="preserve">di cui al decreto legislativo 22 gennaio 2004, n. 42 e ai sensi della Convenzione europea per la </w:t>
      </w:r>
      <w:r w:rsidRPr="004A5029">
        <w:rPr>
          <w:rFonts w:ascii="Times New Roman" w:eastAsia="Calibri" w:hAnsi="Times New Roman" w:cs="Times New Roman"/>
          <w:b/>
          <w:bCs/>
          <w:strike/>
          <w:color w:val="000000" w:themeColor="text1"/>
        </w:rPr>
        <w:t>tutela</w:t>
      </w:r>
      <w:r w:rsidRPr="004A5029">
        <w:rPr>
          <w:rFonts w:ascii="Times New Roman" w:eastAsia="Calibri" w:hAnsi="Times New Roman" w:cs="Times New Roman"/>
          <w:b/>
          <w:bCs/>
          <w:color w:val="000000" w:themeColor="text1"/>
        </w:rPr>
        <w:t xml:space="preserve"> </w:t>
      </w:r>
      <w:r w:rsidR="00B84887" w:rsidRPr="004A5029">
        <w:rPr>
          <w:rFonts w:ascii="Times New Roman" w:eastAsia="Calibri" w:hAnsi="Times New Roman" w:cs="Times New Roman"/>
          <w:b/>
          <w:bCs/>
          <w:color w:val="000000" w:themeColor="text1"/>
        </w:rPr>
        <w:t>protezione</w:t>
      </w:r>
      <w:r w:rsidR="00B84887"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color w:val="000000" w:themeColor="text1"/>
        </w:rPr>
        <w:t xml:space="preserve">del patrimonio archeologico, firmata alla Valletta il 16 gennaio 1992 e ratificata </w:t>
      </w:r>
      <w:r w:rsidRPr="004A5029">
        <w:rPr>
          <w:rFonts w:ascii="Times New Roman" w:eastAsia="Calibri" w:hAnsi="Times New Roman" w:cs="Times New Roman"/>
          <w:b/>
          <w:bCs/>
          <w:strike/>
          <w:color w:val="000000" w:themeColor="text1"/>
        </w:rPr>
        <w:t>con la</w:t>
      </w:r>
      <w:r w:rsidRPr="004A5029">
        <w:rPr>
          <w:rFonts w:ascii="Times New Roman" w:eastAsia="Calibri" w:hAnsi="Times New Roman" w:cs="Times New Roman"/>
          <w:b/>
          <w:bCs/>
          <w:color w:val="000000" w:themeColor="text1"/>
        </w:rPr>
        <w:t xml:space="preserve"> </w:t>
      </w:r>
      <w:r w:rsidR="00B84887" w:rsidRPr="004A5029">
        <w:rPr>
          <w:rFonts w:ascii="Times New Roman" w:eastAsia="Calibri" w:hAnsi="Times New Roman" w:cs="Times New Roman"/>
          <w:b/>
          <w:bCs/>
          <w:color w:val="000000" w:themeColor="text1"/>
        </w:rPr>
        <w:t>ai sensi della</w:t>
      </w:r>
      <w:r w:rsidR="00B84887"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color w:val="000000" w:themeColor="text1"/>
        </w:rPr>
        <w:t xml:space="preserve">legge 29 aprile 2015, n. 57, si svolge con le modalità procedurali di cui all’allegato I.8. In sede di prima applicazione del codice, l’allegato I.8 è abrogato a decorrere dalla data di entrata in vigore di un corrispondente regolamento </w:t>
      </w:r>
      <w:r w:rsidR="00364325" w:rsidRPr="004A5029">
        <w:rPr>
          <w:rFonts w:ascii="Times New Roman" w:eastAsia="Calibri" w:hAnsi="Times New Roman" w:cs="Times New Roman"/>
          <w:color w:val="000000" w:themeColor="text1"/>
        </w:rPr>
        <w:t>adottato</w:t>
      </w:r>
      <w:r w:rsidRPr="004A5029">
        <w:rPr>
          <w:rFonts w:ascii="Times New Roman" w:eastAsia="Calibri" w:hAnsi="Times New Roman" w:cs="Times New Roman"/>
          <w:color w:val="000000" w:themeColor="text1"/>
        </w:rPr>
        <w:t xml:space="preserve"> ai sensi dell’articolo 17, comma 3, della legge 23 agosto 1988, n. 400, con decreto del Ministro delle infrastrutture e dei trasporti, di concerto con il Ministro della cultura, sentito il Consiglio superiore dei lavori pubblici, che lo sostituisce integralmente anche in qualità di allegato al codice. Le </w:t>
      </w:r>
      <w:r w:rsidR="00556B29" w:rsidRPr="004A5029">
        <w:rPr>
          <w:rFonts w:ascii="Times New Roman" w:eastAsia="Calibri" w:hAnsi="Times New Roman" w:cs="Times New Roman"/>
          <w:color w:val="000000" w:themeColor="text1"/>
        </w:rPr>
        <w:t>r</w:t>
      </w:r>
      <w:r w:rsidRPr="004A5029">
        <w:rPr>
          <w:rFonts w:ascii="Times New Roman" w:eastAsia="Calibri" w:hAnsi="Times New Roman" w:cs="Times New Roman"/>
          <w:color w:val="000000" w:themeColor="text1"/>
        </w:rPr>
        <w:t xml:space="preserve">egioni a statuto speciale e le </w:t>
      </w:r>
      <w:r w:rsidRPr="004A5029">
        <w:rPr>
          <w:rFonts w:ascii="Times New Roman" w:eastAsia="Calibri" w:hAnsi="Times New Roman" w:cs="Times New Roman"/>
          <w:b/>
          <w:bCs/>
          <w:strike/>
          <w:color w:val="000000" w:themeColor="text1"/>
        </w:rPr>
        <w:t>P</w:t>
      </w:r>
      <w:r w:rsidR="004520DA" w:rsidRPr="004A5029">
        <w:rPr>
          <w:rFonts w:ascii="Times New Roman" w:eastAsia="Calibri" w:hAnsi="Times New Roman" w:cs="Times New Roman"/>
          <w:b/>
          <w:bCs/>
          <w:color w:val="000000" w:themeColor="text1"/>
        </w:rPr>
        <w:t>p</w:t>
      </w:r>
      <w:r w:rsidRPr="004A5029">
        <w:rPr>
          <w:rFonts w:ascii="Times New Roman" w:eastAsia="Calibri" w:hAnsi="Times New Roman" w:cs="Times New Roman"/>
          <w:color w:val="000000" w:themeColor="text1"/>
        </w:rPr>
        <w:t xml:space="preserve">rovince autonome di Trento e </w:t>
      </w:r>
      <w:r w:rsidR="00556B29" w:rsidRPr="004A5029">
        <w:rPr>
          <w:rFonts w:ascii="Times New Roman" w:eastAsia="Calibri" w:hAnsi="Times New Roman" w:cs="Times New Roman"/>
          <w:color w:val="000000" w:themeColor="text1"/>
        </w:rPr>
        <w:t xml:space="preserve">di </w:t>
      </w:r>
      <w:r w:rsidRPr="004A5029">
        <w:rPr>
          <w:rFonts w:ascii="Times New Roman" w:eastAsia="Calibri" w:hAnsi="Times New Roman" w:cs="Times New Roman"/>
          <w:color w:val="000000" w:themeColor="text1"/>
        </w:rPr>
        <w:t>Bolzano disciplinano la procedura di verifica preventiva dell'interesse archeologico per le opere di loro competenza sulla base di quanto disposto dal predetto allegato.</w:t>
      </w:r>
    </w:p>
    <w:p w14:paraId="16DEED5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 stazione appaltante o l’ente concedente, in funzione della specifica tipologia e dimensione dell’intervento, indica le caratteristiche, i requisiti e gli elaborati progettuali necessari per la definizione di ogni fase della relativa progettazione. Per gli interventi di manutenzione ordinaria o straordinaria può essere omesso il primo livello di progettazione a condizione che il progetto esecutivo contenga tutti gli elementi previsti per il livello omesso.</w:t>
      </w:r>
    </w:p>
    <w:p w14:paraId="200EA7D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Il progetto di fattibilità tecnico-economica:</w:t>
      </w:r>
    </w:p>
    <w:p w14:paraId="1D22537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individua, tra più soluzioni possibili, quella che esprime il rapporto migliore tra costi e benefici per la collettività in relazione alle specifiche esigenze da soddisfare e alle prestazioni da fornire;</w:t>
      </w:r>
    </w:p>
    <w:p w14:paraId="54DE4F1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contiene i necessari richiami all’eventuale uso di metodi e strumenti di gestione informativa digitale delle costruzioni;</w:t>
      </w:r>
    </w:p>
    <w:p w14:paraId="29C1EC43" w14:textId="1BA5C7F6" w:rsidR="005A620C" w:rsidRPr="004A5029" w:rsidRDefault="00446F27" w:rsidP="00446F27">
      <w:pPr>
        <w:jc w:val="both"/>
        <w:rPr>
          <w:rFonts w:ascii="Calibri" w:eastAsia="Calibri" w:hAnsi="Calibri" w:cs="Calibri"/>
          <w:b/>
          <w:bCs/>
          <w:color w:val="000000" w:themeColor="text1"/>
          <w:sz w:val="20"/>
          <w:szCs w:val="20"/>
        </w:rPr>
      </w:pPr>
      <w:r w:rsidRPr="004A5029">
        <w:rPr>
          <w:rFonts w:ascii="Times New Roman" w:hAnsi="Times New Roman" w:cs="Times New Roman"/>
          <w:color w:val="000000" w:themeColor="text1"/>
        </w:rPr>
        <w:t>c) sviluppa, nel rispetto del quadro delle necessità, tutte le indagini e gli studi necessari per la definizione degli aspetti di cui al comma</w:t>
      </w:r>
      <w:r w:rsidR="00631AF1" w:rsidRPr="004A5029">
        <w:rPr>
          <w:rFonts w:ascii="Times New Roman" w:hAnsi="Times New Roman" w:cs="Times New Roman"/>
          <w:color w:val="000000" w:themeColor="text1"/>
        </w:rPr>
        <w:t>;</w:t>
      </w:r>
    </w:p>
    <w:p w14:paraId="79B9D855" w14:textId="5AD6378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individua</w:t>
      </w:r>
      <w:r w:rsidR="00631AF1"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le caratteristiche dimensionali, tipologiche, funzionali e tecnologiche dei lavori da realizzare, compresa la scelta in merito alla possibile suddivisione in lotti funzionali;</w:t>
      </w:r>
    </w:p>
    <w:p w14:paraId="4B061BA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consente, ove necessario, l’avvio della procedura espropriativa;</w:t>
      </w:r>
    </w:p>
    <w:p w14:paraId="593CFB07" w14:textId="77777777" w:rsidR="00446F27" w:rsidRPr="004A5029" w:rsidDel="009E1E17" w:rsidRDefault="00446F27" w:rsidP="00446F27">
      <w:pPr>
        <w:jc w:val="both"/>
        <w:rPr>
          <w:rStyle w:val="Rimandonotaapidipagina"/>
          <w:rFonts w:ascii="Times New Roman" w:hAnsi="Times New Roman" w:cs="Times New Roman"/>
          <w:b/>
          <w:bCs/>
          <w:color w:val="000000" w:themeColor="text1"/>
          <w:highlight w:val="yellow"/>
        </w:rPr>
      </w:pPr>
      <w:r w:rsidRPr="004A5029">
        <w:rPr>
          <w:rFonts w:ascii="Times New Roman" w:hAnsi="Times New Roman" w:cs="Times New Roman"/>
          <w:color w:val="000000" w:themeColor="text1"/>
        </w:rPr>
        <w:t>f) contiene tutti gli elementi necessari per il rilascio delle autorizzazioni e approvazioni prescritte;</w:t>
      </w:r>
    </w:p>
    <w:p w14:paraId="0A4CCED3" w14:textId="77777777" w:rsidR="00446F27" w:rsidRPr="004A5029" w:rsidDel="009E1E17" w:rsidRDefault="00446F27" w:rsidP="00446F27">
      <w:pPr>
        <w:jc w:val="both"/>
        <w:rPr>
          <w:rStyle w:val="Rimandonotaapidipagina"/>
          <w:rFonts w:ascii="Times New Roman" w:hAnsi="Times New Roman" w:cs="Times New Roman"/>
          <w:b/>
          <w:bCs/>
          <w:color w:val="000000" w:themeColor="text1"/>
          <w:highlight w:val="yellow"/>
        </w:rPr>
      </w:pPr>
      <w:r w:rsidRPr="004A5029">
        <w:rPr>
          <w:rFonts w:ascii="Times New Roman" w:hAnsi="Times New Roman" w:cs="Times New Roman"/>
          <w:color w:val="000000" w:themeColor="text1"/>
        </w:rPr>
        <w:t>g) contiene il piano preliminare di manutenzione dell’opera e delle sue parti.</w:t>
      </w:r>
    </w:p>
    <w:p w14:paraId="020CEC9F" w14:textId="1C453B4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Per le opere proposte in variante urbanistica di cui all'articolo 19 del </w:t>
      </w:r>
      <w:r w:rsidR="001B5CEA" w:rsidRPr="004A5029">
        <w:rPr>
          <w:rFonts w:ascii="Times New Roman" w:hAnsi="Times New Roman" w:cs="Times New Roman"/>
          <w:b/>
          <w:bCs/>
          <w:color w:val="000000" w:themeColor="text1"/>
        </w:rPr>
        <w:t>testo unico delle disposizioni legislative e regolamentari in materia di espropriazione per pubblica utilità</w:t>
      </w:r>
      <w:r w:rsidR="001006C5" w:rsidRPr="004A5029">
        <w:rPr>
          <w:rFonts w:ascii="Times New Roman" w:hAnsi="Times New Roman" w:cs="Times New Roman"/>
          <w:b/>
          <w:bCs/>
          <w:color w:val="000000" w:themeColor="text1"/>
        </w:rPr>
        <w:t>,</w:t>
      </w:r>
      <w:r w:rsidR="001B5CEA" w:rsidRPr="004A5029">
        <w:rPr>
          <w:rFonts w:ascii="Times New Roman" w:hAnsi="Times New Roman" w:cs="Times New Roman"/>
          <w:b/>
          <w:bCs/>
          <w:color w:val="000000" w:themeColor="text1"/>
        </w:rPr>
        <w:t xml:space="preserve"> di cui al</w:t>
      </w:r>
      <w:r w:rsidR="001B5CEA"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decreto del Presidente della Repubblica 8 giugno 2001, n. 327, il progetto di fattibilità tecnico-economica sostituisce il progetto preliminare e quello definitivo.</w:t>
      </w:r>
    </w:p>
    <w:p w14:paraId="6514D38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Il progetto esecutivo, in coerenza con il progetto di fattibilità tecnico-economica:</w:t>
      </w:r>
    </w:p>
    <w:p w14:paraId="76C219E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sviluppa un livello di definizione degli elementi tale da individuarne compiutamente la funzione, i requisiti, la qualità e il prezzo di elenco;</w:t>
      </w:r>
    </w:p>
    <w:p w14:paraId="1A84908C" w14:textId="2854252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è corredato </w:t>
      </w:r>
      <w:r w:rsidRPr="004A5029">
        <w:rPr>
          <w:rFonts w:ascii="Times New Roman" w:hAnsi="Times New Roman" w:cs="Times New Roman"/>
          <w:b/>
          <w:bCs/>
          <w:strike/>
          <w:color w:val="000000" w:themeColor="text1"/>
        </w:rPr>
        <w:t>dal</w:t>
      </w:r>
      <w:r w:rsidR="00323744" w:rsidRPr="004A5029">
        <w:rPr>
          <w:rFonts w:ascii="Times New Roman" w:hAnsi="Times New Roman" w:cs="Times New Roman"/>
          <w:b/>
          <w:bCs/>
          <w:color w:val="000000" w:themeColor="text1"/>
        </w:rPr>
        <w:t xml:space="preserve"> </w:t>
      </w:r>
      <w:r w:rsidR="000A771E" w:rsidRPr="004A5029">
        <w:rPr>
          <w:rFonts w:ascii="Times New Roman" w:hAnsi="Times New Roman" w:cs="Times New Roman"/>
          <w:b/>
          <w:bCs/>
          <w:color w:val="000000" w:themeColor="text1"/>
        </w:rPr>
        <w:t xml:space="preserve">del </w:t>
      </w:r>
      <w:r w:rsidRPr="004A5029">
        <w:rPr>
          <w:rFonts w:ascii="Times New Roman" w:hAnsi="Times New Roman" w:cs="Times New Roman"/>
          <w:color w:val="000000" w:themeColor="text1"/>
        </w:rPr>
        <w:t>piano di manutenzione dell’opera per l’intero ciclo di vita e determina in dettaglio i lavori da realizzare, il loro costo e i loro tempi di realizzazione;</w:t>
      </w:r>
    </w:p>
    <w:p w14:paraId="430FB6E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se sono utilizzati metodi e strumenti di gestione informativa digitale delle costruzioni, sviluppa un livello di definizione degli oggetti rispondente a quanto specificato nel capitolato informativo a corredo del progetto;</w:t>
      </w:r>
    </w:p>
    <w:p w14:paraId="6C52A4F5"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d) di regola, è redatto dallo stesso soggetto che ha predisposto il progetto di fattibilità tecnico-economica. Nel caso in cui motivate ragioni giustifichino l’affidamento disgiunto, il nuovo progettista accetta senza riserve l’attività progettuale svolta in precedenza.</w:t>
      </w:r>
    </w:p>
    <w:p w14:paraId="7BE0B53E"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9. In caso di affidamento esterno di entrambi i livelli di progettazione, l’avvio della progettazione esecutiva è condizionato alla determinazione delle stazioni appaltanti e degli enti concedenti sul progetto di fattibilità tecnico-economica. In sede di verifica della coerenza tra le varie fasi della progettazione, si applica quanto previsto dall’articolo 42, comma 1.</w:t>
      </w:r>
    </w:p>
    <w:p w14:paraId="4E2B5E0C" w14:textId="5A879816"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10. Gli oneri della progettazione, delle indagini, delle ricerche e degli studi connessi, compresi quelli relativi al dibattito pubblico, nonché della direzione dei lavori, della vigilanza, dei collaudi, delle prove e dei controlli sui prodotti e materiali, della redazione dei piani di sicurezza e di coordinamento, delle prestazioni professionali e specialistiche, necessari per la redazione del progetto, gravano sulle disponibilità finanziarie della stazione appaltante o dell’ente concedente</w:t>
      </w:r>
      <w:r w:rsidR="007945E5" w:rsidRPr="004A5029">
        <w:rPr>
          <w:color w:val="000000" w:themeColor="text1"/>
        </w:rPr>
        <w:t xml:space="preserve"> </w:t>
      </w:r>
      <w:r w:rsidR="007945E5" w:rsidRPr="00E1106A">
        <w:rPr>
          <w:rFonts w:ascii="Times New Roman" w:hAnsi="Times New Roman" w:cs="Times New Roman"/>
          <w:b/>
          <w:bCs/>
          <w:color w:val="000000" w:themeColor="text1"/>
        </w:rPr>
        <w:t>e sono inclusi nel quadro economico dell’intervento</w:t>
      </w:r>
      <w:r w:rsidRPr="00E1106A">
        <w:rPr>
          <w:rFonts w:ascii="Times New Roman" w:hAnsi="Times New Roman" w:cs="Times New Roman"/>
          <w:color w:val="000000" w:themeColor="text1"/>
        </w:rPr>
        <w:t>.</w:t>
      </w:r>
    </w:p>
    <w:p w14:paraId="772F5CDC" w14:textId="77777777" w:rsidR="00446F27" w:rsidRPr="004A5029" w:rsidRDefault="00446F27" w:rsidP="00446F27">
      <w:pPr>
        <w:pStyle w:val="Nessunaspaziatura"/>
        <w:spacing w:after="160" w:line="259"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11. Le spese strumentali, dovute anche a sopralluoghi, riguardanti le attività di predisposizione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del Ministero dell’economia e delle finanze, trasferite all’Agenzia del demanio.</w:t>
      </w:r>
    </w:p>
    <w:p w14:paraId="716E7EF4" w14:textId="486C451D" w:rsidR="00446F27" w:rsidRPr="004A5029" w:rsidRDefault="00446F27" w:rsidP="00446F27">
      <w:pPr>
        <w:pStyle w:val="Nessunaspaziatura"/>
        <w:spacing w:after="160" w:line="259" w:lineRule="auto"/>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12. La progettazione di servizi e forniture è articolata in un unico livello ed è predisposta dalle stazioni appaltanti e dagli enti concedenti mediante propri dipendenti in servizio. L’allegato I.7 definisce i contenuti minimi del progetto.</w:t>
      </w:r>
    </w:p>
    <w:p w14:paraId="6838F15E" w14:textId="223CD2DB" w:rsidR="00446F27" w:rsidRPr="004A5029" w:rsidRDefault="00446F27" w:rsidP="00446F27">
      <w:pPr>
        <w:pStyle w:val="Nessunaspaziatura"/>
        <w:spacing w:after="160" w:line="259"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13. Per i contratti relativi a lavori, servizi e forniture, il costo del lavoro è determinato annualmente, in apposite tabelle, dal Ministero del lavoro e delle politiche sociali sulla base dei valori economici definiti dalla contrattazione collettiva nazionale tra le organizzazioni sindacali e le organizzazioni dei datori di lavoro comparativamente più rappresentative, delle norme in materia previdenziale ed assistenziale, dei diversi settori merceologici e delle differenti aree territoriali. In mancanza di contratto collettivo applicabile, il costo del lavoro è determinato in </w:t>
      </w:r>
      <w:r w:rsidRPr="004A5029">
        <w:rPr>
          <w:rFonts w:asciiTheme="majorBidi" w:hAnsiTheme="majorBidi" w:cstheme="majorBidi"/>
          <w:color w:val="000000" w:themeColor="text1"/>
        </w:rPr>
        <w:t xml:space="preserve">relazione al contratto collettivo del settore merceologico più affine a quello preso in considerazione. </w:t>
      </w:r>
      <w:bookmarkStart w:id="20" w:name="_Hlk129422189"/>
      <w:bookmarkStart w:id="21" w:name="_Hlk129422785"/>
      <w:r w:rsidRPr="004A5029">
        <w:rPr>
          <w:rFonts w:asciiTheme="majorBidi" w:hAnsiTheme="majorBidi" w:cstheme="majorBidi"/>
          <w:color w:val="000000" w:themeColor="text1"/>
        </w:rPr>
        <w:t xml:space="preserve">Per i contratti relativi a lavori, il costo dei prodotti, delle attrezzature e delle lavorazioni è determinato facendo riferimento ai </w:t>
      </w:r>
      <w:bookmarkStart w:id="22" w:name="_Hlk129422125"/>
      <w:bookmarkEnd w:id="20"/>
      <w:r w:rsidR="007210AE" w:rsidRPr="004A5029">
        <w:rPr>
          <w:rFonts w:asciiTheme="majorBidi" w:hAnsiTheme="majorBidi" w:cstheme="majorBidi"/>
          <w:color w:val="000000" w:themeColor="text1"/>
        </w:rPr>
        <w:t>prezzi</w:t>
      </w:r>
      <w:r w:rsidR="0000561E" w:rsidRPr="004A5029">
        <w:rPr>
          <w:rFonts w:asciiTheme="majorBidi" w:hAnsiTheme="majorBidi" w:cstheme="majorBidi"/>
          <w:color w:val="000000" w:themeColor="text1"/>
        </w:rPr>
        <w:t xml:space="preserve"> </w:t>
      </w:r>
      <w:r w:rsidRPr="004A5029">
        <w:rPr>
          <w:rFonts w:asciiTheme="majorBidi" w:hAnsiTheme="majorBidi" w:cstheme="majorBidi"/>
          <w:color w:val="000000" w:themeColor="text1"/>
        </w:rPr>
        <w:t>correnti alla data dell’approvazione del progetto riportati nei prezzari</w:t>
      </w:r>
      <w:r w:rsidRPr="004A5029">
        <w:rPr>
          <w:rFonts w:asciiTheme="majorBidi" w:hAnsiTheme="majorBidi" w:cstheme="majorBidi"/>
          <w:b/>
          <w:bCs/>
          <w:color w:val="000000" w:themeColor="text1"/>
        </w:rPr>
        <w:t xml:space="preserve"> </w:t>
      </w:r>
      <w:r w:rsidRPr="004A5029">
        <w:rPr>
          <w:rFonts w:asciiTheme="majorBidi" w:hAnsiTheme="majorBidi" w:cstheme="majorBidi"/>
          <w:color w:val="000000" w:themeColor="text1"/>
        </w:rPr>
        <w:t>predisposti</w:t>
      </w:r>
      <w:r w:rsidR="0000561E" w:rsidRPr="004A5029">
        <w:rPr>
          <w:rFonts w:asciiTheme="majorBidi" w:hAnsiTheme="majorBidi" w:cstheme="majorBidi"/>
          <w:color w:val="000000" w:themeColor="text1"/>
        </w:rPr>
        <w:t xml:space="preserve"> </w:t>
      </w:r>
      <w:r w:rsidRPr="004A5029">
        <w:rPr>
          <w:rFonts w:asciiTheme="majorBidi" w:hAnsiTheme="majorBidi" w:cstheme="majorBidi"/>
          <w:b/>
          <w:bCs/>
          <w:strike/>
          <w:color w:val="000000" w:themeColor="text1"/>
        </w:rPr>
        <w:t xml:space="preserve">annualmente </w:t>
      </w:r>
      <w:r w:rsidRPr="004A5029">
        <w:rPr>
          <w:rFonts w:asciiTheme="majorBidi" w:hAnsiTheme="majorBidi" w:cstheme="majorBidi"/>
          <w:color w:val="000000" w:themeColor="text1"/>
        </w:rPr>
        <w:t>dalle regioni e dalle province autonome</w:t>
      </w:r>
      <w:r w:rsidR="0000561E" w:rsidRPr="004A5029">
        <w:rPr>
          <w:rFonts w:asciiTheme="majorBidi" w:hAnsiTheme="majorBidi" w:cstheme="majorBidi"/>
          <w:b/>
          <w:bCs/>
          <w:color w:val="000000" w:themeColor="text1"/>
        </w:rPr>
        <w:t xml:space="preserve"> </w:t>
      </w:r>
      <w:r w:rsidRPr="004A5029">
        <w:rPr>
          <w:rFonts w:asciiTheme="majorBidi" w:hAnsiTheme="majorBidi" w:cstheme="majorBidi"/>
          <w:color w:val="000000" w:themeColor="text1"/>
        </w:rPr>
        <w:t>o adottati</w:t>
      </w:r>
      <w:r w:rsidRPr="004A5029">
        <w:rPr>
          <w:rFonts w:asciiTheme="majorBidi" w:hAnsiTheme="majorBidi" w:cstheme="majorBidi"/>
          <w:b/>
          <w:bCs/>
          <w:color w:val="000000" w:themeColor="text1"/>
        </w:rPr>
        <w:t xml:space="preserve">, </w:t>
      </w:r>
      <w:r w:rsidRPr="004A5029">
        <w:rPr>
          <w:rFonts w:asciiTheme="majorBidi" w:hAnsiTheme="majorBidi" w:cstheme="majorBidi"/>
          <w:b/>
          <w:bCs/>
          <w:strike/>
          <w:color w:val="000000" w:themeColor="text1"/>
        </w:rPr>
        <w:t>laddove necessario in base alla natura e all’oggetto dell’appalto,</w:t>
      </w:r>
      <w:r w:rsidR="007210AE" w:rsidRPr="004A5029">
        <w:rPr>
          <w:rFonts w:asciiTheme="majorBidi" w:hAnsiTheme="majorBidi" w:cstheme="majorBidi"/>
          <w:color w:val="000000" w:themeColor="text1"/>
        </w:rPr>
        <w:t xml:space="preserve"> </w:t>
      </w:r>
      <w:r w:rsidRPr="004A5029">
        <w:rPr>
          <w:rFonts w:asciiTheme="majorBidi" w:hAnsiTheme="majorBidi" w:cstheme="majorBidi"/>
          <w:color w:val="000000" w:themeColor="text1"/>
        </w:rPr>
        <w:t xml:space="preserve"> dalle stazioni appaltanti e dagli enti concedenti</w:t>
      </w:r>
      <w:r w:rsidR="007210AE" w:rsidRPr="004A5029">
        <w:rPr>
          <w:rFonts w:asciiTheme="majorBidi" w:hAnsiTheme="majorBidi" w:cstheme="majorBidi"/>
          <w:b/>
          <w:bCs/>
          <w:color w:val="000000" w:themeColor="text1"/>
          <w:sz w:val="20"/>
          <w:szCs w:val="20"/>
        </w:rPr>
        <w:t xml:space="preserve"> </w:t>
      </w:r>
      <w:r w:rsidR="0000561E" w:rsidRPr="004A5029">
        <w:rPr>
          <w:rFonts w:asciiTheme="majorBidi" w:hAnsiTheme="majorBidi" w:cstheme="majorBidi"/>
          <w:b/>
          <w:bCs/>
          <w:color w:val="000000" w:themeColor="text1"/>
        </w:rPr>
        <w:t>che</w:t>
      </w:r>
      <w:r w:rsidR="008F3085" w:rsidRPr="004A5029">
        <w:rPr>
          <w:rFonts w:asciiTheme="majorBidi" w:hAnsiTheme="majorBidi" w:cstheme="majorBidi"/>
          <w:b/>
          <w:bCs/>
          <w:color w:val="000000" w:themeColor="text1"/>
        </w:rPr>
        <w:t>,</w:t>
      </w:r>
      <w:r w:rsidR="008B2E65" w:rsidRPr="004A5029">
        <w:rPr>
          <w:rFonts w:asciiTheme="majorBidi" w:hAnsiTheme="majorBidi" w:cstheme="majorBidi"/>
          <w:b/>
          <w:bCs/>
          <w:color w:val="000000" w:themeColor="text1"/>
        </w:rPr>
        <w:t xml:space="preserve"> </w:t>
      </w:r>
      <w:r w:rsidR="008F3085" w:rsidRPr="004A5029">
        <w:rPr>
          <w:rFonts w:asciiTheme="majorBidi" w:hAnsiTheme="majorBidi" w:cstheme="majorBidi"/>
          <w:b/>
          <w:bCs/>
          <w:color w:val="000000" w:themeColor="text1"/>
        </w:rPr>
        <w:t xml:space="preserve">in base alla natura e all’oggetto dell’appalto, </w:t>
      </w:r>
      <w:r w:rsidR="008C2CAF" w:rsidRPr="004A5029">
        <w:rPr>
          <w:rFonts w:asciiTheme="majorBidi" w:hAnsiTheme="majorBidi" w:cstheme="majorBidi"/>
          <w:b/>
          <w:bCs/>
          <w:color w:val="000000" w:themeColor="text1"/>
        </w:rPr>
        <w:t xml:space="preserve">sono autorizzati a non applicare quelli regionali. </w:t>
      </w:r>
      <w:bookmarkEnd w:id="21"/>
      <w:bookmarkEnd w:id="22"/>
      <w:r w:rsidR="007210AE" w:rsidRPr="004A5029">
        <w:rPr>
          <w:rFonts w:asciiTheme="majorBidi" w:hAnsiTheme="majorBidi" w:cstheme="majorBidi"/>
          <w:b/>
          <w:bCs/>
          <w:color w:val="000000" w:themeColor="text1"/>
        </w:rPr>
        <w:t>I criteri di formazione ed aggiornamento dei prezzari regionali sono definiti nell’</w:t>
      </w:r>
      <w:r w:rsidR="002F7587" w:rsidRPr="004A5029">
        <w:rPr>
          <w:rFonts w:asciiTheme="majorBidi" w:hAnsiTheme="majorBidi" w:cstheme="majorBidi"/>
          <w:b/>
          <w:bCs/>
          <w:color w:val="000000" w:themeColor="text1"/>
        </w:rPr>
        <w:t>a</w:t>
      </w:r>
      <w:r w:rsidR="007210AE" w:rsidRPr="004A5029">
        <w:rPr>
          <w:rFonts w:asciiTheme="majorBidi" w:hAnsiTheme="majorBidi" w:cstheme="majorBidi"/>
          <w:b/>
          <w:bCs/>
          <w:color w:val="000000" w:themeColor="text1"/>
        </w:rPr>
        <w:t xml:space="preserve">llegato I.14. </w:t>
      </w:r>
      <w:r w:rsidR="007210AE" w:rsidRPr="00BD54D8">
        <w:rPr>
          <w:rFonts w:asciiTheme="majorBidi" w:hAnsiTheme="majorBidi" w:cstheme="majorBidi"/>
          <w:b/>
          <w:bCs/>
          <w:color w:val="000000" w:themeColor="text1"/>
        </w:rPr>
        <w:t>In sede di prima applicazione</w:t>
      </w:r>
      <w:r w:rsidR="00D30DC0" w:rsidRPr="00BD54D8">
        <w:rPr>
          <w:rFonts w:asciiTheme="majorBidi" w:hAnsiTheme="majorBidi" w:cstheme="majorBidi"/>
          <w:b/>
          <w:bCs/>
          <w:color w:val="000000" w:themeColor="text1"/>
        </w:rPr>
        <w:t xml:space="preserve"> del presente codice</w:t>
      </w:r>
      <w:r w:rsidR="007210AE" w:rsidRPr="00BD54D8">
        <w:rPr>
          <w:rFonts w:asciiTheme="majorBidi" w:hAnsiTheme="majorBidi" w:cstheme="majorBidi"/>
          <w:b/>
          <w:bCs/>
          <w:color w:val="000000" w:themeColor="text1"/>
        </w:rPr>
        <w:t>, l’</w:t>
      </w:r>
      <w:r w:rsidR="002F7587" w:rsidRPr="00BD54D8">
        <w:rPr>
          <w:rFonts w:asciiTheme="majorBidi" w:hAnsiTheme="majorBidi" w:cstheme="majorBidi"/>
          <w:b/>
          <w:bCs/>
          <w:color w:val="000000" w:themeColor="text1"/>
        </w:rPr>
        <w:t>a</w:t>
      </w:r>
      <w:r w:rsidR="007210AE" w:rsidRPr="00BD54D8">
        <w:rPr>
          <w:rFonts w:asciiTheme="majorBidi" w:hAnsiTheme="majorBidi" w:cstheme="majorBidi"/>
          <w:b/>
          <w:bCs/>
          <w:color w:val="000000" w:themeColor="text1"/>
        </w:rPr>
        <w:t>llegato I.14 è</w:t>
      </w:r>
      <w:r w:rsidR="0000561E" w:rsidRPr="00BD54D8">
        <w:rPr>
          <w:rFonts w:asciiTheme="majorBidi" w:hAnsiTheme="majorBidi" w:cstheme="majorBidi"/>
          <w:b/>
          <w:bCs/>
          <w:color w:val="000000" w:themeColor="text1"/>
        </w:rPr>
        <w:t xml:space="preserve"> </w:t>
      </w:r>
      <w:r w:rsidR="00D30DC0" w:rsidRPr="00BD54D8">
        <w:rPr>
          <w:rFonts w:asciiTheme="majorBidi" w:hAnsiTheme="majorBidi" w:cstheme="majorBidi"/>
          <w:b/>
          <w:bCs/>
          <w:color w:val="000000" w:themeColor="text1"/>
        </w:rPr>
        <w:t xml:space="preserve">abrogato a decorrere dalla data di entrata in vigore </w:t>
      </w:r>
      <w:r w:rsidR="00600691" w:rsidRPr="00BD54D8">
        <w:rPr>
          <w:rFonts w:asciiTheme="majorBidi" w:hAnsiTheme="majorBidi" w:cstheme="majorBidi"/>
          <w:b/>
          <w:bCs/>
          <w:color w:val="000000" w:themeColor="text1"/>
        </w:rPr>
        <w:t xml:space="preserve">di un corrispondente regolamento adottato ai sensi dell’articolo 17, comma 3, della legge 23 agosto 1988, n. 400, </w:t>
      </w:r>
      <w:r w:rsidR="007210AE" w:rsidRPr="00BD54D8">
        <w:rPr>
          <w:rFonts w:asciiTheme="majorBidi" w:hAnsiTheme="majorBidi" w:cstheme="majorBidi"/>
          <w:b/>
          <w:bCs/>
          <w:color w:val="000000" w:themeColor="text1"/>
        </w:rPr>
        <w:t>con decreto del Ministro delle infrastrutture e dei trasporti, previo parere del Consiglio superiore dei lavori pubblici e dell’Istituto nazionale di statistica</w:t>
      </w:r>
      <w:r w:rsidR="00796E46" w:rsidRPr="00BD54D8">
        <w:rPr>
          <w:rFonts w:asciiTheme="majorBidi" w:hAnsiTheme="majorBidi" w:cstheme="majorBidi"/>
          <w:b/>
          <w:bCs/>
          <w:color w:val="000000" w:themeColor="text1"/>
        </w:rPr>
        <w:t xml:space="preserve"> (ISTAT)</w:t>
      </w:r>
      <w:r w:rsidR="007210AE" w:rsidRPr="00BD54D8">
        <w:rPr>
          <w:rFonts w:asciiTheme="majorBidi" w:hAnsiTheme="majorBidi" w:cstheme="majorBidi"/>
          <w:b/>
          <w:bCs/>
          <w:color w:val="000000" w:themeColor="text1"/>
        </w:rPr>
        <w:t xml:space="preserve">, nonché previa intesa in sede di Conferenza permanente per i rapporti fra lo Stato, le </w:t>
      </w:r>
      <w:r w:rsidR="002F7587" w:rsidRPr="00BD54D8">
        <w:rPr>
          <w:rFonts w:asciiTheme="majorBidi" w:hAnsiTheme="majorBidi" w:cstheme="majorBidi"/>
          <w:b/>
          <w:bCs/>
          <w:color w:val="000000" w:themeColor="text1"/>
        </w:rPr>
        <w:t>r</w:t>
      </w:r>
      <w:r w:rsidR="007210AE" w:rsidRPr="00BD54D8">
        <w:rPr>
          <w:rFonts w:asciiTheme="majorBidi" w:hAnsiTheme="majorBidi" w:cstheme="majorBidi"/>
          <w:b/>
          <w:bCs/>
          <w:color w:val="000000" w:themeColor="text1"/>
        </w:rPr>
        <w:t xml:space="preserve">egioni e le </w:t>
      </w:r>
      <w:r w:rsidR="002F7587" w:rsidRPr="00BD54D8">
        <w:rPr>
          <w:rFonts w:asciiTheme="majorBidi" w:hAnsiTheme="majorBidi" w:cstheme="majorBidi"/>
          <w:b/>
          <w:bCs/>
          <w:color w:val="000000" w:themeColor="text1"/>
        </w:rPr>
        <w:t>p</w:t>
      </w:r>
      <w:r w:rsidR="007210AE" w:rsidRPr="00BD54D8">
        <w:rPr>
          <w:rFonts w:asciiTheme="majorBidi" w:hAnsiTheme="majorBidi" w:cstheme="majorBidi"/>
          <w:b/>
          <w:bCs/>
          <w:color w:val="000000" w:themeColor="text1"/>
        </w:rPr>
        <w:t xml:space="preserve">rovince autonome di Trento e </w:t>
      </w:r>
      <w:r w:rsidR="002F7587" w:rsidRPr="00BD54D8">
        <w:rPr>
          <w:rFonts w:asciiTheme="majorBidi" w:hAnsiTheme="majorBidi" w:cstheme="majorBidi"/>
          <w:b/>
          <w:bCs/>
          <w:color w:val="000000" w:themeColor="text1"/>
        </w:rPr>
        <w:t xml:space="preserve">di </w:t>
      </w:r>
      <w:r w:rsidR="007210AE" w:rsidRPr="00BD54D8">
        <w:rPr>
          <w:rFonts w:asciiTheme="majorBidi" w:hAnsiTheme="majorBidi" w:cstheme="majorBidi"/>
          <w:b/>
          <w:bCs/>
          <w:color w:val="000000" w:themeColor="text1"/>
        </w:rPr>
        <w:t>Bolzano</w:t>
      </w:r>
      <w:r w:rsidR="00C760D0" w:rsidRPr="00BD54D8">
        <w:rPr>
          <w:rFonts w:asciiTheme="majorBidi" w:hAnsiTheme="majorBidi" w:cstheme="majorBidi"/>
          <w:b/>
          <w:bCs/>
          <w:color w:val="000000" w:themeColor="text1"/>
        </w:rPr>
        <w:t xml:space="preserve">, </w:t>
      </w:r>
      <w:r w:rsidR="00D30DC0" w:rsidRPr="00BD54D8">
        <w:rPr>
          <w:rFonts w:asciiTheme="majorBidi" w:hAnsiTheme="majorBidi" w:cstheme="majorBidi"/>
          <w:b/>
          <w:bCs/>
          <w:color w:val="000000" w:themeColor="text1"/>
        </w:rPr>
        <w:t>che lo sostituisce integralmente anche in qualità di allegato al codice</w:t>
      </w:r>
      <w:r w:rsidR="00D30DC0" w:rsidRPr="00BD54D8">
        <w:t>.</w:t>
      </w:r>
      <w:r w:rsidR="00D30DC0">
        <w:t xml:space="preserve"> </w:t>
      </w:r>
      <w:r w:rsidRPr="004A5029">
        <w:rPr>
          <w:rFonts w:ascii="Times New Roman" w:hAnsi="Times New Roman" w:cs="Times New Roman"/>
          <w:color w:val="000000" w:themeColor="text1"/>
        </w:rPr>
        <w:t>In mancanza di prezzari aggiornati, il costo è determinato facendo riferimento ai listini ufficiali o ai listini delle locali camere di commercio, industria, artigianato e agricoltura oppure, in difetto, ai prezzi correnti di mercato in base al luogo di effettuazione degli interventi.</w:t>
      </w:r>
    </w:p>
    <w:p w14:paraId="7EEE8E73" w14:textId="1FF5EF10" w:rsidR="00446F27" w:rsidRPr="004A5029" w:rsidRDefault="00446F27" w:rsidP="00446F27">
      <w:pPr>
        <w:pStyle w:val="Nessunaspaziatura"/>
        <w:spacing w:after="160" w:line="259" w:lineRule="auto"/>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14. Nei contratti di lavori e servizi, per determinare l'importo posto a base di gara, la stazione appaltante o l’ente concedente individua nei documenti di gara i costi della manodopera secondo quanto previsto </w:t>
      </w:r>
      <w:r w:rsidR="00556B29" w:rsidRPr="004A5029">
        <w:rPr>
          <w:rFonts w:ascii="Times New Roman" w:hAnsi="Times New Roman" w:cs="Times New Roman"/>
          <w:color w:val="000000" w:themeColor="text1"/>
        </w:rPr>
        <w:t>da</w:t>
      </w:r>
      <w:r w:rsidRPr="004A5029">
        <w:rPr>
          <w:rFonts w:ascii="Times New Roman" w:hAnsi="Times New Roman" w:cs="Times New Roman"/>
          <w:color w:val="000000" w:themeColor="text1"/>
        </w:rPr>
        <w:t>l comma 13. I costi della manodopera e della sicurezza sono scorporati dall’importo assoggettato al ribasso. Resta ferma la possibilità per l’operatore economico di dimostrare che il ribasso complessivo dell’importo deriva da una più efficiente organizzazione aziendale.</w:t>
      </w:r>
    </w:p>
    <w:p w14:paraId="298A90E6" w14:textId="23E1BF2A" w:rsidR="005A620C" w:rsidRPr="004A5029" w:rsidRDefault="005A620C" w:rsidP="005A620C">
      <w:pPr>
        <w:jc w:val="both"/>
        <w:rPr>
          <w:rFonts w:ascii="Times New Roman" w:eastAsia="Calibri" w:hAnsi="Times New Roman" w:cs="Times New Roman"/>
          <w:b/>
          <w:bCs/>
          <w:color w:val="000000" w:themeColor="text1"/>
          <w:lang w:eastAsia="it-IT"/>
        </w:rPr>
      </w:pPr>
      <w:r w:rsidRPr="004A5029">
        <w:rPr>
          <w:rFonts w:ascii="Times New Roman" w:eastAsia="Calibri" w:hAnsi="Times New Roman" w:cs="Times New Roman"/>
          <w:b/>
          <w:bCs/>
          <w:color w:val="000000" w:themeColor="text1"/>
          <w:lang w:eastAsia="it-IT"/>
        </w:rPr>
        <w:t xml:space="preserve">15. Nell’allegato I.13 sono </w:t>
      </w:r>
      <w:r w:rsidRPr="004A5029">
        <w:rPr>
          <w:rFonts w:ascii="Times New Roman" w:eastAsia="Calibri" w:hAnsi="Times New Roman" w:cs="Times New Roman"/>
          <w:b/>
          <w:bCs/>
          <w:strike/>
          <w:color w:val="000000" w:themeColor="text1"/>
          <w:lang w:eastAsia="it-IT"/>
        </w:rPr>
        <w:t>determinate</w:t>
      </w:r>
      <w:r w:rsidRPr="004A5029">
        <w:rPr>
          <w:rFonts w:ascii="Times New Roman" w:eastAsia="Calibri" w:hAnsi="Times New Roman" w:cs="Times New Roman"/>
          <w:b/>
          <w:bCs/>
          <w:color w:val="000000" w:themeColor="text1"/>
          <w:lang w:eastAsia="it-IT"/>
        </w:rPr>
        <w:t xml:space="preserve"> </w:t>
      </w:r>
      <w:r w:rsidR="002F7587" w:rsidRPr="004A5029">
        <w:rPr>
          <w:rFonts w:ascii="Times New Roman" w:eastAsia="Calibri" w:hAnsi="Times New Roman" w:cs="Times New Roman"/>
          <w:b/>
          <w:bCs/>
          <w:color w:val="000000" w:themeColor="text1"/>
          <w:lang w:eastAsia="it-IT"/>
        </w:rPr>
        <w:t xml:space="preserve">stabilite </w:t>
      </w:r>
      <w:r w:rsidRPr="004A5029">
        <w:rPr>
          <w:rFonts w:ascii="Times New Roman" w:eastAsia="Calibri" w:hAnsi="Times New Roman" w:cs="Times New Roman"/>
          <w:b/>
          <w:bCs/>
          <w:color w:val="000000" w:themeColor="text1"/>
          <w:lang w:eastAsia="it-IT"/>
        </w:rPr>
        <w:t>le modalità di determinazione dei corrispettivi per le fasi progettuali da porre a base degli affidamenti dei servizi di ingegneria e architettura, commisurati al livello qualitativo delle prestazioni e delle attività relative alla progettazione di fattibilità tecnica ed economica ed esecutiva di lavori, al coordinamento della sicurezza in fase di progettazione, alla direzione dei lavori, alla direzione di esecuzione, al coordinamento della sicurezza in fase di esecuzione, al collaudo, agli incarichi di supporto tecnico-amministrativo alle attività del responsabile del procedimento e del dirigente competente alla programmazione dei lavori pubblici. I</w:t>
      </w:r>
      <w:r w:rsidR="00AF5838" w:rsidRPr="004A5029">
        <w:rPr>
          <w:rFonts w:ascii="Times New Roman" w:eastAsia="Calibri" w:hAnsi="Times New Roman" w:cs="Times New Roman"/>
          <w:b/>
          <w:bCs/>
          <w:color w:val="000000" w:themeColor="text1"/>
          <w:lang w:eastAsia="it-IT"/>
        </w:rPr>
        <w:t xml:space="preserve"> </w:t>
      </w:r>
      <w:r w:rsidRPr="004A5029">
        <w:rPr>
          <w:rFonts w:ascii="Times New Roman" w:eastAsia="Calibri" w:hAnsi="Times New Roman" w:cs="Times New Roman"/>
          <w:b/>
          <w:bCs/>
          <w:color w:val="000000" w:themeColor="text1"/>
          <w:lang w:eastAsia="it-IT"/>
        </w:rPr>
        <w:t xml:space="preserve">predetti corrispettivi sono utilizzati dalle stazioni appaltanti </w:t>
      </w:r>
      <w:r w:rsidR="0000561E" w:rsidRPr="00BD54D8">
        <w:rPr>
          <w:rFonts w:ascii="Times New Roman" w:eastAsia="Calibri" w:hAnsi="Times New Roman" w:cs="Times New Roman"/>
          <w:b/>
          <w:bCs/>
          <w:color w:val="000000" w:themeColor="text1"/>
          <w:lang w:eastAsia="it-IT"/>
        </w:rPr>
        <w:t xml:space="preserve">e dagli enti concedenti </w:t>
      </w:r>
      <w:r w:rsidRPr="00BD54D8">
        <w:rPr>
          <w:rFonts w:ascii="Times New Roman" w:eastAsia="Calibri" w:hAnsi="Times New Roman" w:cs="Times New Roman"/>
          <w:b/>
          <w:bCs/>
          <w:color w:val="000000" w:themeColor="text1"/>
          <w:lang w:eastAsia="it-IT"/>
        </w:rPr>
        <w:t>ai fini dell'individuazione dell'importo da porre a base di gara dell'affidamento.</w:t>
      </w:r>
      <w:r w:rsidR="00C760D0" w:rsidRPr="00BD54D8">
        <w:rPr>
          <w:rFonts w:asciiTheme="majorBidi" w:hAnsiTheme="majorBidi" w:cstheme="majorBidi"/>
          <w:b/>
          <w:bCs/>
          <w:color w:val="000000" w:themeColor="text1"/>
        </w:rPr>
        <w:t xml:space="preserve"> In sede di prima applicazione del presente codice, l’allegato I.1</w:t>
      </w:r>
      <w:r w:rsidR="00F41DD0">
        <w:rPr>
          <w:rFonts w:asciiTheme="majorBidi" w:hAnsiTheme="majorBidi" w:cstheme="majorBidi"/>
          <w:b/>
          <w:bCs/>
          <w:color w:val="000000" w:themeColor="text1"/>
        </w:rPr>
        <w:t>3</w:t>
      </w:r>
      <w:r w:rsidR="00C760D0" w:rsidRPr="00BD54D8">
        <w:rPr>
          <w:rFonts w:asciiTheme="majorBidi" w:hAnsiTheme="majorBidi" w:cstheme="majorBidi"/>
          <w:b/>
          <w:bCs/>
          <w:color w:val="000000" w:themeColor="text1"/>
        </w:rPr>
        <w:t xml:space="preserve"> è abrogato a decorrere dalla data di entrata in vigore di un corrispondente regolamento adottato ai sensi dell’articolo 17, comma 3, della legge 23 agosto 1988, n. 400, con decreto</w:t>
      </w:r>
      <w:r w:rsidRPr="00BD54D8">
        <w:rPr>
          <w:rFonts w:ascii="Times New Roman" w:eastAsia="Calibri" w:hAnsi="Times New Roman" w:cs="Times New Roman"/>
          <w:b/>
          <w:bCs/>
          <w:color w:val="000000" w:themeColor="text1"/>
          <w:lang w:eastAsia="it-IT"/>
        </w:rPr>
        <w:t xml:space="preserve"> del Ministro della giustizia, di concerto con il Ministro delle infrastrutture e dei trasporti, </w:t>
      </w:r>
      <w:r w:rsidR="00C760D0" w:rsidRPr="00BD54D8">
        <w:rPr>
          <w:rFonts w:asciiTheme="majorBidi" w:hAnsiTheme="majorBidi" w:cstheme="majorBidi"/>
          <w:b/>
          <w:bCs/>
          <w:color w:val="000000" w:themeColor="text1"/>
        </w:rPr>
        <w:t>che lo sostituisce integralmente anche in qualità di allegato al codice</w:t>
      </w:r>
      <w:r w:rsidR="00375E89" w:rsidRPr="00BD54D8">
        <w:rPr>
          <w:rFonts w:asciiTheme="majorBidi" w:hAnsiTheme="majorBidi" w:cstheme="majorBidi"/>
          <w:b/>
          <w:bCs/>
          <w:color w:val="000000" w:themeColor="text1"/>
        </w:rPr>
        <w:t>.</w:t>
      </w:r>
      <w:r w:rsidR="00C760D0" w:rsidRPr="00BD54D8">
        <w:rPr>
          <w:rFonts w:ascii="Times New Roman" w:eastAsia="Calibri" w:hAnsi="Times New Roman" w:cs="Times New Roman"/>
          <w:b/>
          <w:bCs/>
          <w:color w:val="000000" w:themeColor="text1"/>
          <w:lang w:eastAsia="it-IT"/>
        </w:rPr>
        <w:t xml:space="preserve"> </w:t>
      </w:r>
      <w:r w:rsidR="00C760D0" w:rsidRPr="00BD54D8">
        <w:rPr>
          <w:rFonts w:ascii="Times New Roman" w:eastAsia="Calibri" w:hAnsi="Times New Roman" w:cs="Times New Roman"/>
          <w:b/>
          <w:bCs/>
          <w:strike/>
          <w:color w:val="000000" w:themeColor="text1"/>
          <w:lang w:eastAsia="it-IT"/>
        </w:rPr>
        <w:t xml:space="preserve">e </w:t>
      </w:r>
      <w:r w:rsidRPr="00BD54D8">
        <w:rPr>
          <w:rFonts w:ascii="Times New Roman" w:eastAsia="Calibri" w:hAnsi="Times New Roman" w:cs="Times New Roman"/>
          <w:b/>
          <w:bCs/>
          <w:strike/>
          <w:color w:val="000000" w:themeColor="text1"/>
          <w:lang w:eastAsia="it-IT"/>
        </w:rPr>
        <w:t>che definisce le tabelle dei corrispettivi di cui al primo periodo</w:t>
      </w:r>
      <w:r w:rsidRPr="00BD54D8">
        <w:rPr>
          <w:rFonts w:ascii="Times New Roman" w:eastAsia="Calibri" w:hAnsi="Times New Roman" w:cs="Times New Roman"/>
          <w:b/>
          <w:bCs/>
          <w:color w:val="000000" w:themeColor="text1"/>
          <w:lang w:eastAsia="it-IT"/>
        </w:rPr>
        <w:t>.</w:t>
      </w:r>
      <w:r w:rsidRPr="004A5029">
        <w:rPr>
          <w:rFonts w:ascii="Times New Roman" w:eastAsia="Calibri" w:hAnsi="Times New Roman" w:cs="Times New Roman"/>
          <w:b/>
          <w:bCs/>
          <w:color w:val="000000" w:themeColor="text1"/>
          <w:lang w:eastAsia="it-IT"/>
        </w:rPr>
        <w:t xml:space="preserve"> </w:t>
      </w:r>
    </w:p>
    <w:p w14:paraId="6FFBD3EC" w14:textId="77777777" w:rsidR="00446F27" w:rsidRPr="004A5029" w:rsidDel="00360C6C" w:rsidRDefault="00446F27" w:rsidP="00446F27">
      <w:pPr>
        <w:jc w:val="both"/>
        <w:rPr>
          <w:rFonts w:ascii="Times New Roman" w:hAnsi="Times New Roman" w:cs="Times New Roman"/>
          <w:color w:val="000000" w:themeColor="text1"/>
        </w:rPr>
      </w:pPr>
    </w:p>
    <w:p w14:paraId="500DA61B" w14:textId="77777777" w:rsidR="00CE0BF3" w:rsidRDefault="00CE0BF3" w:rsidP="00446F27">
      <w:pPr>
        <w:rPr>
          <w:rFonts w:ascii="Times New Roman" w:hAnsi="Times New Roman" w:cs="Times New Roman"/>
          <w:b/>
          <w:bCs/>
          <w:color w:val="000000" w:themeColor="text1"/>
        </w:rPr>
      </w:pPr>
    </w:p>
    <w:p w14:paraId="0B1E718A" w14:textId="538FD5E5" w:rsidR="00446F27" w:rsidRPr="004A5029" w:rsidRDefault="00446F27" w:rsidP="00446F27">
      <w:pPr>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42.</w:t>
      </w:r>
    </w:p>
    <w:p w14:paraId="58EB1CD3"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Verifica della progettazione.</w:t>
      </w:r>
    </w:p>
    <w:p w14:paraId="6BAF123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w:t>
      </w:r>
      <w:r w:rsidRPr="004A5029">
        <w:rPr>
          <w:rFonts w:ascii="Times New Roman" w:hAnsi="Times New Roman" w:cs="Times New Roman"/>
          <w:color w:val="000000" w:themeColor="text1"/>
        </w:rPr>
        <w:t>. Nei contratti relativi ai lavori</w:t>
      </w:r>
      <w:r w:rsidRPr="004A5029">
        <w:rPr>
          <w:rFonts w:ascii="Times New Roman" w:hAnsi="Times New Roman" w:cs="Times New Roman"/>
          <w:bCs/>
          <w:color w:val="000000" w:themeColor="text1"/>
        </w:rPr>
        <w:t xml:space="preserve"> la stazione appaltante e l’ente concedente verificano la rispondenza del progetto alle esigenze espresse nel documento d’indirizzo e la sua conformità alla normativa vigente. La verifica ha luogo durante lo sviluppo della progettazione in relazione allo specifico livello previsto per l’appalto. In caso di affidamento congiunto di progettazione ed esecuzione, nonché nei contratti di partenariato pubblico-privato, la verifica del progetto di fattibilità tecnico-economica è completata prima dell’avvio della procedura di affidamento e la verifica del progetto esecutivo redatto dall’aggiudicatario è effettuata prima dell'inizio dei lavori.</w:t>
      </w:r>
    </w:p>
    <w:p w14:paraId="0DBB4D2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accertare la coerenza del progetto nelle sue diverse fasi con il documento di indirizzo della progettazione, il RUP, se non effettua personalmente la verifica, ne segue lo sviluppo parallelamente alla progettazione, garantendo il contraddittorio tra il soggetto che esegue la verifica e il progettista. </w:t>
      </w:r>
      <w:r w:rsidRPr="004A5029">
        <w:rPr>
          <w:rFonts w:ascii="Times New Roman" w:hAnsi="Times New Roman" w:cs="Times New Roman"/>
          <w:iCs/>
          <w:color w:val="000000" w:themeColor="text1"/>
        </w:rPr>
        <w:t>L’attività di verifica è incompatibile, per uno stesso progetto, con le attività di progettazione, di coordinamento della relativa sicurezza, di direzione dei lavori e di collaudo.</w:t>
      </w:r>
    </w:p>
    <w:p w14:paraId="61C1332E" w14:textId="0AD0572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shd w:val="clear" w:color="auto" w:fill="FFFFFF"/>
        </w:rPr>
        <w:t xml:space="preserve">3. La verifica accerta </w:t>
      </w:r>
      <w:r w:rsidRPr="004A5029">
        <w:rPr>
          <w:rFonts w:ascii="Times New Roman" w:hAnsi="Times New Roman" w:cs="Times New Roman"/>
          <w:bCs/>
          <w:color w:val="000000" w:themeColor="text1"/>
          <w:bdr w:val="none" w:sz="0" w:space="0" w:color="auto" w:frame="1"/>
          <w:shd w:val="clear" w:color="auto" w:fill="FFFFFF"/>
        </w:rPr>
        <w:t>la conformità</w:t>
      </w:r>
      <w:r w:rsidRPr="004A5029">
        <w:rPr>
          <w:rFonts w:ascii="Times New Roman" w:hAnsi="Times New Roman" w:cs="Times New Roman"/>
          <w:bCs/>
          <w:color w:val="000000" w:themeColor="text1"/>
          <w:shd w:val="clear" w:color="auto" w:fill="FFFFFF"/>
        </w:rPr>
        <w:t xml:space="preserve"> </w:t>
      </w:r>
      <w:r w:rsidRPr="004A5029">
        <w:rPr>
          <w:rFonts w:ascii="Times New Roman" w:hAnsi="Times New Roman" w:cs="Times New Roman"/>
          <w:bCs/>
          <w:color w:val="000000" w:themeColor="text1"/>
          <w:bdr w:val="none" w:sz="0" w:space="0" w:color="auto" w:frame="1"/>
          <w:shd w:val="clear" w:color="auto" w:fill="FFFFFF"/>
        </w:rPr>
        <w:t>del progetto</w:t>
      </w:r>
      <w:r w:rsidRPr="004A5029">
        <w:rPr>
          <w:rFonts w:ascii="Times New Roman" w:hAnsi="Times New Roman" w:cs="Times New Roman"/>
          <w:bCs/>
          <w:color w:val="000000" w:themeColor="text1"/>
          <w:shd w:val="clear" w:color="auto" w:fill="FFFFFF"/>
        </w:rPr>
        <w:t xml:space="preserve"> alle prescrizioni eventualmente impartite </w:t>
      </w:r>
      <w:r w:rsidRPr="004A5029">
        <w:rPr>
          <w:rFonts w:ascii="Times New Roman" w:hAnsi="Times New Roman" w:cs="Times New Roman"/>
          <w:bCs/>
          <w:color w:val="000000" w:themeColor="text1"/>
          <w:bdr w:val="none" w:sz="0" w:space="0" w:color="auto" w:frame="1"/>
          <w:shd w:val="clear" w:color="auto" w:fill="FFFFFF"/>
        </w:rPr>
        <w:t>dalle amministrazion</w:t>
      </w:r>
      <w:r w:rsidRPr="004A5029">
        <w:rPr>
          <w:rFonts w:ascii="Times New Roman" w:hAnsi="Times New Roman" w:cs="Times New Roman"/>
          <w:bCs/>
          <w:color w:val="000000" w:themeColor="text1"/>
          <w:shd w:val="clear" w:color="auto" w:fill="FFFFFF"/>
        </w:rPr>
        <w:t xml:space="preserve">i competenti prima dell’avvio della fase di affidamento e, se </w:t>
      </w:r>
      <w:r w:rsidRPr="004A5029">
        <w:rPr>
          <w:rFonts w:ascii="Times New Roman" w:hAnsi="Times New Roman" w:cs="Times New Roman"/>
          <w:bCs/>
          <w:color w:val="000000" w:themeColor="text1"/>
        </w:rPr>
        <w:t xml:space="preserve">ha esito </w:t>
      </w:r>
      <w:r w:rsidRPr="004A5029">
        <w:rPr>
          <w:rFonts w:ascii="Times New Roman" w:hAnsi="Times New Roman" w:cs="Times New Roman"/>
          <w:bCs/>
          <w:color w:val="000000" w:themeColor="text1"/>
          <w:shd w:val="clear" w:color="auto" w:fill="FFFFFF"/>
        </w:rPr>
        <w:t>positiv</w:t>
      </w:r>
      <w:r w:rsidRPr="004A5029">
        <w:rPr>
          <w:rFonts w:ascii="Times New Roman" w:hAnsi="Times New Roman" w:cs="Times New Roman"/>
          <w:bCs/>
          <w:color w:val="000000" w:themeColor="text1"/>
        </w:rPr>
        <w:t>o</w:t>
      </w:r>
      <w:r w:rsidRPr="004A5029">
        <w:rPr>
          <w:rFonts w:ascii="Times New Roman" w:hAnsi="Times New Roman" w:cs="Times New Roman"/>
          <w:bCs/>
          <w:color w:val="000000" w:themeColor="text1"/>
          <w:shd w:val="clear" w:color="auto" w:fill="FFFFFF"/>
        </w:rPr>
        <w:t xml:space="preserve">, assolve a tutti gli obblighi di deposito e di autorizzazione per le costruzioni in zone sismiche, </w:t>
      </w:r>
      <w:r w:rsidRPr="004A5029">
        <w:rPr>
          <w:rFonts w:ascii="Times New Roman" w:hAnsi="Times New Roman" w:cs="Times New Roman"/>
          <w:bCs/>
          <w:color w:val="000000" w:themeColor="text1"/>
          <w:bdr w:val="none" w:sz="0" w:space="0" w:color="auto" w:frame="1"/>
          <w:shd w:val="clear" w:color="auto" w:fill="FFFFFF"/>
        </w:rPr>
        <w:t>nonché di</w:t>
      </w:r>
      <w:r w:rsidRPr="004A5029">
        <w:rPr>
          <w:rFonts w:ascii="Times New Roman" w:hAnsi="Times New Roman" w:cs="Times New Roman"/>
          <w:bCs/>
          <w:color w:val="000000" w:themeColor="text1"/>
          <w:shd w:val="clear" w:color="auto" w:fill="FFFFFF"/>
        </w:rPr>
        <w:t xml:space="preserve"> denuncia dei lavori all’ufficio del genio civile. I progetti, corredati d</w:t>
      </w:r>
      <w:r w:rsidR="00556B29" w:rsidRPr="004A5029">
        <w:rPr>
          <w:rFonts w:ascii="Times New Roman" w:hAnsi="Times New Roman" w:cs="Times New Roman"/>
          <w:bCs/>
          <w:color w:val="000000" w:themeColor="text1"/>
          <w:shd w:val="clear" w:color="auto" w:fill="FFFFFF"/>
        </w:rPr>
        <w:t>e</w:t>
      </w:r>
      <w:r w:rsidRPr="004A5029">
        <w:rPr>
          <w:rFonts w:ascii="Times New Roman" w:hAnsi="Times New Roman" w:cs="Times New Roman"/>
          <w:bCs/>
          <w:color w:val="000000" w:themeColor="text1"/>
          <w:shd w:val="clear" w:color="auto" w:fill="FFFFFF"/>
        </w:rPr>
        <w:t xml:space="preserve">lla attestazione dell’avvenuta positiva verifica, sono depositati con modalità telematica </w:t>
      </w:r>
      <w:r w:rsidRPr="004A5029">
        <w:rPr>
          <w:rFonts w:ascii="Times New Roman" w:hAnsi="Times New Roman" w:cs="Times New Roman"/>
          <w:bCs/>
          <w:color w:val="000000" w:themeColor="text1"/>
          <w:bdr w:val="none" w:sz="0" w:space="0" w:color="auto" w:frame="1"/>
          <w:shd w:val="clear" w:color="auto" w:fill="FFFFFF"/>
        </w:rPr>
        <w:t>interoperabile</w:t>
      </w:r>
      <w:r w:rsidRPr="004A5029">
        <w:rPr>
          <w:rFonts w:ascii="Times New Roman" w:hAnsi="Times New Roman" w:cs="Times New Roman"/>
          <w:bCs/>
          <w:color w:val="000000" w:themeColor="text1"/>
          <w:shd w:val="clear" w:color="auto" w:fill="FFFFFF"/>
        </w:rPr>
        <w:t xml:space="preserve"> presso l’Archivio informatico nazionale delle opere pubbliche del Ministero delle infrastrutture e de</w:t>
      </w:r>
      <w:r w:rsidR="00556B29" w:rsidRPr="004A5029">
        <w:rPr>
          <w:rFonts w:ascii="Times New Roman" w:hAnsi="Times New Roman" w:cs="Times New Roman"/>
          <w:bCs/>
          <w:color w:val="000000" w:themeColor="text1"/>
          <w:shd w:val="clear" w:color="auto" w:fill="FFFFFF"/>
        </w:rPr>
        <w:t>i trasporti</w:t>
      </w:r>
      <w:r w:rsidRPr="004A5029">
        <w:rPr>
          <w:rFonts w:ascii="Times New Roman" w:hAnsi="Times New Roman" w:cs="Times New Roman"/>
          <w:bCs/>
          <w:color w:val="000000" w:themeColor="text1"/>
          <w:shd w:val="clear" w:color="auto" w:fill="FFFFFF"/>
        </w:rPr>
        <w:t>.</w:t>
      </w:r>
    </w:p>
    <w:p w14:paraId="2858D7C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La validazione del progetto posto a base di gara è l'atto formale che riporta gli esiti della verifica. La validazione è sottoscritta dal responsabile del relativo procedimento e fa preciso riferimento al rapporto conclusivo del soggetto preposto alla verifica e alle eventuali controdeduzioni del progettista. Il bando e la lettera di invito per l’affidamento dei lavori devono contenere gli estremi dell’avvenuta validazione del progetto posto a base di gara.</w:t>
      </w:r>
    </w:p>
    <w:p w14:paraId="08BB34B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L’allegato I.7 indica i contenuti e le modalità delle attività di verifica, nonché i soggetti che vi provvedono. Gli oneri conseguenti all’accertamento della rispondenza agli elaborati progettuali sono ricompresi nelle risorse stanziate per la realizzazione delle opere.</w:t>
      </w:r>
    </w:p>
    <w:p w14:paraId="30DCCCAD" w14:textId="77777777" w:rsidR="00446F27" w:rsidRPr="004A5029" w:rsidRDefault="00446F27" w:rsidP="00446F27">
      <w:pPr>
        <w:rPr>
          <w:rFonts w:ascii="Times New Roman" w:hAnsi="Times New Roman" w:cs="Times New Roman"/>
          <w:color w:val="000000" w:themeColor="text1"/>
        </w:rPr>
      </w:pPr>
    </w:p>
    <w:p w14:paraId="5695044B" w14:textId="77777777" w:rsidR="00446F27" w:rsidRPr="004A5029" w:rsidRDefault="00446F27" w:rsidP="00446F27">
      <w:pPr>
        <w:jc w:val="both"/>
        <w:rPr>
          <w:rFonts w:ascii="Times New Roman" w:hAnsi="Times New Roman" w:cs="Times New Roman"/>
          <w:b/>
          <w:color w:val="000000" w:themeColor="text1"/>
        </w:rPr>
      </w:pPr>
      <w:bookmarkStart w:id="23" w:name="_Toc112864125"/>
      <w:r w:rsidRPr="004A5029">
        <w:rPr>
          <w:rFonts w:ascii="Times New Roman" w:hAnsi="Times New Roman" w:cs="Times New Roman"/>
          <w:b/>
          <w:color w:val="000000" w:themeColor="text1"/>
        </w:rPr>
        <w:t>Articolo 43.</w:t>
      </w:r>
    </w:p>
    <w:p w14:paraId="6CD9497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Metodi e strumenti di gestione informativa digitale delle costruzioni.</w:t>
      </w:r>
      <w:bookmarkEnd w:id="23"/>
    </w:p>
    <w:p w14:paraId="68C620EA" w14:textId="0DDAFC6B" w:rsidR="00446F27" w:rsidRPr="004A5029" w:rsidRDefault="00446F27" w:rsidP="00446F27">
      <w:pPr>
        <w:tabs>
          <w:tab w:val="center" w:pos="4819"/>
          <w:tab w:val="right" w:pos="9638"/>
        </w:tabs>
        <w:jc w:val="both"/>
        <w:rPr>
          <w:rFonts w:ascii="Times New Roman" w:eastAsiaTheme="minorEastAsia" w:hAnsi="Times New Roman" w:cs="Times New Roman"/>
          <w:bCs/>
          <w:color w:val="000000" w:themeColor="text1"/>
        </w:rPr>
      </w:pPr>
      <w:r w:rsidRPr="004A5029">
        <w:rPr>
          <w:rFonts w:ascii="Times New Roman" w:eastAsiaTheme="minorEastAsia" w:hAnsi="Times New Roman" w:cs="Times New Roman"/>
          <w:bCs/>
          <w:color w:val="000000" w:themeColor="text1"/>
        </w:rPr>
        <w:t xml:space="preserve">1. A decorrere dal 1° gennaio 2025, le stazioni appaltanti e gli enti concedenti adottano metodi e strumenti di gestione informativa digitale delle costruzioni per la progettazione e la realizzazione di opere di nuova costruzione e per gli interventi su costruzioni esistenti per importo a base di gara superiore a </w:t>
      </w:r>
      <w:r w:rsidR="005F3ED9" w:rsidRPr="004A5029">
        <w:rPr>
          <w:rFonts w:ascii="Times New Roman" w:eastAsiaTheme="minorEastAsia" w:hAnsi="Times New Roman" w:cs="Times New Roman"/>
          <w:bCs/>
          <w:color w:val="000000" w:themeColor="text1"/>
        </w:rPr>
        <w:t>1 milione di e</w:t>
      </w:r>
      <w:r w:rsidRPr="004A5029">
        <w:rPr>
          <w:rFonts w:ascii="Times New Roman" w:eastAsiaTheme="minorEastAsia" w:hAnsi="Times New Roman" w:cs="Times New Roman"/>
          <w:bCs/>
          <w:color w:val="000000" w:themeColor="text1"/>
        </w:rPr>
        <w:t>uro.</w:t>
      </w:r>
      <w:r w:rsidRPr="004A5029">
        <w:rPr>
          <w:rFonts w:ascii="Times New Roman" w:eastAsiaTheme="minorEastAsia" w:hAnsi="Times New Roman" w:cs="Times New Roman"/>
          <w:b/>
          <w:color w:val="000000" w:themeColor="text1"/>
        </w:rPr>
        <w:t xml:space="preserve"> </w:t>
      </w:r>
      <w:r w:rsidRPr="004A5029">
        <w:rPr>
          <w:rFonts w:ascii="Times New Roman" w:eastAsiaTheme="minorEastAsia" w:hAnsi="Times New Roman" w:cs="Times New Roman"/>
          <w:bCs/>
          <w:color w:val="000000" w:themeColor="text1"/>
        </w:rPr>
        <w:t>La disposizione di cui al primo periodo non si applica agli interventi di ordinaria e straordinaria manutenzione, a meno che essi non riguardino opere precedentemente eseguite con l’uso dei suddetti metodi e strumenti di gestione informativa digitale.</w:t>
      </w:r>
    </w:p>
    <w:p w14:paraId="7CE6BB8D" w14:textId="77777777" w:rsidR="00446F27" w:rsidRPr="004A5029" w:rsidRDefault="00446F27" w:rsidP="00446F27">
      <w:pPr>
        <w:tabs>
          <w:tab w:val="center" w:pos="4819"/>
          <w:tab w:val="right" w:pos="9638"/>
        </w:tabs>
        <w:jc w:val="both"/>
        <w:rPr>
          <w:rFonts w:ascii="Times New Roman" w:eastAsiaTheme="minorEastAsia" w:hAnsi="Times New Roman" w:cs="Times New Roman"/>
          <w:color w:val="000000" w:themeColor="text1"/>
        </w:rPr>
      </w:pPr>
      <w:r w:rsidRPr="004A5029">
        <w:rPr>
          <w:rFonts w:ascii="Times New Roman" w:hAnsi="Times New Roman" w:cs="Times New Roman"/>
          <w:color w:val="000000" w:themeColor="text1"/>
        </w:rPr>
        <w:t>2. Anche al di fuori dei casi di cui al comma 1 e in conformità con i principi di cui all’articolo 19, le stazioni appaltanti e gli enti concedenti possono adottare metodi e strumenti di gestione informativa digitale delle costruzioni, eventualmente prevedendo nella documentazione di gara un punteggio premiale relativo alle modalità d’uso di tali metodi e strumenti. Tale facoltà è subordinata all’adozione delle misure stabilite nell’allegato I.9</w:t>
      </w:r>
      <w:r w:rsidRPr="004A5029">
        <w:rPr>
          <w:rFonts w:ascii="Times New Roman" w:hAnsi="Times New Roman" w:cs="Times New Roman"/>
          <w:b/>
          <w:bCs/>
          <w:strike/>
          <w:color w:val="000000" w:themeColor="text1"/>
        </w:rPr>
        <w:t>, di cui al comma 4</w:t>
      </w:r>
      <w:r w:rsidRPr="004A5029">
        <w:rPr>
          <w:rFonts w:ascii="Times New Roman" w:hAnsi="Times New Roman" w:cs="Times New Roman"/>
          <w:b/>
          <w:bCs/>
          <w:color w:val="000000" w:themeColor="text1"/>
        </w:rPr>
        <w:t>.</w:t>
      </w:r>
    </w:p>
    <w:p w14:paraId="191F99C1"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3. Gli strumenti indicati ai commi 1 e 2 utilizzano piattaforme interoperabili a mezzo di formati aperti non proprietari al fine di non limitare la concorrenza tra i fornitori di tecnologie e il coinvolgimento di specifiche progettualità tra i progettisti, nonché di consentire il trasferimento dei dati tra pubbliche amministrazioni e operatori economici partecipanti alla procedura aggiudicatari o incaricati dell’esecuzione del contratto.</w:t>
      </w:r>
    </w:p>
    <w:p w14:paraId="2230ED2B" w14:textId="77777777" w:rsidR="00446F27" w:rsidRPr="004A5029" w:rsidRDefault="00446F27" w:rsidP="00446F27">
      <w:pPr>
        <w:tabs>
          <w:tab w:val="center" w:pos="4819"/>
          <w:tab w:val="right" w:pos="9638"/>
        </w:tabs>
        <w:jc w:val="both"/>
        <w:rPr>
          <w:rFonts w:ascii="Times New Roman" w:eastAsiaTheme="minorEastAsia" w:hAnsi="Times New Roman" w:cs="Times New Roman"/>
          <w:color w:val="000000" w:themeColor="text1"/>
        </w:rPr>
      </w:pPr>
      <w:r w:rsidRPr="004A5029">
        <w:rPr>
          <w:rFonts w:ascii="Times New Roman" w:eastAsiaTheme="minorEastAsia" w:hAnsi="Times New Roman" w:cs="Times New Roman"/>
          <w:color w:val="000000" w:themeColor="text1"/>
        </w:rPr>
        <w:t>4. Nell’allegato I.9 sono definiti:</w:t>
      </w:r>
    </w:p>
    <w:p w14:paraId="5F6C4A00"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a) le misure relative alla formazione del personale, agli strumenti e alla organizzazione necessaria;</w:t>
      </w:r>
    </w:p>
    <w:p w14:paraId="405365D0"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b) i criteri per garantire uniformità di utilizzazione dei metodi e strumenti digitali per la gestione dell’informazione;</w:t>
      </w:r>
    </w:p>
    <w:p w14:paraId="5A2DD831"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c) le misure necessarie per l’attuazione dei processi di gestione dell’informazione supportata dalla modellazione informativa, ivi compresa la previsione dell’interoperabilità dell’anagrafe patrimoniale di ciascuna stazione appaltante o ente concedente con l’archivio informatico nazionale delle opere pubbliche;</w:t>
      </w:r>
    </w:p>
    <w:p w14:paraId="103EC572"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d) le modalità di scambio e interoperabilità dei dati e delle informazioni;</w:t>
      </w:r>
    </w:p>
    <w:p w14:paraId="2BB4E33E"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e) le specifiche tecniche nazionali ed internazionali applicabili;</w:t>
      </w:r>
    </w:p>
    <w:p w14:paraId="679551DD" w14:textId="77777777" w:rsidR="00446F27" w:rsidRPr="004A5029" w:rsidRDefault="00446F27" w:rsidP="00446F27">
      <w:pPr>
        <w:tabs>
          <w:tab w:val="center" w:pos="4819"/>
          <w:tab w:val="right" w:pos="9638"/>
        </w:tabs>
        <w:jc w:val="both"/>
        <w:rPr>
          <w:rFonts w:ascii="Times New Roman" w:hAnsi="Times New Roman" w:cs="Times New Roman"/>
          <w:color w:val="000000" w:themeColor="text1"/>
        </w:rPr>
      </w:pPr>
      <w:r w:rsidRPr="004A5029">
        <w:rPr>
          <w:rFonts w:ascii="Times New Roman" w:hAnsi="Times New Roman" w:cs="Times New Roman"/>
          <w:color w:val="000000" w:themeColor="text1"/>
        </w:rPr>
        <w:t>f) il contenuto minimo del capitolato informativo per l’uso dei metodi e degli strumenti di gestione informativa digitale.</w:t>
      </w:r>
    </w:p>
    <w:p w14:paraId="38876A39" w14:textId="6FD8B3AC" w:rsidR="00446F27" w:rsidRPr="004A5029" w:rsidRDefault="00446F27" w:rsidP="00446F27">
      <w:pPr>
        <w:tabs>
          <w:tab w:val="center" w:pos="4819"/>
          <w:tab w:val="right" w:pos="9638"/>
        </w:tabs>
        <w:jc w:val="both"/>
        <w:rPr>
          <w:rFonts w:ascii="Times New Roman" w:eastAsiaTheme="minorEastAsia" w:hAnsi="Times New Roman" w:cs="Times New Roman"/>
          <w:color w:val="000000" w:themeColor="text1"/>
        </w:rPr>
      </w:pPr>
      <w:r w:rsidRPr="004A5029">
        <w:rPr>
          <w:rFonts w:ascii="Times New Roman" w:hAnsi="Times New Roman" w:cs="Times New Roman"/>
          <w:color w:val="000000" w:themeColor="text1"/>
        </w:rPr>
        <w:t xml:space="preserve">5. In sede di prima applicazione del codice, l’allegato I.9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con decreto del Ministro delle infrastrutture e dei trasporti, che lo sostituisce integralmente anche in qualità di allegato al codice.</w:t>
      </w:r>
    </w:p>
    <w:p w14:paraId="36AF6883" w14:textId="77777777" w:rsidR="00446F27" w:rsidRPr="004A5029" w:rsidRDefault="00446F27" w:rsidP="00446F27">
      <w:pPr>
        <w:rPr>
          <w:rFonts w:ascii="Times New Roman" w:hAnsi="Times New Roman" w:cs="Times New Roman"/>
          <w:color w:val="000000" w:themeColor="text1"/>
        </w:rPr>
      </w:pPr>
    </w:p>
    <w:p w14:paraId="2DEAF567" w14:textId="77777777" w:rsidR="00446F27" w:rsidRPr="004A5029" w:rsidRDefault="00446F27" w:rsidP="00446F27">
      <w:pPr>
        <w:jc w:val="both"/>
        <w:rPr>
          <w:rFonts w:ascii="Times New Roman" w:hAnsi="Times New Roman" w:cs="Times New Roman"/>
          <w:b/>
          <w:color w:val="000000" w:themeColor="text1"/>
        </w:rPr>
      </w:pPr>
      <w:bookmarkStart w:id="24" w:name="_Toc112864126"/>
      <w:r w:rsidRPr="004A5029">
        <w:rPr>
          <w:rFonts w:ascii="Times New Roman" w:hAnsi="Times New Roman" w:cs="Times New Roman"/>
          <w:b/>
          <w:color w:val="000000" w:themeColor="text1"/>
        </w:rPr>
        <w:t>Articolo 44.</w:t>
      </w:r>
    </w:p>
    <w:p w14:paraId="704AA5E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Appalto integrato</w:t>
      </w:r>
      <w:r w:rsidRPr="004A5029">
        <w:rPr>
          <w:rFonts w:ascii="Times New Roman" w:hAnsi="Times New Roman" w:cs="Times New Roman"/>
          <w:color w:val="000000" w:themeColor="text1"/>
        </w:rPr>
        <w:t>.</w:t>
      </w:r>
      <w:bookmarkEnd w:id="24"/>
    </w:p>
    <w:p w14:paraId="0B30CDFE" w14:textId="17EFA598"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Negli appalti di lavori</w:t>
      </w:r>
      <w:r w:rsidR="00006C9D" w:rsidRPr="004A5029">
        <w:rPr>
          <w:rFonts w:ascii="Times New Roman" w:hAnsi="Times New Roman" w:cs="Times New Roman"/>
          <w:b/>
          <w:color w:val="000000" w:themeColor="text1"/>
        </w:rPr>
        <w:t>,</w:t>
      </w:r>
      <w:r w:rsidRPr="004A5029">
        <w:rPr>
          <w:rFonts w:ascii="Times New Roman" w:hAnsi="Times New Roman" w:cs="Times New Roman"/>
          <w:bCs/>
          <w:color w:val="000000" w:themeColor="text1"/>
        </w:rPr>
        <w:t xml:space="preserve"> con la decisione di contrarre, la stazione appaltante o l’ente concedente, se qualificati, può stabilire che il contratto abbia per oggetto la progettazione esecutiva e l’esecuzione dei lavori sulla base di un progetto di fattibilità tecnico-economica approvato. Tale facoltà non può essere esercitata per gli appalti di opere di manutenzione ordinaria</w:t>
      </w:r>
      <w:r w:rsidR="00070E8D" w:rsidRPr="004A5029">
        <w:rPr>
          <w:rFonts w:ascii="Times New Roman" w:hAnsi="Times New Roman" w:cs="Times New Roman"/>
          <w:bCs/>
          <w:color w:val="000000" w:themeColor="text1"/>
        </w:rPr>
        <w:t>.</w:t>
      </w:r>
    </w:p>
    <w:p w14:paraId="44CCE8D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stazione appaltante o l’ente concedente motiva la scelta di cui al comma 1 con riferimento alle esigenze tecniche, tenendo sempre conto del rischio di eventuali scostamenti di costo nella fase esecutiva rispetto a quanto contrattualmente previsto.</w:t>
      </w:r>
    </w:p>
    <w:p w14:paraId="51B0933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Quando il contratto è affidato ai sensi del comma 1, gli operatori economici devono possedere i requisiti prescritti per i progettisti, oppure avvalersi di progettisti qualificati, da indicare nell’offerta, o partecipare in raggruppamento con soggetti qualificati per la progettazione. La qualificazione per la progettazione comprende anche l’uso di metodi e strumenti digitali per la gestione informativa mediante modellazione.</w:t>
      </w:r>
    </w:p>
    <w:p w14:paraId="787BBCA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4. L'offerta è valutata con il criterio dell’offerta economicamente più vantaggiosa, individuata sulla base del miglior rapporto qualità/prezzo. L’offerta </w:t>
      </w:r>
      <w:r w:rsidRPr="004A5029">
        <w:rPr>
          <w:rFonts w:ascii="Times New Roman" w:hAnsi="Times New Roman" w:cs="Times New Roman"/>
          <w:b/>
          <w:strike/>
          <w:color w:val="000000" w:themeColor="text1"/>
        </w:rPr>
        <w:t>ha ad oggetto sia il progetto esecutivo che il prezzo, e</w:t>
      </w:r>
      <w:r w:rsidRPr="004A5029">
        <w:rPr>
          <w:rFonts w:ascii="Times New Roman" w:hAnsi="Times New Roman" w:cs="Times New Roman"/>
          <w:bCs/>
          <w:color w:val="000000" w:themeColor="text1"/>
        </w:rPr>
        <w:t xml:space="preserve"> indica distintamente il corrispettivo richiesto per la progettazione e per l'esecuzione dei lavori.</w:t>
      </w:r>
    </w:p>
    <w:p w14:paraId="3BBC010E" w14:textId="690B9428"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L'esecuzione dei lavori può iniziare solo dopo l'approvazione, da parte della stazione appaltante, del progetto esecutivo, il cui esame è condotto ai sensi dell’articolo 42.</w:t>
      </w:r>
    </w:p>
    <w:p w14:paraId="7C3FC3B4" w14:textId="6B134A61" w:rsidR="007725AF" w:rsidRPr="004A5029" w:rsidRDefault="007725AF"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Nei casi in cui l’operatore economico si avvalga di uno o più soggetti qualificati alla redazione del progetto, la stazione appaltante indica nei documenti di gara le modalità per la corresponsione diretta al progettista degli oneri relativi alla progettazione esecutiva indicati in sede di offerta, al netto del ribasso d’asta, previa approvazione del progetto e previa presentazione dei documenti fiscali del progettista.</w:t>
      </w:r>
    </w:p>
    <w:p w14:paraId="54C529ED" w14:textId="77777777" w:rsidR="00446F27" w:rsidRPr="004A5029" w:rsidRDefault="00446F27" w:rsidP="00446F27">
      <w:pPr>
        <w:jc w:val="both"/>
        <w:rPr>
          <w:rFonts w:ascii="Times New Roman" w:hAnsi="Times New Roman" w:cs="Times New Roman"/>
          <w:color w:val="000000" w:themeColor="text1"/>
        </w:rPr>
      </w:pPr>
    </w:p>
    <w:p w14:paraId="4237892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45.</w:t>
      </w:r>
    </w:p>
    <w:p w14:paraId="0488A56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Incentivi alle funzioni tecniche.</w:t>
      </w:r>
    </w:p>
    <w:p w14:paraId="78BD8562" w14:textId="13FDE9E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Gli oneri relativi alle attività tecniche indicate nell’allegato I.10 sono a carico degli stanziamenti previsti per le singole procedure di affidamento di lavori, servizi e forniture negli stati di previsione della spesa o nei bilanci delle stazioni appaltanti e degli enti concedenti. In sede di prima applicazione del codice, l’allegato I.10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con decreto del Ministero delle infrastrutture e dei trasporti, sentito </w:t>
      </w:r>
      <w:r w:rsidRPr="004A5029">
        <w:rPr>
          <w:rFonts w:ascii="Times New Roman" w:eastAsia="Times New Roman" w:hAnsi="Times New Roman" w:cs="Times New Roman"/>
          <w:color w:val="000000" w:themeColor="text1"/>
        </w:rPr>
        <w:t>il Consiglio superiore dei lavori pubblici</w:t>
      </w:r>
      <w:r w:rsidRPr="004A5029">
        <w:rPr>
          <w:rFonts w:ascii="Times New Roman" w:hAnsi="Times New Roman" w:cs="Times New Roman"/>
          <w:color w:val="000000" w:themeColor="text1"/>
        </w:rPr>
        <w:t xml:space="preserve">, che lo sostituisce integralmente anche in qualità di allegato al codice. </w:t>
      </w:r>
    </w:p>
    <w:p w14:paraId="5C57A4AC" w14:textId="683CCB3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stazioni appaltanti e gli enti concedenti destinano risorse finanziarie per le funzioni tecniche svolte dai dipendenti specificate nell’allegato I.10 e per le finalità indicate al comma 5, a valere sugli stanziamenti di cui al comma 1, in misura non superiore al 2 per cento dell'importo dei lavori, dei servizi e delle forniture, posto a base delle procedure di affidamento. Il presente comma si applica anche agli appalti relativi a servizi o forniture nel caso in cui è nominato il direttore dell’esecuzione. È fatta salva, ai fini dell’esclusione dall’obbligo di destinazione delle risorse di cui al presente comma, la facoltà delle stazioni appaltanti e degli enti concedenti di prevedere una modalità diversa di retribuzione delle funzioni tecniche svolte dai propri dipendenti.</w:t>
      </w:r>
    </w:p>
    <w:p w14:paraId="489ADD68" w14:textId="0C28E52D"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L’80 </w:t>
      </w:r>
      <w:r w:rsidRPr="004A5029">
        <w:rPr>
          <w:rFonts w:ascii="Times New Roman" w:hAnsi="Times New Roman" w:cs="Times New Roman"/>
          <w:color w:val="000000" w:themeColor="text1"/>
        </w:rPr>
        <w:t>per cento delle risorse</w:t>
      </w:r>
      <w:r w:rsidRPr="004A5029">
        <w:rPr>
          <w:rFonts w:ascii="Times New Roman" w:hAnsi="Times New Roman" w:cs="Times New Roman"/>
          <w:bCs/>
          <w:color w:val="000000" w:themeColor="text1"/>
        </w:rPr>
        <w:t xml:space="preserve"> di cui al </w:t>
      </w:r>
      <w:r w:rsidRPr="004A5029">
        <w:rPr>
          <w:rFonts w:ascii="Times New Roman" w:hAnsi="Times New Roman" w:cs="Times New Roman"/>
          <w:color w:val="000000" w:themeColor="text1"/>
        </w:rPr>
        <w:t>comma 2,</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 xml:space="preserve">è ripartito, per </w:t>
      </w:r>
      <w:r w:rsidRPr="004A5029">
        <w:rPr>
          <w:rFonts w:ascii="Times New Roman" w:hAnsi="Times New Roman" w:cs="Times New Roman"/>
          <w:bCs/>
          <w:color w:val="000000" w:themeColor="text1"/>
        </w:rPr>
        <w:t>ogni</w:t>
      </w:r>
      <w:r w:rsidRPr="004A5029">
        <w:rPr>
          <w:rFonts w:ascii="Times New Roman" w:hAnsi="Times New Roman" w:cs="Times New Roman"/>
          <w:color w:val="000000" w:themeColor="text1"/>
        </w:rPr>
        <w:t xml:space="preserve"> opera, lavoro, servizio e fornitura, tra il </w:t>
      </w:r>
      <w:r w:rsidRPr="004A5029">
        <w:rPr>
          <w:rFonts w:ascii="Times New Roman" w:hAnsi="Times New Roman" w:cs="Times New Roman"/>
          <w:bCs/>
          <w:color w:val="000000" w:themeColor="text1"/>
        </w:rPr>
        <w:t>RUP</w:t>
      </w:r>
      <w:r w:rsidRPr="004A5029">
        <w:rPr>
          <w:rFonts w:ascii="Times New Roman" w:hAnsi="Times New Roman" w:cs="Times New Roman"/>
          <w:color w:val="000000" w:themeColor="text1"/>
        </w:rPr>
        <w:t xml:space="preserve"> e i soggetti che svolgono le funzioni tecniche indicate al comma</w:t>
      </w:r>
      <w:r w:rsidRPr="004A5029">
        <w:rPr>
          <w:rFonts w:ascii="Times New Roman" w:hAnsi="Times New Roman" w:cs="Times New Roman"/>
          <w:bCs/>
          <w:color w:val="000000" w:themeColor="text1"/>
        </w:rPr>
        <w:t xml:space="preserve"> 2,</w:t>
      </w:r>
      <w:r w:rsidRPr="004A5029">
        <w:rPr>
          <w:rFonts w:ascii="Times New Roman" w:hAnsi="Times New Roman" w:cs="Times New Roman"/>
          <w:color w:val="000000" w:themeColor="text1"/>
        </w:rPr>
        <w:t xml:space="preserve"> nonché tra i loro collaboratori. Gli importi sono comprensivi anche degli oneri previdenziali e assistenziali a carico dell'amministrazione. </w:t>
      </w:r>
      <w:r w:rsidRPr="004A5029">
        <w:rPr>
          <w:rFonts w:ascii="Times New Roman" w:hAnsi="Times New Roman" w:cs="Times New Roman"/>
          <w:bCs/>
          <w:color w:val="000000" w:themeColor="text1"/>
        </w:rPr>
        <w:t xml:space="preserve">I criteri del relativo riparto, nonché quelli di corrispondente riduzione delle risorse finanziarie connesse alla singola opera o lavoro, a fronte </w:t>
      </w:r>
      <w:r w:rsidRPr="004A5029">
        <w:rPr>
          <w:rStyle w:val="normaltextrun"/>
          <w:rFonts w:ascii="Times New Roman" w:hAnsi="Times New Roman" w:cs="Times New Roman"/>
          <w:bCs/>
          <w:color w:val="000000" w:themeColor="text1"/>
        </w:rPr>
        <w:t xml:space="preserve">di eventuali incrementi ingiustificati dei tempi o dei costi previsti dal quadro economico del progetto esecutivo, sono stabiliti </w:t>
      </w:r>
      <w:r w:rsidRPr="004A5029">
        <w:rPr>
          <w:rStyle w:val="normaltextrun"/>
          <w:rFonts w:ascii="Times New Roman" w:hAnsi="Times New Roman" w:cs="Times New Roman"/>
          <w:b/>
          <w:strike/>
          <w:color w:val="000000" w:themeColor="text1"/>
        </w:rPr>
        <w:t>con regolamento</w:t>
      </w:r>
      <w:r w:rsidRPr="009C7A1A">
        <w:rPr>
          <w:rStyle w:val="normaltextrun"/>
          <w:rFonts w:ascii="Times New Roman" w:hAnsi="Times New Roman" w:cs="Times New Roman"/>
          <w:b/>
          <w:strike/>
        </w:rPr>
        <w:t xml:space="preserve"> d</w:t>
      </w:r>
      <w:r w:rsidR="009C7A1A">
        <w:rPr>
          <w:rStyle w:val="normaltextrun"/>
          <w:rFonts w:ascii="Times New Roman" w:hAnsi="Times New Roman" w:cs="Times New Roman"/>
          <w:b/>
          <w:strike/>
        </w:rPr>
        <w:t>e</w:t>
      </w:r>
      <w:r w:rsidRPr="009C7A1A">
        <w:rPr>
          <w:rStyle w:val="normaltextrun"/>
          <w:rFonts w:ascii="Times New Roman" w:hAnsi="Times New Roman" w:cs="Times New Roman"/>
          <w:b/>
          <w:strike/>
        </w:rPr>
        <w:t>lle</w:t>
      </w:r>
      <w:r w:rsidRPr="004A5029">
        <w:rPr>
          <w:rStyle w:val="normaltextrun"/>
          <w:rFonts w:ascii="Times New Roman" w:hAnsi="Times New Roman" w:cs="Times New Roman"/>
          <w:bCs/>
          <w:color w:val="000000" w:themeColor="text1"/>
        </w:rPr>
        <w:t xml:space="preserve"> </w:t>
      </w:r>
      <w:r w:rsidR="009C7A1A">
        <w:rPr>
          <w:rStyle w:val="normaltextrun"/>
          <w:rFonts w:ascii="Times New Roman" w:hAnsi="Times New Roman" w:cs="Times New Roman"/>
          <w:b/>
          <w:color w:val="000000" w:themeColor="text1"/>
        </w:rPr>
        <w:t xml:space="preserve">dalle </w:t>
      </w:r>
      <w:r w:rsidRPr="004A5029">
        <w:rPr>
          <w:rStyle w:val="normaltextrun"/>
          <w:rFonts w:ascii="Times New Roman" w:hAnsi="Times New Roman" w:cs="Times New Roman"/>
          <w:bCs/>
          <w:color w:val="000000" w:themeColor="text1"/>
        </w:rPr>
        <w:t xml:space="preserve">stazioni appaltanti e </w:t>
      </w:r>
      <w:r w:rsidRPr="009C7A1A">
        <w:rPr>
          <w:rStyle w:val="normaltextrun"/>
          <w:rFonts w:ascii="Times New Roman" w:hAnsi="Times New Roman" w:cs="Times New Roman"/>
          <w:b/>
          <w:strike/>
          <w:color w:val="000000" w:themeColor="text1"/>
        </w:rPr>
        <w:t>degli</w:t>
      </w:r>
      <w:r w:rsidRPr="004A5029">
        <w:rPr>
          <w:rStyle w:val="normaltextrun"/>
          <w:rFonts w:ascii="Times New Roman" w:hAnsi="Times New Roman" w:cs="Times New Roman"/>
          <w:bCs/>
          <w:color w:val="000000" w:themeColor="text1"/>
        </w:rPr>
        <w:t xml:space="preserve"> </w:t>
      </w:r>
      <w:r w:rsidR="009C7A1A">
        <w:rPr>
          <w:rStyle w:val="normaltextrun"/>
          <w:rFonts w:ascii="Times New Roman" w:hAnsi="Times New Roman" w:cs="Times New Roman"/>
          <w:b/>
          <w:color w:val="000000" w:themeColor="text1"/>
        </w:rPr>
        <w:t xml:space="preserve">dagli </w:t>
      </w:r>
      <w:r w:rsidRPr="004A5029">
        <w:rPr>
          <w:rStyle w:val="normaltextrun"/>
          <w:rFonts w:ascii="Times New Roman" w:hAnsi="Times New Roman" w:cs="Times New Roman"/>
          <w:bCs/>
          <w:color w:val="000000" w:themeColor="text1"/>
        </w:rPr>
        <w:t xml:space="preserve">enti concedenti, </w:t>
      </w:r>
      <w:r w:rsidRPr="009C7A1A">
        <w:rPr>
          <w:rStyle w:val="normaltextrun"/>
          <w:rFonts w:ascii="Times New Roman" w:hAnsi="Times New Roman" w:cs="Times New Roman"/>
          <w:b/>
          <w:strike/>
          <w:color w:val="000000" w:themeColor="text1"/>
        </w:rPr>
        <w:t>adottato</w:t>
      </w:r>
      <w:r w:rsidRPr="004A5029">
        <w:rPr>
          <w:rStyle w:val="normaltextrun"/>
          <w:rFonts w:ascii="Times New Roman" w:hAnsi="Times New Roman" w:cs="Times New Roman"/>
          <w:bCs/>
          <w:color w:val="000000" w:themeColor="text1"/>
        </w:rPr>
        <w:t xml:space="preserve"> secondo i rispettivi ordinamenti entro </w:t>
      </w:r>
      <w:r w:rsidRPr="004A5029">
        <w:rPr>
          <w:rStyle w:val="normaltextrun"/>
          <w:rFonts w:ascii="Times New Roman" w:hAnsi="Times New Roman" w:cs="Times New Roman"/>
          <w:b/>
          <w:strike/>
          <w:color w:val="000000" w:themeColor="text1"/>
        </w:rPr>
        <w:t>30</w:t>
      </w:r>
      <w:r w:rsidRPr="004A5029">
        <w:rPr>
          <w:rStyle w:val="normaltextrun"/>
          <w:rFonts w:ascii="Times New Roman" w:hAnsi="Times New Roman" w:cs="Times New Roman"/>
          <w:b/>
          <w:color w:val="000000" w:themeColor="text1"/>
        </w:rPr>
        <w:t xml:space="preserve"> </w:t>
      </w:r>
      <w:r w:rsidR="00407103" w:rsidRPr="004A5029">
        <w:rPr>
          <w:rStyle w:val="normaltextrun"/>
          <w:rFonts w:ascii="Times New Roman" w:hAnsi="Times New Roman" w:cs="Times New Roman"/>
          <w:b/>
          <w:color w:val="000000" w:themeColor="text1"/>
        </w:rPr>
        <w:t xml:space="preserve">trenta </w:t>
      </w:r>
      <w:r w:rsidRPr="004A5029">
        <w:rPr>
          <w:rStyle w:val="normaltextrun"/>
          <w:rFonts w:ascii="Times New Roman" w:hAnsi="Times New Roman" w:cs="Times New Roman"/>
          <w:bCs/>
          <w:color w:val="000000" w:themeColor="text1"/>
        </w:rPr>
        <w:t>giorni dalla data di entrata in vigore del codice</w:t>
      </w:r>
      <w:r w:rsidRPr="004A5029">
        <w:rPr>
          <w:rStyle w:val="normaltextrun"/>
          <w:rFonts w:ascii="Times New Roman" w:hAnsi="Times New Roman" w:cs="Times New Roman"/>
          <w:color w:val="000000" w:themeColor="text1"/>
        </w:rPr>
        <w:t>.</w:t>
      </w:r>
    </w:p>
    <w:p w14:paraId="17BD2080" w14:textId="764064F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4. </w:t>
      </w:r>
      <w:r w:rsidRPr="004A5029">
        <w:rPr>
          <w:rStyle w:val="normaltextrun"/>
          <w:rFonts w:ascii="Times New Roman" w:hAnsi="Times New Roman" w:cs="Times New Roman"/>
          <w:color w:val="000000" w:themeColor="text1"/>
        </w:rPr>
        <w:t xml:space="preserve">L’incentivo di cui al comma 3 è corrisposto dal dirigente, </w:t>
      </w:r>
      <w:r w:rsidRPr="004A5029">
        <w:rPr>
          <w:rStyle w:val="normaltextrun"/>
          <w:rFonts w:ascii="Times New Roman" w:hAnsi="Times New Roman" w:cs="Times New Roman"/>
          <w:bCs/>
          <w:color w:val="000000" w:themeColor="text1"/>
        </w:rPr>
        <w:t>dal responsabile di servizio preposto alla struttura competente</w:t>
      </w:r>
      <w:r w:rsidRPr="004A5029">
        <w:rPr>
          <w:rStyle w:val="normaltextrun"/>
          <w:rFonts w:ascii="Times New Roman" w:hAnsi="Times New Roman" w:cs="Times New Roman"/>
          <w:color w:val="000000" w:themeColor="text1"/>
        </w:rPr>
        <w:t xml:space="preserve"> </w:t>
      </w:r>
      <w:r w:rsidRPr="004A5029">
        <w:rPr>
          <w:rStyle w:val="normaltextrun"/>
          <w:rFonts w:ascii="Times New Roman" w:hAnsi="Times New Roman" w:cs="Times New Roman"/>
          <w:bCs/>
          <w:color w:val="000000" w:themeColor="text1"/>
        </w:rPr>
        <w:t>o da altro dirigente incaricato dalla singola amministrazione,</w:t>
      </w:r>
      <w:r w:rsidR="005345C7" w:rsidRPr="004A5029">
        <w:rPr>
          <w:rStyle w:val="normaltextrun"/>
          <w:rFonts w:ascii="Times New Roman" w:hAnsi="Times New Roman" w:cs="Times New Roman"/>
          <w:bCs/>
          <w:color w:val="000000" w:themeColor="text1"/>
        </w:rPr>
        <w:t xml:space="preserve"> </w:t>
      </w:r>
      <w:r w:rsidR="005345C7" w:rsidRPr="004A5029">
        <w:rPr>
          <w:rStyle w:val="normaltextrun"/>
          <w:rFonts w:ascii="Times New Roman" w:hAnsi="Times New Roman" w:cs="Times New Roman"/>
          <w:b/>
          <w:color w:val="000000" w:themeColor="text1"/>
        </w:rPr>
        <w:t>sentito il RUP,</w:t>
      </w:r>
      <w:r w:rsidRPr="004A5029">
        <w:rPr>
          <w:rStyle w:val="normaltextrun"/>
          <w:rFonts w:ascii="Times New Roman" w:hAnsi="Times New Roman" w:cs="Times New Roman"/>
          <w:bCs/>
          <w:color w:val="000000" w:themeColor="text1"/>
        </w:rPr>
        <w:t xml:space="preserve"> che accerta e attesta le specifiche funzioni tecniche svolte dal dipendente</w:t>
      </w:r>
      <w:r w:rsidRPr="004A5029">
        <w:rPr>
          <w:rStyle w:val="normaltextrun"/>
          <w:rFonts w:ascii="Times New Roman" w:hAnsi="Times New Roman" w:cs="Times New Roman"/>
          <w:color w:val="000000" w:themeColor="text1"/>
        </w:rPr>
        <w:t xml:space="preserve">. </w:t>
      </w:r>
      <w:r w:rsidRPr="004A5029">
        <w:rPr>
          <w:rStyle w:val="normaltextrun"/>
          <w:rFonts w:ascii="Times New Roman" w:hAnsi="Times New Roman" w:cs="Times New Roman"/>
          <w:bCs/>
          <w:color w:val="000000" w:themeColor="text1"/>
        </w:rPr>
        <w:t>L’incentivo complessivamente maturato dal dipendente nel corso dell’anno di competenza, anche per attività svolte per conto di altre amministrazioni, non può superare il trattamento economico complessivo annuo lordo percepito dal dipendente.</w:t>
      </w:r>
      <w:r w:rsidRPr="004A5029">
        <w:rPr>
          <w:rStyle w:val="normaltextrun"/>
          <w:rFonts w:ascii="Times New Roman" w:hAnsi="Times New Roman" w:cs="Times New Roman"/>
          <w:color w:val="000000" w:themeColor="text1"/>
        </w:rPr>
        <w:t xml:space="preserve"> </w:t>
      </w:r>
      <w:r w:rsidRPr="004A5029">
        <w:rPr>
          <w:rStyle w:val="normaltextrun"/>
          <w:rFonts w:ascii="Times New Roman" w:hAnsi="Times New Roman" w:cs="Times New Roman"/>
          <w:bCs/>
          <w:color w:val="000000" w:themeColor="text1"/>
        </w:rPr>
        <w:t xml:space="preserve">L’incentivo eccedente, non corrisposto, incrementa le risorse di cui al comma 5. Per le amministrazioni che adottano i metodi e gli strumenti digitali per la gestione informativa dell’appalto il limite di cui al </w:t>
      </w:r>
      <w:r w:rsidR="00C353A3" w:rsidRPr="004A5029">
        <w:rPr>
          <w:rStyle w:val="normaltextrun"/>
          <w:rFonts w:ascii="Times New Roman" w:hAnsi="Times New Roman" w:cs="Times New Roman"/>
          <w:bCs/>
          <w:color w:val="000000" w:themeColor="text1"/>
        </w:rPr>
        <w:t>secondo</w:t>
      </w:r>
      <w:r w:rsidRPr="004A5029">
        <w:rPr>
          <w:rStyle w:val="normaltextrun"/>
          <w:rFonts w:ascii="Times New Roman" w:hAnsi="Times New Roman" w:cs="Times New Roman"/>
          <w:bCs/>
          <w:color w:val="000000" w:themeColor="text1"/>
        </w:rPr>
        <w:t xml:space="preserve"> periodo è aumentato del 15 per cento. Incrementa altresì le risorse di cui al comma 5 la parte di incentivo che corrisponde a prestazioni non svolte dai dipendenti, perché affidate a personale esterno all’amministrazione medesima oppure perché prive dell’attestazione del dirigente. Le disposizioni del comma 3 e del presente comma non si applicano al personale con qualifica dirigenziale.</w:t>
      </w:r>
    </w:p>
    <w:p w14:paraId="3A9F70B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Il 20 per cento delle risorse finanziarie di cui al comma 2, </w:t>
      </w:r>
      <w:r w:rsidRPr="004A5029">
        <w:rPr>
          <w:rFonts w:ascii="Times New Roman" w:hAnsi="Times New Roman" w:cs="Times New Roman"/>
          <w:bCs/>
          <w:color w:val="000000" w:themeColor="text1"/>
        </w:rPr>
        <w:t>escluse</w:t>
      </w:r>
      <w:r w:rsidRPr="004A5029">
        <w:rPr>
          <w:rFonts w:ascii="Times New Roman" w:hAnsi="Times New Roman" w:cs="Times New Roman"/>
          <w:color w:val="000000" w:themeColor="text1"/>
        </w:rPr>
        <w:t xml:space="preserve"> le risorse </w:t>
      </w:r>
      <w:r w:rsidRPr="004A5029">
        <w:rPr>
          <w:rFonts w:ascii="Times New Roman" w:hAnsi="Times New Roman" w:cs="Times New Roman"/>
          <w:bCs/>
          <w:color w:val="000000" w:themeColor="text1"/>
        </w:rPr>
        <w:t>che derivano</w:t>
      </w:r>
      <w:r w:rsidRPr="004A5029">
        <w:rPr>
          <w:rFonts w:ascii="Times New Roman" w:hAnsi="Times New Roman" w:cs="Times New Roman"/>
          <w:color w:val="000000" w:themeColor="text1"/>
        </w:rPr>
        <w:t xml:space="preserve"> da finanziamenti europei o da altri finanziamenti a destinazione vincolata, </w:t>
      </w:r>
      <w:r w:rsidRPr="004A5029">
        <w:rPr>
          <w:rFonts w:ascii="Times New Roman" w:hAnsi="Times New Roman" w:cs="Times New Roman"/>
          <w:bCs/>
          <w:color w:val="000000" w:themeColor="text1"/>
        </w:rPr>
        <w:t xml:space="preserve">incrementato delle quote parti dell’incentivo corrispondenti a prestazioni non svolte o prive dell’attestazione del dirigente, oppure non corrisposto per le ragioni di cui al comma 4, secondo periodo, </w:t>
      </w:r>
      <w:r w:rsidRPr="004A5029">
        <w:rPr>
          <w:rFonts w:ascii="Times New Roman" w:hAnsi="Times New Roman" w:cs="Times New Roman"/>
          <w:color w:val="000000" w:themeColor="text1"/>
        </w:rPr>
        <w:t xml:space="preserve">è destinato </w:t>
      </w:r>
      <w:r w:rsidRPr="004A5029">
        <w:rPr>
          <w:rFonts w:ascii="Times New Roman" w:hAnsi="Times New Roman" w:cs="Times New Roman"/>
          <w:bCs/>
          <w:color w:val="000000" w:themeColor="text1"/>
        </w:rPr>
        <w:t>ai fini di cui ai commi 6 e 7.</w:t>
      </w:r>
    </w:p>
    <w:p w14:paraId="38F03D13" w14:textId="77777777"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6. Con le risorse di cui al comma 5 l’ente acquista </w:t>
      </w:r>
      <w:r w:rsidRPr="004A5029">
        <w:rPr>
          <w:rFonts w:ascii="Times New Roman" w:hAnsi="Times New Roman" w:cs="Times New Roman"/>
          <w:color w:val="000000" w:themeColor="text1"/>
          <w:shd w:val="clear" w:color="auto" w:fill="FFFFFF"/>
        </w:rPr>
        <w:t>beni e tecnologie funzionali a progetti di innovazione, anche per incentivare:</w:t>
      </w:r>
    </w:p>
    <w:p w14:paraId="29563501" w14:textId="77777777"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shd w:val="clear" w:color="auto" w:fill="FFFFFF"/>
        </w:rPr>
        <w:t xml:space="preserve">a) la modellazione elettronica informativa per l’edilizia e le infrastrutture; </w:t>
      </w:r>
    </w:p>
    <w:p w14:paraId="309EA02E" w14:textId="77777777" w:rsidR="00446F27" w:rsidRPr="004A5029" w:rsidRDefault="00446F27" w:rsidP="00446F27">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shd w:val="clear" w:color="auto" w:fill="FFFFFF"/>
        </w:rPr>
        <w:t>b) l’implementazione delle banche dati per il controllo e il miglioramento della capacità di spesa;</w:t>
      </w:r>
    </w:p>
    <w:p w14:paraId="745888A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shd w:val="clear" w:color="auto" w:fill="FFFFFF"/>
        </w:rPr>
        <w:t>c) l’efficientamento informatico, con particolare riferimento alle metodologie e strumentazioni elettroniche per i controlli.</w:t>
      </w:r>
    </w:p>
    <w:p w14:paraId="01ACC46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Una parte delle risorse di cui al comma 5 è in ogni caso utilizzata:</w:t>
      </w:r>
    </w:p>
    <w:p w14:paraId="57A53F4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per attività di formazione per l’incremento delle competenze digitali dei dipendenti nella realizzazione degli interventi;</w:t>
      </w:r>
    </w:p>
    <w:p w14:paraId="74D1C0F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per la specializzazione del personale che svolge funzioni tecniche;</w:t>
      </w:r>
    </w:p>
    <w:p w14:paraId="1217532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per la copertura degli oneri di assicurazione obbligatoria del personale.</w:t>
      </w:r>
    </w:p>
    <w:p w14:paraId="166FE4D6" w14:textId="62BF48B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8. Le amministrazioni e gli enti che costituiscono o si avvalgono di una centrale di committenza possono destinare, anche su richiesta di quest’ultima, le risorse finanziarie di cui al comma 2 o parte di esse ai</w:t>
      </w:r>
      <w:r w:rsidRPr="004A5029">
        <w:rPr>
          <w:rFonts w:ascii="Times New Roman" w:hAnsi="Times New Roman" w:cs="Times New Roman"/>
          <w:b/>
          <w:color w:val="000000" w:themeColor="text1"/>
        </w:rPr>
        <w:t xml:space="preserve"> </w:t>
      </w:r>
      <w:r w:rsidRPr="004A5029">
        <w:rPr>
          <w:rFonts w:ascii="Times New Roman" w:hAnsi="Times New Roman" w:cs="Times New Roman"/>
          <w:b/>
          <w:strike/>
          <w:color w:val="000000" w:themeColor="text1"/>
        </w:rPr>
        <w:t>loro</w:t>
      </w:r>
      <w:r w:rsidRPr="004A5029">
        <w:rPr>
          <w:rFonts w:ascii="Times New Roman" w:hAnsi="Times New Roman" w:cs="Times New Roman"/>
          <w:bCs/>
          <w:color w:val="000000" w:themeColor="text1"/>
        </w:rPr>
        <w:t xml:space="preserve"> dipendenti </w:t>
      </w:r>
      <w:r w:rsidR="00406953" w:rsidRPr="004A5029">
        <w:rPr>
          <w:rFonts w:ascii="Times New Roman" w:hAnsi="Times New Roman" w:cs="Times New Roman"/>
          <w:b/>
          <w:color w:val="000000" w:themeColor="text1"/>
        </w:rPr>
        <w:t>d</w:t>
      </w:r>
      <w:r w:rsidR="006A5F6D" w:rsidRPr="004A5029">
        <w:rPr>
          <w:rFonts w:ascii="Times New Roman" w:hAnsi="Times New Roman" w:cs="Times New Roman"/>
          <w:b/>
          <w:color w:val="000000" w:themeColor="text1"/>
        </w:rPr>
        <w:t>i tale centrale</w:t>
      </w:r>
      <w:r w:rsidR="00406953"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in relazione alle funzioni tecniche svolte. Le somme così destinate non possono comunque eccedere il 25 per cento</w:t>
      </w:r>
      <w:r w:rsidRPr="004A5029">
        <w:rPr>
          <w:rFonts w:ascii="Times New Roman" w:hAnsi="Times New Roman" w:cs="Times New Roman"/>
          <w:color w:val="000000" w:themeColor="text1"/>
        </w:rPr>
        <w:t xml:space="preserve"> dell'incentivo di cui al comma 2.</w:t>
      </w:r>
    </w:p>
    <w:p w14:paraId="1C0157D6" w14:textId="77777777" w:rsidR="00446F27" w:rsidRPr="004A5029" w:rsidRDefault="00446F27" w:rsidP="00446F27">
      <w:pPr>
        <w:jc w:val="both"/>
        <w:rPr>
          <w:rFonts w:ascii="Times New Roman" w:hAnsi="Times New Roman" w:cs="Times New Roman"/>
          <w:bCs/>
          <w:color w:val="000000" w:themeColor="text1"/>
        </w:rPr>
      </w:pPr>
    </w:p>
    <w:p w14:paraId="082637A7"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46.</w:t>
      </w:r>
    </w:p>
    <w:p w14:paraId="749A378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Concorsi di progettazione</w:t>
      </w:r>
      <w:r w:rsidRPr="004A5029">
        <w:rPr>
          <w:rFonts w:ascii="Times New Roman" w:hAnsi="Times New Roman" w:cs="Times New Roman"/>
          <w:color w:val="000000" w:themeColor="text1"/>
        </w:rPr>
        <w:t>.</w:t>
      </w:r>
    </w:p>
    <w:p w14:paraId="5F7E8468" w14:textId="53D6632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Ai concorsi di progettazione si applica la disciplina del </w:t>
      </w:r>
      <w:r w:rsidR="00F1581C"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della </w:t>
      </w:r>
      <w:r w:rsidR="00C353A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irettiva 2014/24/UE</w:t>
      </w:r>
      <w:r w:rsidRPr="004A5029">
        <w:rPr>
          <w:rFonts w:ascii="Times New Roman" w:hAnsi="Times New Roman" w:cs="Times New Roman"/>
          <w:b/>
          <w:bCs/>
          <w:strike/>
          <w:color w:val="000000" w:themeColor="text1"/>
        </w:rPr>
        <w:t xml:space="preserve"> </w:t>
      </w:r>
      <w:r w:rsidR="00DC6DA9" w:rsidRPr="004A5029">
        <w:rPr>
          <w:rFonts w:ascii="Times New Roman" w:hAnsi="Times New Roman" w:cs="Times New Roman"/>
          <w:b/>
          <w:bCs/>
          <w:strike/>
          <w:color w:val="000000" w:themeColor="text1"/>
        </w:rPr>
        <w:t>UE</w:t>
      </w:r>
      <w:r w:rsidR="00DC6DA9" w:rsidRPr="004A5029">
        <w:rPr>
          <w:rFonts w:ascii="Times New Roman" w:hAnsi="Times New Roman" w:cs="Times New Roman"/>
          <w:b/>
          <w:bCs/>
          <w:color w:val="000000" w:themeColor="text1"/>
        </w:rPr>
        <w:t xml:space="preserve"> del Parlamento europeo e del Consiglio, del 26 febbraio 2014 </w:t>
      </w:r>
      <w:r w:rsidRPr="004A5029">
        <w:rPr>
          <w:rFonts w:ascii="Times New Roman" w:hAnsi="Times New Roman" w:cs="Times New Roman"/>
          <w:color w:val="000000" w:themeColor="text1"/>
        </w:rPr>
        <w:t xml:space="preserve">e, per i settori speciali, la disciplina del </w:t>
      </w:r>
      <w:r w:rsidR="00F1581C"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della </w:t>
      </w:r>
      <w:r w:rsidR="00C353A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irettiva 2014/25/</w:t>
      </w:r>
      <w:bookmarkStart w:id="25" w:name="_Hlk127517554"/>
      <w:r w:rsidRPr="004A5029">
        <w:rPr>
          <w:rFonts w:ascii="Times New Roman" w:hAnsi="Times New Roman" w:cs="Times New Roman"/>
          <w:color w:val="000000" w:themeColor="text1"/>
        </w:rPr>
        <w:t>UE</w:t>
      </w:r>
      <w:r w:rsidR="001C1622" w:rsidRPr="004A5029">
        <w:rPr>
          <w:rFonts w:ascii="Times New Roman" w:hAnsi="Times New Roman" w:cs="Times New Roman"/>
          <w:b/>
          <w:bCs/>
          <w:color w:val="000000" w:themeColor="text1"/>
        </w:rPr>
        <w:t xml:space="preserve"> del Parlamento europeo e del Consiglio, del 26 febbraio 2014</w:t>
      </w:r>
      <w:bookmarkEnd w:id="25"/>
      <w:r w:rsidRPr="004A5029">
        <w:rPr>
          <w:rFonts w:ascii="Times New Roman" w:hAnsi="Times New Roman" w:cs="Times New Roman"/>
          <w:b/>
          <w:bCs/>
          <w:color w:val="000000" w:themeColor="text1"/>
        </w:rPr>
        <w:t>.</w:t>
      </w:r>
    </w:p>
    <w:p w14:paraId="22154456" w14:textId="431B14C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2. Il concorso di progettazione relativo al settore dei lavori pubblici si svolge di regola in una sola fase e ha ad oggetto progetti o piani con livello di approfondimento corrispondente al progetto di fattibilità tecnica ed economica. Con adeguata motivazione, le stazioni appaltanti e gli enti concedenti possono bandire un concorso in due fasi. Nella prima fase </w:t>
      </w:r>
      <w:r w:rsidR="00E07A23" w:rsidRPr="004A5029">
        <w:rPr>
          <w:rFonts w:ascii="Times New Roman" w:hAnsi="Times New Roman" w:cs="Times New Roman"/>
          <w:bCs/>
          <w:color w:val="000000" w:themeColor="text1"/>
        </w:rPr>
        <w:t>sono</w:t>
      </w:r>
      <w:r w:rsidRPr="004A5029">
        <w:rPr>
          <w:rFonts w:ascii="Times New Roman" w:hAnsi="Times New Roman" w:cs="Times New Roman"/>
          <w:bCs/>
          <w:color w:val="000000" w:themeColor="text1"/>
        </w:rPr>
        <w:t xml:space="preserve"> selezionate le proposte ideative. Nella seconda fase </w:t>
      </w:r>
      <w:r w:rsidR="00E07A23" w:rsidRPr="004A5029">
        <w:rPr>
          <w:rFonts w:ascii="Times New Roman" w:hAnsi="Times New Roman" w:cs="Times New Roman"/>
          <w:bCs/>
          <w:color w:val="000000" w:themeColor="text1"/>
        </w:rPr>
        <w:t>è</w:t>
      </w:r>
      <w:r w:rsidRPr="004A5029">
        <w:rPr>
          <w:rFonts w:ascii="Times New Roman" w:hAnsi="Times New Roman" w:cs="Times New Roman"/>
          <w:bCs/>
          <w:color w:val="000000" w:themeColor="text1"/>
        </w:rPr>
        <w:t xml:space="preserve"> elaborato un progetto di fattibilità tecnica ed economica delle proposte selezionate. </w:t>
      </w:r>
      <w:r w:rsidRPr="004A5029">
        <w:rPr>
          <w:rFonts w:ascii="Times New Roman" w:hAnsi="Times New Roman" w:cs="Times New Roman"/>
          <w:color w:val="000000" w:themeColor="text1"/>
        </w:rPr>
        <w:t>Qualora il concorso di progettazione riguard</w:t>
      </w:r>
      <w:r w:rsidR="00C353A3" w:rsidRPr="004A5029">
        <w:rPr>
          <w:rFonts w:ascii="Times New Roman" w:hAnsi="Times New Roman" w:cs="Times New Roman"/>
          <w:color w:val="000000" w:themeColor="text1"/>
        </w:rPr>
        <w:t>i</w:t>
      </w:r>
      <w:r w:rsidRPr="004A5029">
        <w:rPr>
          <w:rFonts w:ascii="Times New Roman" w:hAnsi="Times New Roman" w:cs="Times New Roman"/>
          <w:color w:val="000000" w:themeColor="text1"/>
        </w:rPr>
        <w:t xml:space="preserve"> un intervento da affidare in concessione, la proposta ideativa contiene anche la redazione di uno studio economico finanziario per la sua costruzione e gestione.</w:t>
      </w:r>
    </w:p>
    <w:p w14:paraId="79FECDC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Con il pagamento del premio le stazioni appaltanti </w:t>
      </w:r>
      <w:r w:rsidRPr="004A5029">
        <w:rPr>
          <w:rFonts w:ascii="Times New Roman" w:hAnsi="Times New Roman" w:cs="Times New Roman"/>
          <w:bCs/>
          <w:color w:val="000000" w:themeColor="text1"/>
        </w:rPr>
        <w:t>e gli enti concedenti</w:t>
      </w:r>
      <w:r w:rsidRPr="004A5029">
        <w:rPr>
          <w:rFonts w:ascii="Times New Roman" w:hAnsi="Times New Roman" w:cs="Times New Roman"/>
          <w:color w:val="000000" w:themeColor="text1"/>
        </w:rPr>
        <w:t xml:space="preserve"> acquistano la proprietà del progetto vincitore. </w:t>
      </w:r>
      <w:r w:rsidRPr="004A5029">
        <w:rPr>
          <w:rFonts w:ascii="Times New Roman" w:hAnsi="Times New Roman" w:cs="Times New Roman"/>
          <w:bCs/>
          <w:color w:val="000000" w:themeColor="text1"/>
        </w:rPr>
        <w:t xml:space="preserve">Il bando del concorso può prevedere che il progetto esecutivo sia affidato </w:t>
      </w:r>
      <w:r w:rsidRPr="004A5029">
        <w:rPr>
          <w:rFonts w:ascii="Times New Roman" w:hAnsi="Times New Roman" w:cs="Times New Roman"/>
          <w:color w:val="000000" w:themeColor="text1"/>
        </w:rPr>
        <w:t xml:space="preserve">con procedura negoziata </w:t>
      </w:r>
      <w:r w:rsidRPr="004A5029">
        <w:rPr>
          <w:rFonts w:ascii="Times New Roman" w:hAnsi="Times New Roman" w:cs="Times New Roman"/>
          <w:bCs/>
          <w:color w:val="000000" w:themeColor="text1"/>
        </w:rPr>
        <w:t>senza previa pubblicazione del bando o, nei</w:t>
      </w:r>
      <w:r w:rsidRPr="004A5029">
        <w:rPr>
          <w:rFonts w:ascii="Times New Roman" w:hAnsi="Times New Roman" w:cs="Times New Roman"/>
          <w:color w:val="000000" w:themeColor="text1"/>
        </w:rPr>
        <w:t xml:space="preserve"> settori speciali, </w:t>
      </w:r>
      <w:r w:rsidRPr="004A5029">
        <w:rPr>
          <w:rFonts w:ascii="Times New Roman" w:hAnsi="Times New Roman" w:cs="Times New Roman"/>
          <w:bCs/>
          <w:color w:val="000000" w:themeColor="text1"/>
        </w:rPr>
        <w:t>senza indizione di gara al vincitore o ai vincitori del concorso di progettazione</w:t>
      </w:r>
      <w:r w:rsidRPr="004A5029">
        <w:rPr>
          <w:rFonts w:ascii="Times New Roman" w:hAnsi="Times New Roman" w:cs="Times New Roman"/>
          <w:color w:val="000000" w:themeColor="text1"/>
        </w:rPr>
        <w:t xml:space="preserve">, se in possesso dei requisiti previsti dal bando. In tali casi, </w:t>
      </w:r>
      <w:r w:rsidRPr="004A5029">
        <w:rPr>
          <w:rFonts w:ascii="Times New Roman" w:hAnsi="Times New Roman" w:cs="Times New Roman"/>
          <w:bCs/>
          <w:color w:val="000000" w:themeColor="text1"/>
        </w:rPr>
        <w:t>nel</w:t>
      </w:r>
      <w:r w:rsidRPr="004A5029">
        <w:rPr>
          <w:rFonts w:ascii="Times New Roman" w:hAnsi="Times New Roman" w:cs="Times New Roman"/>
          <w:color w:val="000000" w:themeColor="text1"/>
        </w:rPr>
        <w:t xml:space="preserve"> computo della soglia di </w:t>
      </w:r>
      <w:r w:rsidRPr="004A5029">
        <w:rPr>
          <w:rFonts w:ascii="Times New Roman" w:hAnsi="Times New Roman" w:cs="Times New Roman"/>
          <w:bCs/>
          <w:color w:val="000000" w:themeColor="text1"/>
        </w:rPr>
        <w:t>rilevanza europea</w:t>
      </w:r>
      <w:r w:rsidRPr="004A5029">
        <w:rPr>
          <w:rFonts w:ascii="Times New Roman" w:hAnsi="Times New Roman" w:cs="Times New Roman"/>
          <w:color w:val="000000" w:themeColor="text1"/>
        </w:rPr>
        <w:t xml:space="preserve">, è calcolato il valore complessivo dei premi e pagamenti, compreso il valore stimato al netto dell’IVA dell’appalto pubblico di servizi che potrebbe essere successivamente aggiudicato </w:t>
      </w:r>
      <w:r w:rsidRPr="004A5029">
        <w:rPr>
          <w:rFonts w:ascii="Times New Roman" w:hAnsi="Times New Roman" w:cs="Times New Roman"/>
          <w:bCs/>
          <w:color w:val="000000" w:themeColor="text1"/>
        </w:rPr>
        <w:t>con la procedura di cui al comma 2.</w:t>
      </w:r>
    </w:p>
    <w:p w14:paraId="743CFD0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Le disposizioni del presente articolo si applicano anche ai concorsi di idee finalizzati all'acquisizione di una proposta ideativa da remunerare con il riconoscimento di un congruo premio. A tali concorsi possono partecipare, oltre ai soggetti ammessi ai concorsi di progettazione, anche i lavoratori subordinati abilitati all'esercizio della professione e iscritti all’ordine professionale secondo l'ordinamento nazionale di appartenenza, con esclusione dei dipendenti della stazione appaltante o dell’ente concedente che bandisce il concorso. L'idea o le idee premiate sono acquisite in proprietà dalla stazione appaltante o ente concedente, previa eventuale definizione degli assetti tecnici, e possono essere poste a base di un concorso di progettazione o di un appalto di servizi di progettazione, a cui possono partecipare i premiati qualora in possesso dei relativi requisiti soggettivi.</w:t>
      </w:r>
    </w:p>
    <w:p w14:paraId="3691E7B2" w14:textId="77777777" w:rsidR="00446F27" w:rsidRPr="004A5029" w:rsidRDefault="00446F27" w:rsidP="00446F27">
      <w:pPr>
        <w:rPr>
          <w:rFonts w:ascii="Times New Roman" w:hAnsi="Times New Roman" w:cs="Times New Roman"/>
          <w:color w:val="000000" w:themeColor="text1"/>
        </w:rPr>
      </w:pPr>
    </w:p>
    <w:p w14:paraId="1E760396" w14:textId="77777777" w:rsidR="00CE0BF3" w:rsidRDefault="00CE0BF3" w:rsidP="00446F27">
      <w:pPr>
        <w:jc w:val="both"/>
        <w:rPr>
          <w:rFonts w:ascii="Times New Roman" w:eastAsia="Times New Roman" w:hAnsi="Times New Roman" w:cs="Times New Roman"/>
          <w:b/>
          <w:bCs/>
          <w:color w:val="000000" w:themeColor="text1"/>
        </w:rPr>
      </w:pPr>
    </w:p>
    <w:p w14:paraId="7912134B" w14:textId="70F913B5" w:rsidR="00446F27" w:rsidRPr="004A5029" w:rsidRDefault="00446F27" w:rsidP="00446F27">
      <w:pPr>
        <w:jc w:val="both"/>
        <w:rPr>
          <w:rFonts w:ascii="Times New Roman" w:eastAsia="Times New Roman" w:hAnsi="Times New Roman" w:cs="Times New Roman"/>
          <w:b/>
          <w:bCs/>
          <w:i/>
          <w:iCs/>
          <w:color w:val="000000" w:themeColor="text1"/>
        </w:rPr>
      </w:pPr>
      <w:r w:rsidRPr="004A5029">
        <w:rPr>
          <w:rFonts w:ascii="Times New Roman" w:eastAsia="Times New Roman" w:hAnsi="Times New Roman" w:cs="Times New Roman"/>
          <w:b/>
          <w:bCs/>
          <w:color w:val="000000" w:themeColor="text1"/>
        </w:rPr>
        <w:t>Articolo 47.</w:t>
      </w:r>
    </w:p>
    <w:p w14:paraId="53296A97" w14:textId="77777777" w:rsidR="00446F27" w:rsidRPr="004A5029" w:rsidRDefault="00446F27" w:rsidP="00446F27">
      <w:pPr>
        <w:jc w:val="both"/>
        <w:rPr>
          <w:rFonts w:ascii="Times New Roman" w:eastAsia="Times New Roman" w:hAnsi="Times New Roman" w:cs="Times New Roman"/>
          <w:i/>
          <w:iCs/>
          <w:color w:val="000000" w:themeColor="text1"/>
        </w:rPr>
      </w:pPr>
      <w:r w:rsidRPr="004A5029">
        <w:rPr>
          <w:rStyle w:val="Hyperlink0"/>
          <w:rFonts w:ascii="Times New Roman" w:hAnsi="Times New Roman" w:cs="Times New Roman"/>
          <w:i/>
          <w:iCs/>
          <w:color w:val="000000" w:themeColor="text1"/>
        </w:rPr>
        <w:t>Consiglio superiore dei lavori pubblici.</w:t>
      </w:r>
    </w:p>
    <w:p w14:paraId="0F53A590" w14:textId="77777777" w:rsidR="00446F27" w:rsidRPr="004A5029" w:rsidRDefault="00446F27" w:rsidP="00446F27">
      <w:pPr>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1. Il Consiglio superiore dei lavori pubblici è il massimo organo tecnico consultivo dello Stato; opera con indipendenza di giudizio e di valutazione ed è dotato di piena autonomia funzionale e organizzativa.</w:t>
      </w:r>
    </w:p>
    <w:p w14:paraId="7FE0A3E4" w14:textId="560E68E8"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2. Il Consiglio superiore </w:t>
      </w:r>
      <w:r w:rsidR="004520DA" w:rsidRPr="004A5029">
        <w:rPr>
          <w:rStyle w:val="Hyperlink0"/>
          <w:rFonts w:ascii="Times New Roman" w:hAnsi="Times New Roman" w:cs="Times New Roman"/>
          <w:b/>
          <w:bCs/>
          <w:color w:val="000000" w:themeColor="text1"/>
        </w:rPr>
        <w:t>dei lavori pubblici</w:t>
      </w:r>
      <w:r w:rsidR="004520DA" w:rsidRPr="004A5029">
        <w:rPr>
          <w:rFonts w:ascii="Times New Roman" w:eastAsia="Times New Roman" w:hAnsi="Times New Roman" w:cs="Times New Roman"/>
          <w:b/>
          <w:bCs/>
          <w:color w:val="000000" w:themeColor="text1"/>
        </w:rPr>
        <w:t xml:space="preserve"> </w:t>
      </w:r>
      <w:r w:rsidRPr="004A5029">
        <w:rPr>
          <w:rFonts w:ascii="Times New Roman" w:eastAsia="Times New Roman" w:hAnsi="Times New Roman" w:cs="Times New Roman"/>
          <w:color w:val="000000" w:themeColor="text1"/>
        </w:rPr>
        <w:t>è presieduto dal Presidente ed è costituito dall’Assemblea generale, da quattro Sezioni, dalla Segreteria generale, dal Servizio tecnico centrale e dall’Osservatorio del collegio consultivo tecnico.</w:t>
      </w:r>
    </w:p>
    <w:p w14:paraId="0D32B95D" w14:textId="4FE50EA7" w:rsidR="00446F27" w:rsidRPr="004A5029" w:rsidRDefault="00446F27" w:rsidP="00446F27">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3. Il Consiglio superiore</w:t>
      </w:r>
      <w:r w:rsidR="004520DA" w:rsidRPr="004A5029">
        <w:rPr>
          <w:rStyle w:val="Hyperlink0"/>
          <w:rFonts w:ascii="Times New Roman" w:hAnsi="Times New Roman" w:cs="Times New Roman"/>
          <w:color w:val="000000" w:themeColor="text1"/>
        </w:rPr>
        <w:t xml:space="preserve"> </w:t>
      </w:r>
      <w:r w:rsidR="004520DA" w:rsidRPr="004A5029">
        <w:rPr>
          <w:rStyle w:val="Hyperlink0"/>
          <w:rFonts w:ascii="Times New Roman" w:hAnsi="Times New Roman" w:cs="Times New Roman"/>
          <w:b/>
          <w:bCs/>
          <w:color w:val="000000" w:themeColor="text1"/>
        </w:rPr>
        <w:t>dei lavori pubblici</w:t>
      </w:r>
      <w:r w:rsidRPr="004A5029">
        <w:rPr>
          <w:rStyle w:val="Hyperlink0"/>
          <w:rFonts w:ascii="Times New Roman" w:hAnsi="Times New Roman" w:cs="Times New Roman"/>
          <w:color w:val="000000" w:themeColor="text1"/>
        </w:rPr>
        <w:t>, nell'ambito dei compiti attribuiti allo Stato e nel rispetto delle prerogative delle regioni, delle province autonome, delle province, delle città metropolitane e dei comuni, esercita funzioni consultive ed esprime pareri obbligatori esclusivamente sui progetti di fattibilità tecnica ed economica di competenza statale, dei concessionari statali e sulle altre opere finanziate per almeno il 50</w:t>
      </w:r>
      <w:r w:rsidR="00C353A3" w:rsidRPr="004A5029">
        <w:rPr>
          <w:rStyle w:val="Hyperlink0"/>
          <w:rFonts w:ascii="Times New Roman" w:hAnsi="Times New Roman" w:cs="Times New Roman"/>
          <w:color w:val="000000" w:themeColor="text1"/>
        </w:rPr>
        <w:t xml:space="preserve"> per cento</w:t>
      </w:r>
      <w:r w:rsidRPr="004A5029">
        <w:rPr>
          <w:rStyle w:val="Hyperlink0"/>
          <w:rFonts w:ascii="Times New Roman" w:hAnsi="Times New Roman" w:cs="Times New Roman"/>
          <w:color w:val="000000" w:themeColor="text1"/>
        </w:rPr>
        <w:t xml:space="preserve"> dallo Stato</w:t>
      </w:r>
      <w:r w:rsidRPr="004A5029">
        <w:rPr>
          <w:rStyle w:val="Hyperlink0"/>
          <w:rFonts w:ascii="Times New Roman" w:hAnsi="Times New Roman" w:cs="Times New Roman"/>
          <w:strike/>
          <w:color w:val="000000" w:themeColor="text1"/>
        </w:rPr>
        <w:t>;</w:t>
      </w:r>
      <w:r w:rsidRPr="004A5029">
        <w:rPr>
          <w:rStyle w:val="Hyperlink0"/>
          <w:rFonts w:ascii="Times New Roman" w:hAnsi="Times New Roman" w:cs="Times New Roman"/>
          <w:color w:val="000000" w:themeColor="text1"/>
        </w:rPr>
        <w:t xml:space="preserve"> </w:t>
      </w:r>
      <w:r w:rsidR="00813448" w:rsidRPr="004A5029">
        <w:rPr>
          <w:rStyle w:val="Hyperlink0"/>
          <w:rFonts w:ascii="Times New Roman" w:hAnsi="Times New Roman" w:cs="Times New Roman"/>
          <w:b/>
          <w:bCs/>
          <w:color w:val="000000" w:themeColor="text1"/>
        </w:rPr>
        <w:t xml:space="preserve">e </w:t>
      </w:r>
      <w:r w:rsidRPr="004A5029">
        <w:rPr>
          <w:rStyle w:val="Hyperlink0"/>
          <w:rFonts w:ascii="Times New Roman" w:hAnsi="Times New Roman" w:cs="Times New Roman"/>
          <w:color w:val="000000" w:themeColor="text1"/>
        </w:rPr>
        <w:t xml:space="preserve">pareri facoltativi sui documenti di fattibilità delle alternative progettuali inseriti nei documenti pluriennali di programmazione dei ministeri competenti. I pareri di cui </w:t>
      </w:r>
      <w:r w:rsidR="00C353A3" w:rsidRPr="004A5029">
        <w:rPr>
          <w:rStyle w:val="Hyperlink0"/>
          <w:rFonts w:ascii="Times New Roman" w:hAnsi="Times New Roman" w:cs="Times New Roman"/>
          <w:color w:val="000000" w:themeColor="text1"/>
        </w:rPr>
        <w:t>al primo periodo</w:t>
      </w:r>
      <w:r w:rsidRPr="004A5029">
        <w:rPr>
          <w:rStyle w:val="Hyperlink0"/>
          <w:rFonts w:ascii="Times New Roman" w:hAnsi="Times New Roman" w:cs="Times New Roman"/>
          <w:color w:val="000000" w:themeColor="text1"/>
        </w:rPr>
        <w:t xml:space="preserve"> sono resi se il costo complessivo dell’opera, come derivante dal quadro economico, è superiore a 200 milioni di euro, nel caso di infrastrutture lineari, o a 50 milioni di euro, negli altri casi. I Comitati tecnici amministrativi presso i Provveditorati interregionali per le opere pubbliche esprimono parere obbligatorio esclusivamente sui progetti di fattibilità tecnic</w:t>
      </w:r>
      <w:r w:rsidR="00C353A3" w:rsidRPr="004A5029">
        <w:rPr>
          <w:rStyle w:val="Hyperlink0"/>
          <w:rFonts w:ascii="Times New Roman" w:hAnsi="Times New Roman" w:cs="Times New Roman"/>
          <w:color w:val="000000" w:themeColor="text1"/>
        </w:rPr>
        <w:t>o-</w:t>
      </w:r>
      <w:r w:rsidRPr="004A5029">
        <w:rPr>
          <w:rStyle w:val="Hyperlink0"/>
          <w:rFonts w:ascii="Times New Roman" w:hAnsi="Times New Roman" w:cs="Times New Roman"/>
          <w:color w:val="000000" w:themeColor="text1"/>
        </w:rPr>
        <w:t>economic</w:t>
      </w:r>
      <w:r w:rsidR="00C353A3" w:rsidRPr="004A5029">
        <w:rPr>
          <w:rStyle w:val="Hyperlink0"/>
          <w:rFonts w:ascii="Times New Roman" w:hAnsi="Times New Roman" w:cs="Times New Roman"/>
          <w:color w:val="000000" w:themeColor="text1"/>
        </w:rPr>
        <w:t>a</w:t>
      </w:r>
      <w:r w:rsidRPr="004A5029">
        <w:rPr>
          <w:rStyle w:val="Hyperlink0"/>
          <w:rFonts w:ascii="Times New Roman" w:hAnsi="Times New Roman" w:cs="Times New Roman"/>
          <w:color w:val="000000" w:themeColor="text1"/>
        </w:rPr>
        <w:t xml:space="preserve"> di opere di competenza statale, dei concessionari statali e delle altre opere finanziate per almeno il 50</w:t>
      </w:r>
      <w:r w:rsidR="00C353A3" w:rsidRPr="004A5029">
        <w:rPr>
          <w:rStyle w:val="Hyperlink0"/>
          <w:rFonts w:ascii="Times New Roman" w:hAnsi="Times New Roman" w:cs="Times New Roman"/>
          <w:color w:val="000000" w:themeColor="text1"/>
        </w:rPr>
        <w:t xml:space="preserve"> per cento</w:t>
      </w:r>
      <w:r w:rsidRPr="004A5029">
        <w:rPr>
          <w:rStyle w:val="Hyperlink0"/>
          <w:rFonts w:ascii="Times New Roman" w:hAnsi="Times New Roman" w:cs="Times New Roman"/>
          <w:color w:val="000000" w:themeColor="text1"/>
        </w:rPr>
        <w:t xml:space="preserve"> dallo Stato se il costo complessivo dell’opera, come derivante dal quadro economico, è superiore a 25 milioni di euro e inferiore a 200 milioni di euro, nel caso di infrastrutture lineari, oppure è superiore a 25 milioni di euro e inferiore a 50 milioni di euro, negli altri casi. Non è obbligatorio il parere sui progetti di fattibilità tecnic</w:t>
      </w:r>
      <w:r w:rsidR="00C353A3" w:rsidRPr="004A5029">
        <w:rPr>
          <w:rStyle w:val="Hyperlink0"/>
          <w:rFonts w:ascii="Times New Roman" w:hAnsi="Times New Roman" w:cs="Times New Roman"/>
          <w:color w:val="000000" w:themeColor="text1"/>
        </w:rPr>
        <w:t>o-</w:t>
      </w:r>
      <w:r w:rsidRPr="004A5029">
        <w:rPr>
          <w:rStyle w:val="Hyperlink0"/>
          <w:rFonts w:ascii="Times New Roman" w:hAnsi="Times New Roman" w:cs="Times New Roman"/>
          <w:color w:val="000000" w:themeColor="text1"/>
        </w:rPr>
        <w:t>economic</w:t>
      </w:r>
      <w:r w:rsidR="00C353A3" w:rsidRPr="004A5029">
        <w:rPr>
          <w:rStyle w:val="Hyperlink0"/>
          <w:rFonts w:ascii="Times New Roman" w:hAnsi="Times New Roman" w:cs="Times New Roman"/>
          <w:color w:val="000000" w:themeColor="text1"/>
        </w:rPr>
        <w:t>a</w:t>
      </w:r>
      <w:r w:rsidRPr="004A5029">
        <w:rPr>
          <w:rStyle w:val="Hyperlink0"/>
          <w:rFonts w:ascii="Times New Roman" w:hAnsi="Times New Roman" w:cs="Times New Roman"/>
          <w:color w:val="000000" w:themeColor="text1"/>
        </w:rPr>
        <w:t xml:space="preserve"> di opere di competenza statale, dei concessionari statali e delle altre opere finanziate per almeno il 50</w:t>
      </w:r>
      <w:r w:rsidR="00C353A3" w:rsidRPr="004A5029">
        <w:rPr>
          <w:rStyle w:val="Hyperlink0"/>
          <w:rFonts w:ascii="Times New Roman" w:hAnsi="Times New Roman" w:cs="Times New Roman"/>
          <w:color w:val="000000" w:themeColor="text1"/>
        </w:rPr>
        <w:t>per cento</w:t>
      </w:r>
      <w:r w:rsidRPr="004A5029">
        <w:rPr>
          <w:rStyle w:val="Hyperlink0"/>
          <w:rFonts w:ascii="Times New Roman" w:hAnsi="Times New Roman" w:cs="Times New Roman"/>
          <w:color w:val="000000" w:themeColor="text1"/>
        </w:rPr>
        <w:t xml:space="preserve"> dallo Stato se il costo complessivo dell’opera, come derivante dal quadro economico, è inferiore a 25 milioni di euro.</w:t>
      </w:r>
    </w:p>
    <w:p w14:paraId="3198DD49" w14:textId="0E380B26"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4. Le ulteriori competenze, l’organizzazione del Consiglio superiore dei lavori pubblici, le regole di funzionamento, nonché le ulteriori attribuzioni sono stabilite e disciplinate nell’allegato I.11. In sede di prima applicazione del codice, l’allegato I.11 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decreto del Ministro delle infrastrutture e dei trasporti, sentito il Consiglio superiore dei lavori pubblici, che lo sostituisce integralmente anche in qualità di allegato al codice.</w:t>
      </w:r>
    </w:p>
    <w:p w14:paraId="7CBEED82" w14:textId="5606C1E6" w:rsidR="003D6C13" w:rsidRPr="004A5029" w:rsidRDefault="00446F27" w:rsidP="00F611CE">
      <w:pPr>
        <w:jc w:val="both"/>
        <w:rPr>
          <w:rFonts w:ascii="Times New Roman" w:hAnsi="Times New Roman" w:cs="Times New Roman"/>
          <w:b/>
          <w:bCs/>
          <w:color w:val="000000" w:themeColor="text1"/>
        </w:rPr>
      </w:pPr>
      <w:r w:rsidRPr="004A5029">
        <w:rPr>
          <w:rStyle w:val="Hyperlink0"/>
          <w:rFonts w:ascii="Times New Roman" w:hAnsi="Times New Roman" w:cs="Times New Roman"/>
          <w:color w:val="000000" w:themeColor="text1"/>
        </w:rPr>
        <w:t xml:space="preserve">5. Il Consiglio superiore dei lavori pubblici esprime il parere entro </w:t>
      </w:r>
      <w:r w:rsidRPr="004A5029">
        <w:rPr>
          <w:rStyle w:val="Hyperlink0"/>
          <w:rFonts w:ascii="Times New Roman" w:hAnsi="Times New Roman" w:cs="Times New Roman"/>
          <w:b/>
          <w:bCs/>
          <w:strike/>
          <w:color w:val="000000" w:themeColor="text1"/>
        </w:rPr>
        <w:t>45</w:t>
      </w:r>
      <w:r w:rsidRPr="004A5029">
        <w:rPr>
          <w:rStyle w:val="Hyperlink0"/>
          <w:rFonts w:ascii="Times New Roman" w:hAnsi="Times New Roman" w:cs="Times New Roman"/>
          <w:b/>
          <w:bCs/>
          <w:color w:val="000000" w:themeColor="text1"/>
        </w:rPr>
        <w:t xml:space="preserve"> </w:t>
      </w:r>
      <w:r w:rsidR="00407103" w:rsidRPr="004A5029">
        <w:rPr>
          <w:rStyle w:val="Hyperlink0"/>
          <w:rFonts w:ascii="Times New Roman" w:hAnsi="Times New Roman" w:cs="Times New Roman"/>
          <w:b/>
          <w:bCs/>
          <w:color w:val="000000" w:themeColor="text1"/>
        </w:rPr>
        <w:t xml:space="preserve">quarantacinque </w:t>
      </w:r>
      <w:r w:rsidRPr="004A5029">
        <w:rPr>
          <w:rStyle w:val="Hyperlink0"/>
          <w:rFonts w:ascii="Times New Roman" w:hAnsi="Times New Roman" w:cs="Times New Roman"/>
          <w:color w:val="000000" w:themeColor="text1"/>
        </w:rPr>
        <w:t>giorni dalla trasmissione del progetto.  Decorso tale termine, il parere si intende reso in senso favorevole.</w:t>
      </w:r>
      <w:r w:rsidR="003D6C13" w:rsidRPr="004A5029">
        <w:rPr>
          <w:rFonts w:ascii="Times New Roman" w:hAnsi="Times New Roman" w:cs="Times New Roman"/>
          <w:b/>
          <w:bCs/>
          <w:color w:val="000000" w:themeColor="text1"/>
        </w:rPr>
        <w:br w:type="page"/>
      </w:r>
    </w:p>
    <w:p w14:paraId="53726E77" w14:textId="77777777" w:rsidR="00446F27" w:rsidRPr="004A5029" w:rsidRDefault="00446F27" w:rsidP="00446F27">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LIBRO II</w:t>
      </w:r>
    </w:p>
    <w:p w14:paraId="150EDB30" w14:textId="77777777" w:rsidR="00446F27" w:rsidRPr="004A5029" w:rsidRDefault="00446F27" w:rsidP="00446F27">
      <w:pPr>
        <w:jc w:val="center"/>
        <w:rPr>
          <w:rFonts w:ascii="Times New Roman" w:hAnsi="Times New Roman" w:cs="Times New Roman"/>
          <w:b/>
          <w:strike/>
          <w:color w:val="000000" w:themeColor="text1"/>
        </w:rPr>
      </w:pPr>
      <w:r w:rsidRPr="004A5029">
        <w:rPr>
          <w:rFonts w:ascii="Times New Roman" w:hAnsi="Times New Roman" w:cs="Times New Roman"/>
          <w:b/>
          <w:color w:val="000000" w:themeColor="text1"/>
        </w:rPr>
        <w:t>DELL’APPALTO</w:t>
      </w:r>
    </w:p>
    <w:p w14:paraId="0914A2E3" w14:textId="77777777" w:rsidR="00DC7D5C" w:rsidRPr="004A5029" w:rsidRDefault="00DC7D5C" w:rsidP="00446F27">
      <w:pPr>
        <w:jc w:val="center"/>
        <w:rPr>
          <w:rFonts w:ascii="Times New Roman" w:hAnsi="Times New Roman" w:cs="Times New Roman"/>
          <w:b/>
          <w:color w:val="000000" w:themeColor="text1"/>
        </w:rPr>
      </w:pPr>
    </w:p>
    <w:p w14:paraId="24054F8C" w14:textId="77DD8A6E"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I</w:t>
      </w:r>
    </w:p>
    <w:p w14:paraId="061F0880"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CONTRATTI DI IMPORTO INFERIORE ALLE SOGLIE EUROPEE</w:t>
      </w:r>
    </w:p>
    <w:p w14:paraId="38645DC7" w14:textId="77777777" w:rsidR="00446F27" w:rsidRPr="004A5029" w:rsidRDefault="00446F27" w:rsidP="00446F27">
      <w:pPr>
        <w:jc w:val="both"/>
        <w:rPr>
          <w:rFonts w:ascii="Times New Roman" w:eastAsia="Calibri" w:hAnsi="Times New Roman" w:cs="Times New Roman"/>
          <w:b/>
          <w:bCs/>
          <w:color w:val="000000" w:themeColor="text1"/>
        </w:rPr>
      </w:pPr>
    </w:p>
    <w:p w14:paraId="17549402"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48.</w:t>
      </w:r>
    </w:p>
    <w:p w14:paraId="6F8CF356"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Disciplina comune applicabile ai contratti di lavori, servizi e forniture di importo inferiore alle soglie di rilevanza europea.</w:t>
      </w:r>
    </w:p>
    <w:p w14:paraId="51B93DEC"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L’affidamento e l’esecuzione </w:t>
      </w:r>
      <w:r w:rsidRPr="004A5029">
        <w:rPr>
          <w:rFonts w:ascii="Times New Roman" w:eastAsia="Calibri" w:hAnsi="Times New Roman" w:cs="Times New Roman"/>
          <w:bCs/>
          <w:color w:val="000000" w:themeColor="text1"/>
        </w:rPr>
        <w:t>dei contratti aventi per oggetto</w:t>
      </w:r>
      <w:r w:rsidRPr="004A5029">
        <w:rPr>
          <w:rFonts w:ascii="Times New Roman" w:eastAsia="Calibri" w:hAnsi="Times New Roman" w:cs="Times New Roman"/>
          <w:color w:val="000000" w:themeColor="text1"/>
        </w:rPr>
        <w:t xml:space="preserve"> lavori, servizi e forniture </w:t>
      </w:r>
      <w:r w:rsidRPr="004A5029">
        <w:rPr>
          <w:rFonts w:ascii="Times New Roman" w:eastAsia="Calibri" w:hAnsi="Times New Roman" w:cs="Times New Roman"/>
          <w:bCs/>
          <w:color w:val="000000" w:themeColor="text1"/>
        </w:rPr>
        <w:t xml:space="preserve">di importo inferiore alle soglie di rilevanza europea </w:t>
      </w:r>
      <w:r w:rsidRPr="004A5029">
        <w:rPr>
          <w:rFonts w:ascii="Times New Roman" w:eastAsia="Calibri" w:hAnsi="Times New Roman" w:cs="Times New Roman"/>
          <w:color w:val="000000" w:themeColor="text1"/>
        </w:rPr>
        <w:t xml:space="preserve">si svolgono nel rispetto dei principi </w:t>
      </w:r>
      <w:r w:rsidRPr="004A5029">
        <w:rPr>
          <w:rFonts w:ascii="Times New Roman" w:eastAsia="Calibri" w:hAnsi="Times New Roman" w:cs="Times New Roman"/>
          <w:bCs/>
          <w:color w:val="000000" w:themeColor="text1"/>
        </w:rPr>
        <w:t>di cui al Libro I, Parti I e II.</w:t>
      </w:r>
    </w:p>
    <w:p w14:paraId="0B53953D"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Quando per uno dei contratti di cui al comma 1 la stazione appaltante accerta l’esistenza di un interesse transfrontaliero certo, segue le procedure ordinarie di cui alle Parti seguenti del presente Libro.</w:t>
      </w:r>
    </w:p>
    <w:p w14:paraId="5CB9FC89" w14:textId="77777777" w:rsidR="00446F27" w:rsidRPr="004A5029" w:rsidRDefault="00446F27" w:rsidP="00446F27">
      <w:pPr>
        <w:tabs>
          <w:tab w:val="left" w:pos="927"/>
        </w:tabs>
        <w:spacing w:line="254" w:lineRule="auto"/>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3. Restano fermi gli obblighi di utilizzo degli strumenti di acquisto e di negoziazione previsti dalle vigenti disposizioni in materia di contenimento della spesa.</w:t>
      </w:r>
    </w:p>
    <w:p w14:paraId="5584F95B"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4. Ai contratti di importo inferiore alle soglie di rilevanza europea si applicano, se non derogate dalla presente Parte, le disposizioni del codice.</w:t>
      </w:r>
    </w:p>
    <w:p w14:paraId="135E58C4" w14:textId="77777777" w:rsidR="00446F27" w:rsidRPr="004A5029" w:rsidRDefault="00446F27" w:rsidP="00446F27">
      <w:pPr>
        <w:jc w:val="both"/>
        <w:rPr>
          <w:rFonts w:ascii="Times New Roman" w:eastAsia="Calibri" w:hAnsi="Times New Roman" w:cs="Times New Roman"/>
          <w:bCs/>
          <w:color w:val="000000" w:themeColor="text1"/>
        </w:rPr>
      </w:pPr>
    </w:p>
    <w:p w14:paraId="00769C3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b/>
          <w:bCs/>
          <w:color w:val="000000" w:themeColor="text1"/>
        </w:rPr>
        <w:t>Articolo 49.</w:t>
      </w:r>
    </w:p>
    <w:p w14:paraId="34CBFA9A"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Principio di rotazione degli affidamenti</w:t>
      </w:r>
      <w:r w:rsidRPr="004A5029">
        <w:rPr>
          <w:rFonts w:ascii="Times New Roman" w:eastAsia="Calibri" w:hAnsi="Times New Roman" w:cs="Times New Roman"/>
          <w:color w:val="000000" w:themeColor="text1"/>
        </w:rPr>
        <w:t>.</w:t>
      </w:r>
    </w:p>
    <w:p w14:paraId="11BA8586"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Gli affidamenti di cui alla presente Parte avvengono nel rispetto del principio di rotazione. </w:t>
      </w:r>
    </w:p>
    <w:p w14:paraId="01F41EBE"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In applicazione del principio di rotazione è vietato l’affidamento o l’aggiudicazione di un appalto al contraente uscente nei casi in cui due consecutivi affidamenti abbiano a oggetto una commessa rientrante nello stesso settore merceologico, oppure nella stessa categoria di opere, oppure nello stesso settore di servizi.</w:t>
      </w:r>
    </w:p>
    <w:p w14:paraId="585E284E" w14:textId="19B3A2DB"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3. La stazione appaltante può ripartire gli affidamenti in fasce in base al valore economico. In tale caso il divieto di affidamento o di aggiudicazione si applica con riferimento a ciascuna fascia, fatto salvo quanto previsto </w:t>
      </w:r>
      <w:r w:rsidR="00C353A3" w:rsidRPr="004A5029">
        <w:rPr>
          <w:rFonts w:ascii="Times New Roman" w:eastAsia="Calibri" w:hAnsi="Times New Roman" w:cs="Times New Roman"/>
          <w:color w:val="000000" w:themeColor="text1"/>
        </w:rPr>
        <w:t>d</w:t>
      </w:r>
      <w:r w:rsidRPr="004A5029">
        <w:rPr>
          <w:rFonts w:ascii="Times New Roman" w:eastAsia="Calibri" w:hAnsi="Times New Roman" w:cs="Times New Roman"/>
          <w:color w:val="000000" w:themeColor="text1"/>
        </w:rPr>
        <w:t xml:space="preserve">ai commi </w:t>
      </w:r>
      <w:r w:rsidR="00C353A3" w:rsidRPr="004A5029">
        <w:rPr>
          <w:rFonts w:ascii="Times New Roman" w:eastAsia="Calibri" w:hAnsi="Times New Roman" w:cs="Times New Roman"/>
          <w:color w:val="000000" w:themeColor="text1"/>
        </w:rPr>
        <w:t>4, 5 e 6</w:t>
      </w:r>
      <w:r w:rsidRPr="004A5029">
        <w:rPr>
          <w:rFonts w:ascii="Times New Roman" w:eastAsia="Calibri" w:hAnsi="Times New Roman" w:cs="Times New Roman"/>
          <w:color w:val="000000" w:themeColor="text1"/>
        </w:rPr>
        <w:t xml:space="preserve">. </w:t>
      </w:r>
    </w:p>
    <w:p w14:paraId="3CFDFA07"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In casi motivati con riferimento alla struttura del mercato e alla effettiva assenza di alternative, nonché di accurata esecuzione del precedente contratto, il contraente uscente può essere reinvitato o essere individuato quale affidatario diretto.</w:t>
      </w:r>
    </w:p>
    <w:p w14:paraId="01B978DD"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5. Per i contratti affidati con le procedure di cui all’articolo 50, comma 1, lettere c), d) ed e), le stazioni appaltanti non applicano il principio di rotazione quando l’indagine di mercato sia stata effettuata senza porre limiti al numero di operatori economici in possesso dei requisiti richiesti da invitare alla successiva procedura negoziata.</w:t>
      </w:r>
    </w:p>
    <w:p w14:paraId="2C4BF7B9"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6. È comunque consentito derogare all’applicazione del principio di rotazione per gli affidamenti diretti di importo inferiore a 5.000 euro.</w:t>
      </w:r>
    </w:p>
    <w:p w14:paraId="62EBF9A1" w14:textId="77777777" w:rsidR="00446F27" w:rsidRPr="004A5029" w:rsidRDefault="00446F27" w:rsidP="00446F27">
      <w:pPr>
        <w:rPr>
          <w:rFonts w:ascii="Times New Roman" w:hAnsi="Times New Roman" w:cs="Times New Roman"/>
          <w:color w:val="000000" w:themeColor="text1"/>
        </w:rPr>
      </w:pPr>
    </w:p>
    <w:p w14:paraId="0006CDE5" w14:textId="77777777" w:rsidR="00661C89" w:rsidRPr="004A5029" w:rsidRDefault="00661C89" w:rsidP="00446F27">
      <w:pPr>
        <w:jc w:val="both"/>
        <w:rPr>
          <w:rFonts w:ascii="Times New Roman" w:hAnsi="Times New Roman" w:cs="Times New Roman"/>
          <w:b/>
          <w:color w:val="000000" w:themeColor="text1"/>
        </w:rPr>
      </w:pPr>
    </w:p>
    <w:p w14:paraId="03286E34" w14:textId="606AE602"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50.</w:t>
      </w:r>
    </w:p>
    <w:p w14:paraId="049D9A0B"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eastAsia="Calibri" w:hAnsi="Times New Roman" w:cs="Times New Roman"/>
          <w:i/>
          <w:iCs/>
          <w:color w:val="000000" w:themeColor="text1"/>
        </w:rPr>
        <w:t>P</w:t>
      </w:r>
      <w:r w:rsidRPr="004A5029">
        <w:rPr>
          <w:rFonts w:ascii="Times New Roman" w:eastAsia="Calibri" w:hAnsi="Times New Roman" w:cs="Times New Roman"/>
          <w:i/>
          <w:color w:val="000000" w:themeColor="text1"/>
        </w:rPr>
        <w:t>rocedure per l’affidamento.</w:t>
      </w:r>
    </w:p>
    <w:p w14:paraId="7C32ADD4"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w:t>
      </w:r>
      <w:r w:rsidRPr="004A5029">
        <w:rPr>
          <w:rFonts w:ascii="Times New Roman" w:hAnsi="Times New Roman" w:cs="Times New Roman"/>
          <w:bCs/>
          <w:color w:val="000000" w:themeColor="text1"/>
        </w:rPr>
        <w:t xml:space="preserve">Salvo quanto previsto dagli articoli 62 e 63, </w:t>
      </w:r>
      <w:r w:rsidRPr="004A5029">
        <w:rPr>
          <w:rFonts w:ascii="Times New Roman" w:hAnsi="Times New Roman" w:cs="Times New Roman"/>
          <w:color w:val="000000" w:themeColor="text1"/>
        </w:rPr>
        <w:t>le stazioni appaltanti procedono all'affidamento dei contratti di lavori, servizi e forniture di importo inferiore alle soglie di cui all’articolo 14 con le seguenti modalità:</w:t>
      </w:r>
    </w:p>
    <w:p w14:paraId="0F4CC619"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affidamento diretto per lavori di importo inferiore a 150.000 euro, anche senza consultazione di più operatori economici, </w:t>
      </w:r>
      <w:r w:rsidRPr="004A5029">
        <w:rPr>
          <w:rFonts w:ascii="Times New Roman" w:hAnsi="Times New Roman" w:cs="Times New Roman"/>
          <w:bCs/>
          <w:color w:val="000000" w:themeColor="text1"/>
        </w:rPr>
        <w:t xml:space="preserve">assicurando </w:t>
      </w:r>
      <w:r w:rsidRPr="004A5029">
        <w:rPr>
          <w:rFonts w:ascii="Times New Roman" w:hAnsi="Times New Roman" w:cs="Times New Roman"/>
          <w:color w:val="000000" w:themeColor="text1"/>
        </w:rPr>
        <w:t>che siano scelti soggetti in possesso di documentate esperienze pregresse idonee all’esecuzione delle prestazioni contrattuali anche individuati tra gli iscritti in elenchi o albi istituiti dalla stazione appaltante;</w:t>
      </w:r>
    </w:p>
    <w:p w14:paraId="3768FBAA"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3796113F" w14:textId="5BC47AE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procedura negoziata senza bando, previa consultazione di almeno cinque operatori economici, ove esistenti, individuati in base a indagini di mercato o tramite elenchi di operatori economici, per i lavori di importo pari o superiore a 150.000 euro e inferiore a </w:t>
      </w:r>
      <w:r w:rsidR="00C353A3" w:rsidRPr="004A5029">
        <w:rPr>
          <w:rFonts w:ascii="Times New Roman" w:hAnsi="Times New Roman" w:cs="Times New Roman"/>
          <w:color w:val="000000" w:themeColor="text1"/>
        </w:rPr>
        <w:t>1</w:t>
      </w:r>
      <w:r w:rsidRPr="004A5029">
        <w:rPr>
          <w:rFonts w:ascii="Times New Roman" w:hAnsi="Times New Roman" w:cs="Times New Roman"/>
          <w:color w:val="000000" w:themeColor="text1"/>
        </w:rPr>
        <w:t xml:space="preserve"> milione di euro;</w:t>
      </w:r>
    </w:p>
    <w:p w14:paraId="34C5E4BF" w14:textId="4CEE7AF2"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procedura negoziata senza bando, previa consultazione di almeno </w:t>
      </w:r>
      <w:r w:rsidRPr="004A5029">
        <w:rPr>
          <w:rFonts w:ascii="Times New Roman" w:hAnsi="Times New Roman" w:cs="Times New Roman"/>
          <w:b/>
          <w:bCs/>
          <w:strike/>
          <w:color w:val="000000" w:themeColor="text1"/>
        </w:rPr>
        <w:t>10</w:t>
      </w:r>
      <w:r w:rsidR="00813448" w:rsidRPr="004A5029">
        <w:rPr>
          <w:rFonts w:ascii="Times New Roman" w:hAnsi="Times New Roman" w:cs="Times New Roman"/>
          <w:b/>
          <w:bCs/>
          <w:color w:val="000000" w:themeColor="text1"/>
        </w:rPr>
        <w:t xml:space="preserve">dieci </w:t>
      </w:r>
      <w:r w:rsidRPr="004A5029">
        <w:rPr>
          <w:rFonts w:ascii="Times New Roman" w:hAnsi="Times New Roman" w:cs="Times New Roman"/>
          <w:color w:val="000000" w:themeColor="text1"/>
        </w:rPr>
        <w:t>operatori economici, ove esistenti,</w:t>
      </w:r>
      <w:r w:rsidR="005A620C" w:rsidRPr="004A5029">
        <w:rPr>
          <w:rFonts w:ascii="Times New Roman" w:hAnsi="Times New Roman" w:cs="Times New Roman"/>
          <w:color w:val="000000" w:themeColor="text1"/>
        </w:rPr>
        <w:t xml:space="preserve"> </w:t>
      </w:r>
      <w:r w:rsidR="005A620C" w:rsidRPr="004A5029">
        <w:rPr>
          <w:rFonts w:ascii="Times New Roman" w:hAnsi="Times New Roman" w:cs="Times New Roman"/>
          <w:b/>
          <w:bCs/>
          <w:color w:val="000000" w:themeColor="text1"/>
        </w:rPr>
        <w:t>individuati in base a indagini di mercato o tramite elenchi di operatori economici,</w:t>
      </w:r>
      <w:r w:rsidRPr="004A5029">
        <w:rPr>
          <w:rFonts w:ascii="Times New Roman" w:hAnsi="Times New Roman" w:cs="Times New Roman"/>
          <w:color w:val="000000" w:themeColor="text1"/>
        </w:rPr>
        <w:t xml:space="preserve"> per lavori di importo pari o superiore a </w:t>
      </w:r>
      <w:r w:rsidR="00C353A3" w:rsidRPr="004A5029">
        <w:rPr>
          <w:rFonts w:ascii="Times New Roman" w:hAnsi="Times New Roman" w:cs="Times New Roman"/>
          <w:color w:val="000000" w:themeColor="text1"/>
        </w:rPr>
        <w:t>1</w:t>
      </w:r>
      <w:r w:rsidRPr="004A5029">
        <w:rPr>
          <w:rFonts w:ascii="Times New Roman" w:hAnsi="Times New Roman" w:cs="Times New Roman"/>
          <w:color w:val="000000" w:themeColor="text1"/>
        </w:rPr>
        <w:t xml:space="preserve"> milione di euro e fino alle soglie di cui all’articolo 14, salva la possibilità di ricorrere alle procedure di scelta del contraente di cui alla Parte IV del presente Libro, </w:t>
      </w:r>
      <w:r w:rsidRPr="004A5029">
        <w:rPr>
          <w:rFonts w:ascii="Times New Roman" w:hAnsi="Times New Roman" w:cs="Times New Roman"/>
          <w:b/>
          <w:bCs/>
          <w:strike/>
          <w:color w:val="000000" w:themeColor="text1"/>
        </w:rPr>
        <w:t>previa adeguata motivazione</w:t>
      </w:r>
      <w:r w:rsidRPr="004A5029">
        <w:rPr>
          <w:rFonts w:ascii="Times New Roman" w:hAnsi="Times New Roman" w:cs="Times New Roman"/>
          <w:color w:val="000000" w:themeColor="text1"/>
        </w:rPr>
        <w:t>;</w:t>
      </w:r>
    </w:p>
    <w:p w14:paraId="39E70953"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e) procedura negoziata senza bando, previa consultazione di almeno cinque operatori economici, ove esistenti, individuati in base ad indagini di mercato o tramite elenchi di operatori economici, per l'affidamento di servizi e forniture, ivi compresi i servizi di ingegneria e architettura e l'attività di progettazione, di importo pari o superiore a </w:t>
      </w:r>
      <w:r w:rsidRPr="004A5029">
        <w:rPr>
          <w:rFonts w:ascii="Times New Roman" w:hAnsi="Times New Roman" w:cs="Times New Roman"/>
          <w:bCs/>
          <w:color w:val="000000" w:themeColor="text1"/>
        </w:rPr>
        <w:t>140.000 euro e fino alle soglie di cui all’articolo 14.</w:t>
      </w:r>
    </w:p>
    <w:p w14:paraId="669C7041" w14:textId="5C5BBD40"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Gli elenchi e le indagini di mercato sono gestiti con le modalità previste nell’allegato II.1. Per la selezione degli operatori da invitare alle procedure negoziate, le stazioni appaltanti non possono utilizzare il sorteggio o altro metodo di estrazione casuale dei nominativi, se non in presenza di situazioni particolari e specificamente motivate</w:t>
      </w:r>
      <w:r w:rsidR="0062792E" w:rsidRPr="004A5029">
        <w:rPr>
          <w:rFonts w:ascii="Times New Roman" w:eastAsia="Calibri" w:hAnsi="Times New Roman" w:cs="Times New Roman"/>
          <w:b/>
          <w:color w:val="000000" w:themeColor="text1"/>
        </w:rPr>
        <w:t>, nei casi in cui non risulti praticabile nessun altro metodo di selezione degli operatori</w:t>
      </w:r>
      <w:r w:rsidRPr="004A5029">
        <w:rPr>
          <w:rFonts w:ascii="Times New Roman" w:eastAsia="Calibri" w:hAnsi="Times New Roman" w:cs="Times New Roman"/>
          <w:bCs/>
          <w:color w:val="000000" w:themeColor="text1"/>
        </w:rPr>
        <w:t>.</w:t>
      </w:r>
      <w:r w:rsidR="0062792E" w:rsidRPr="004A5029">
        <w:rPr>
          <w:rFonts w:cstheme="minorHAnsi"/>
          <w:b/>
          <w:bCs/>
          <w:color w:val="000000" w:themeColor="text1"/>
          <w:sz w:val="20"/>
          <w:szCs w:val="20"/>
        </w:rPr>
        <w:t xml:space="preserve"> </w:t>
      </w:r>
      <w:r w:rsidR="0062792E" w:rsidRPr="004A5029">
        <w:rPr>
          <w:rFonts w:ascii="Times New Roman" w:hAnsi="Times New Roman" w:cs="Times New Roman"/>
          <w:b/>
          <w:bCs/>
          <w:color w:val="000000" w:themeColor="text1"/>
        </w:rPr>
        <w:t>Le stazioni appaltanti pubblicano sul proprio sito istituzionale i nominativi degli operatori consultati nell’ambito delle procedure di cui al comma 1.</w:t>
      </w:r>
    </w:p>
    <w:p w14:paraId="0D6A81E6" w14:textId="6B6B09BF" w:rsidR="00446F27" w:rsidRPr="004A5029" w:rsidRDefault="00446F27" w:rsidP="00446F27">
      <w:pPr>
        <w:jc w:val="both"/>
        <w:rPr>
          <w:rFonts w:ascii="Times New Roman" w:eastAsia="Calibri" w:hAnsi="Times New Roman" w:cs="Times New Roman"/>
          <w:i/>
          <w:iCs/>
          <w:color w:val="000000" w:themeColor="text1"/>
        </w:rPr>
      </w:pPr>
      <w:r w:rsidRPr="004A5029">
        <w:rPr>
          <w:rFonts w:ascii="Times New Roman" w:eastAsia="Calibri" w:hAnsi="Times New Roman" w:cs="Times New Roman"/>
          <w:bCs/>
          <w:color w:val="000000" w:themeColor="text1"/>
        </w:rPr>
        <w:t>3.</w:t>
      </w:r>
      <w:r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In sede di prima applicazione del codice, l’allegato II.1 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del Ministro delle infrastrutture e dei trasporti, previo parere dell’ANAC, che lo sostituisce integralmente anche in qualità di allegato al codice.</w:t>
      </w:r>
    </w:p>
    <w:p w14:paraId="1448D163" w14:textId="1A15956B"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4. Per gli affidamenti di cui al comma 1, lettere c), d) ed e),</w:t>
      </w:r>
      <w:r w:rsidRPr="004A5029">
        <w:rPr>
          <w:rFonts w:ascii="Times New Roman" w:eastAsia="Calibri" w:hAnsi="Times New Roman" w:cs="Times New Roman"/>
          <w:color w:val="000000" w:themeColor="text1"/>
        </w:rPr>
        <w:t xml:space="preserve"> le stazioni appaltanti procedono all'aggiudicazione dei </w:t>
      </w:r>
      <w:r w:rsidRPr="004A5029">
        <w:rPr>
          <w:rFonts w:ascii="Times New Roman" w:eastAsia="Calibri" w:hAnsi="Times New Roman" w:cs="Times New Roman"/>
          <w:bCs/>
          <w:color w:val="000000" w:themeColor="text1"/>
        </w:rPr>
        <w:t>relativi appalti</w:t>
      </w:r>
      <w:r w:rsidRPr="004A5029">
        <w:rPr>
          <w:rFonts w:ascii="Times New Roman" w:eastAsia="Calibri" w:hAnsi="Times New Roman" w:cs="Times New Roman"/>
          <w:color w:val="000000" w:themeColor="text1"/>
        </w:rPr>
        <w:t xml:space="preserve"> sulla base del criterio dell'offerta economicamente più vantaggiosa</w:t>
      </w:r>
      <w:r w:rsidRPr="004A5029">
        <w:rPr>
          <w:rFonts w:ascii="Times New Roman" w:eastAsia="Calibri" w:hAnsi="Times New Roman" w:cs="Times New Roman"/>
          <w:bCs/>
          <w:color w:val="000000" w:themeColor="text1"/>
        </w:rPr>
        <w:t xml:space="preserve"> oppure</w:t>
      </w:r>
      <w:r w:rsidRPr="004A5029">
        <w:rPr>
          <w:rFonts w:ascii="Times New Roman" w:eastAsia="Calibri" w:hAnsi="Times New Roman" w:cs="Times New Roman"/>
          <w:b/>
          <w:strike/>
          <w:color w:val="000000" w:themeColor="text1"/>
        </w:rPr>
        <w:t>,</w:t>
      </w:r>
      <w:r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
          <w:strike/>
          <w:color w:val="000000" w:themeColor="text1"/>
        </w:rPr>
        <w:t>fatti salvi i contratti ad alta intensità di manodopera</w:t>
      </w:r>
      <w:r w:rsidRPr="004A5029">
        <w:rPr>
          <w:rFonts w:ascii="Times New Roman" w:eastAsia="Calibri" w:hAnsi="Times New Roman" w:cs="Times New Roman"/>
          <w:bCs/>
          <w:strike/>
          <w:color w:val="000000" w:themeColor="text1"/>
        </w:rPr>
        <w:t xml:space="preserve">, </w:t>
      </w:r>
      <w:r w:rsidR="00C97F0D" w:rsidRPr="004A5029">
        <w:rPr>
          <w:rFonts w:ascii="Times New Roman" w:eastAsia="Calibri" w:hAnsi="Times New Roman" w:cs="Times New Roman"/>
          <w:color w:val="000000" w:themeColor="text1"/>
        </w:rPr>
        <w:t>del prezzo più basso</w:t>
      </w:r>
      <w:r w:rsidR="00C97F0D" w:rsidRPr="004A5029">
        <w:rPr>
          <w:rFonts w:ascii="Times New Roman" w:eastAsia="Calibri" w:hAnsi="Times New Roman" w:cs="Times New Roman"/>
          <w:b/>
          <w:bCs/>
          <w:color w:val="000000" w:themeColor="text1"/>
        </w:rPr>
        <w:t xml:space="preserve"> </w:t>
      </w:r>
      <w:r w:rsidR="00E70A3C" w:rsidRPr="004A5029">
        <w:rPr>
          <w:rFonts w:ascii="Times New Roman" w:eastAsia="Calibri" w:hAnsi="Times New Roman" w:cs="Times New Roman"/>
          <w:b/>
          <w:bCs/>
          <w:color w:val="000000" w:themeColor="text1"/>
        </w:rPr>
        <w:t xml:space="preserve">ad </w:t>
      </w:r>
      <w:r w:rsidR="006040C8" w:rsidRPr="004A5029">
        <w:rPr>
          <w:rFonts w:ascii="Times New Roman" w:eastAsia="Calibri" w:hAnsi="Times New Roman" w:cs="Times New Roman"/>
          <w:b/>
          <w:bCs/>
          <w:color w:val="000000" w:themeColor="text1"/>
        </w:rPr>
        <w:t>e</w:t>
      </w:r>
      <w:r w:rsidR="00E70A3C" w:rsidRPr="004A5029">
        <w:rPr>
          <w:rFonts w:ascii="Times New Roman" w:eastAsia="Calibri" w:hAnsi="Times New Roman" w:cs="Times New Roman"/>
          <w:b/>
          <w:bCs/>
          <w:color w:val="000000" w:themeColor="text1"/>
        </w:rPr>
        <w:t xml:space="preserve">ccezione delle ipotesi di cui </w:t>
      </w:r>
      <w:r w:rsidR="005345C7" w:rsidRPr="004A5029">
        <w:rPr>
          <w:rFonts w:ascii="Times New Roman" w:eastAsia="Calibri" w:hAnsi="Times New Roman" w:cs="Times New Roman"/>
          <w:b/>
          <w:bCs/>
          <w:color w:val="000000" w:themeColor="text1"/>
        </w:rPr>
        <w:t>all’articolo 108</w:t>
      </w:r>
      <w:r w:rsidR="006040C8" w:rsidRPr="004A5029">
        <w:rPr>
          <w:rFonts w:ascii="Times New Roman" w:eastAsia="Calibri" w:hAnsi="Times New Roman" w:cs="Times New Roman"/>
          <w:b/>
          <w:bCs/>
          <w:color w:val="000000" w:themeColor="text1"/>
        </w:rPr>
        <w:t>,</w:t>
      </w:r>
      <w:r w:rsidR="005345C7" w:rsidRPr="004A5029">
        <w:rPr>
          <w:rFonts w:ascii="Times New Roman" w:eastAsia="Calibri" w:hAnsi="Times New Roman" w:cs="Times New Roman"/>
          <w:b/>
          <w:bCs/>
          <w:color w:val="000000" w:themeColor="text1"/>
        </w:rPr>
        <w:t xml:space="preserve"> comma 2</w:t>
      </w:r>
      <w:r w:rsidR="00C97F0D" w:rsidRPr="004A5029">
        <w:rPr>
          <w:rFonts w:ascii="Times New Roman" w:eastAsia="Calibri" w:hAnsi="Times New Roman" w:cs="Times New Roman"/>
          <w:b/>
          <w:bCs/>
          <w:color w:val="000000" w:themeColor="text1"/>
        </w:rPr>
        <w:t>.</w:t>
      </w:r>
    </w:p>
    <w:p w14:paraId="6C78A3D2" w14:textId="6F950C15" w:rsidR="00446F27" w:rsidRPr="004A5029" w:rsidRDefault="00446F27" w:rsidP="00446F27">
      <w:pPr>
        <w:jc w:val="both"/>
        <w:rPr>
          <w:rFonts w:ascii="Times New Roman" w:eastAsia="Calibri" w:hAnsi="Times New Roman" w:cs="Times New Roman"/>
          <w:bCs/>
          <w:color w:val="000000" w:themeColor="text1"/>
          <w:highlight w:val="cyan"/>
        </w:rPr>
      </w:pPr>
      <w:r w:rsidRPr="004A5029">
        <w:rPr>
          <w:rFonts w:ascii="Times New Roman" w:hAnsi="Times New Roman" w:cs="Times New Roman"/>
          <w:bCs/>
          <w:color w:val="000000" w:themeColor="text1"/>
        </w:rPr>
        <w:t xml:space="preserve">5. Le imprese pubbliche, per i contratti di lavori, forniture e servizi di importo inferiore alle soglie europee di cui all’articolo 14, rientranti nell'ambito definito dagli articoli da 146 a 152, applicano la disciplina stabilita nei rispettivi regolamenti, la quale, se i contratti presentano un interesse transfrontaliero certo, deve essere conforme ai principi del Trattato </w:t>
      </w:r>
      <w:r w:rsidR="004B7F60" w:rsidRPr="004A5029">
        <w:rPr>
          <w:rFonts w:ascii="Times New Roman" w:hAnsi="Times New Roman" w:cs="Times New Roman"/>
          <w:bCs/>
          <w:color w:val="000000" w:themeColor="text1"/>
        </w:rPr>
        <w:t>sull’Unione europea</w:t>
      </w:r>
      <w:r w:rsidRPr="004A5029">
        <w:rPr>
          <w:rFonts w:ascii="Times New Roman" w:hAnsi="Times New Roman" w:cs="Times New Roman"/>
          <w:bCs/>
          <w:color w:val="000000" w:themeColor="text1"/>
        </w:rPr>
        <w:t xml:space="preserve"> a tutela della concorrenza. Gli altri soggetti di cui all’articolo 141, comma 1, secondo periodo</w:t>
      </w:r>
      <w:r w:rsidR="00813448" w:rsidRPr="004A5029">
        <w:rPr>
          <w:rFonts w:ascii="Times New Roman" w:hAnsi="Times New Roman" w:cs="Times New Roman"/>
          <w:b/>
          <w:color w:val="000000" w:themeColor="text1"/>
        </w:rPr>
        <w:t>,</w:t>
      </w:r>
      <w:r w:rsidRPr="004A5029">
        <w:rPr>
          <w:rFonts w:ascii="Times New Roman" w:hAnsi="Times New Roman" w:cs="Times New Roman"/>
          <w:bCs/>
          <w:color w:val="000000" w:themeColor="text1"/>
        </w:rPr>
        <w:t xml:space="preserve"> applicano la disciplina stabilita nei rispettivi regolamenti, la quale deve essere conforme ai predetti principi del Trattato </w:t>
      </w:r>
      <w:r w:rsidR="00546338" w:rsidRPr="004A5029">
        <w:rPr>
          <w:rFonts w:ascii="Times New Roman" w:hAnsi="Times New Roman" w:cs="Times New Roman"/>
          <w:bCs/>
          <w:color w:val="000000" w:themeColor="text1"/>
        </w:rPr>
        <w:t>sull’</w:t>
      </w:r>
      <w:r w:rsidRPr="004A5029">
        <w:rPr>
          <w:rFonts w:ascii="Times New Roman" w:hAnsi="Times New Roman" w:cs="Times New Roman"/>
          <w:bCs/>
          <w:color w:val="000000" w:themeColor="text1"/>
        </w:rPr>
        <w:t>U</w:t>
      </w:r>
      <w:r w:rsidR="00546338" w:rsidRPr="004A5029">
        <w:rPr>
          <w:rFonts w:ascii="Times New Roman" w:hAnsi="Times New Roman" w:cs="Times New Roman"/>
          <w:bCs/>
          <w:color w:val="000000" w:themeColor="text1"/>
        </w:rPr>
        <w:t>nione europea</w:t>
      </w:r>
      <w:r w:rsidR="004B7F60" w:rsidRPr="004A5029">
        <w:rPr>
          <w:rFonts w:ascii="Times New Roman" w:hAnsi="Times New Roman" w:cs="Times New Roman"/>
          <w:bCs/>
          <w:color w:val="000000" w:themeColor="text1"/>
        </w:rPr>
        <w:t>.</w:t>
      </w:r>
    </w:p>
    <w:p w14:paraId="604BF01A"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6. Dopo la verifica dei requisiti dell’aggiudicatario la stazione appaltante può procedere all’esecuzione anticipata del contratto; nel caso di mancata stipulazione l’aggiudicatario ha diritto al rimborso delle spese sostenute per l’esecuzione dei lavori ordinati dal direttore dei lavori e, nel caso di servizi e forniture, per le prestazioni eseguite su ordine del direttore dell’esecuzione.</w:t>
      </w:r>
    </w:p>
    <w:p w14:paraId="2FF6AAE7"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7. Per i contratti di cui alla presente Parte la stazione appaltante può sostituire il certificato di collaudo o il certificato di verifica di conformità con il certificato di regolare esecuzione, rilasciato per i lavori dal direttore dei lavori e per le forniture e i servizi dal RUP o dal direttore dell’esecuzione, se nominato. Il certificato di regolare esecuzione è emesso non oltre tre mesi dalla data di ultimazione delle prestazioni oggetto del contratto.</w:t>
      </w:r>
    </w:p>
    <w:p w14:paraId="0122B4D6" w14:textId="77777777" w:rsidR="00446F27" w:rsidRPr="004A5029" w:rsidRDefault="00446F27" w:rsidP="00446F27">
      <w:pPr>
        <w:jc w:val="both"/>
        <w:rPr>
          <w:rFonts w:ascii="Times New Roman" w:eastAsia="Calibri" w:hAnsi="Times New Roman" w:cs="Times New Roman"/>
          <w:bCs/>
          <w:color w:val="000000" w:themeColor="text1"/>
          <w:highlight w:val="cyan"/>
        </w:rPr>
      </w:pPr>
      <w:r w:rsidRPr="004A5029">
        <w:rPr>
          <w:rFonts w:ascii="Times New Roman" w:hAnsi="Times New Roman" w:cs="Times New Roman"/>
          <w:bCs/>
          <w:color w:val="000000" w:themeColor="text1"/>
        </w:rPr>
        <w:t>8. I bandi e gli avvisi di pre-informazione relativi ai contratti di cui alla presente Parte sono pubblicati a livello nazionale con le modalità di cui all’articolo 85, con esclusione della trasmissione del bando di gara all’Ufficio delle pubblicazioni dell'Unione europea.</w:t>
      </w:r>
    </w:p>
    <w:p w14:paraId="2A5127A7" w14:textId="436304FF"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9. Con le stesse modalità di cui al comma 8 è pubblicato l’avviso sui risultati delle procedure di affidamento di cui al presente articolo. Nei casi di cui alle lettere c), d) ed e) del comma 1, </w:t>
      </w:r>
      <w:r w:rsidRPr="004A5029">
        <w:rPr>
          <w:rFonts w:ascii="Times New Roman" w:hAnsi="Times New Roman" w:cs="Times New Roman"/>
          <w:b/>
          <w:strike/>
          <w:color w:val="000000" w:themeColor="text1"/>
        </w:rPr>
        <w:t>esso</w:t>
      </w:r>
      <w:r w:rsidRPr="004A5029">
        <w:rPr>
          <w:rFonts w:ascii="Times New Roman" w:hAnsi="Times New Roman" w:cs="Times New Roman"/>
          <w:b/>
          <w:color w:val="000000" w:themeColor="text1"/>
        </w:rPr>
        <w:t xml:space="preserve"> </w:t>
      </w:r>
      <w:r w:rsidR="001E7C3F" w:rsidRPr="004A5029">
        <w:rPr>
          <w:rFonts w:ascii="Times New Roman" w:hAnsi="Times New Roman" w:cs="Times New Roman"/>
          <w:b/>
          <w:color w:val="000000" w:themeColor="text1"/>
        </w:rPr>
        <w:t>tale avviso</w:t>
      </w:r>
      <w:r w:rsidR="001E7C3F"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contiene anche l'indicazione dei soggetti invitati. </w:t>
      </w:r>
    </w:p>
    <w:p w14:paraId="0C6C2CD5" w14:textId="77777777" w:rsidR="00446F27" w:rsidRPr="004A5029" w:rsidRDefault="00446F27" w:rsidP="00446F27">
      <w:pPr>
        <w:jc w:val="both"/>
        <w:rPr>
          <w:rFonts w:ascii="Times New Roman" w:eastAsia="Calibri" w:hAnsi="Times New Roman" w:cs="Times New Roman"/>
          <w:color w:val="000000" w:themeColor="text1"/>
        </w:rPr>
      </w:pPr>
    </w:p>
    <w:p w14:paraId="45D29AF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51.</w:t>
      </w:r>
    </w:p>
    <w:p w14:paraId="121416A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
          <w:color w:val="000000" w:themeColor="text1"/>
        </w:rPr>
        <w:t>Commissione giudicatrice.</w:t>
      </w:r>
    </w:p>
    <w:p w14:paraId="67DCDDA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1. Nel caso di aggiudicazione dei contratti di cui alla presente Parte con il criterio dell'offerta economicamente più vantaggiosa, alla commissione giudicatrice può partecipare il RUP, anche in qualità di presidente.</w:t>
      </w:r>
    </w:p>
    <w:p w14:paraId="709E88E4" w14:textId="77777777" w:rsidR="00446F27" w:rsidRPr="004A5029" w:rsidRDefault="00446F27" w:rsidP="00446F27">
      <w:pPr>
        <w:jc w:val="both"/>
        <w:rPr>
          <w:rFonts w:ascii="Times New Roman" w:hAnsi="Times New Roman" w:cs="Times New Roman"/>
          <w:b/>
          <w:color w:val="000000" w:themeColor="text1"/>
        </w:rPr>
      </w:pPr>
    </w:p>
    <w:p w14:paraId="5CAB6CE5" w14:textId="77777777" w:rsidR="00446F27" w:rsidRPr="004A5029" w:rsidRDefault="00446F27" w:rsidP="00446F27">
      <w:pPr>
        <w:jc w:val="both"/>
        <w:rPr>
          <w:rFonts w:ascii="Times New Roman" w:eastAsia="Calibri" w:hAnsi="Times New Roman" w:cs="Times New Roman"/>
          <w:b/>
          <w:bCs/>
          <w:color w:val="000000" w:themeColor="text1"/>
        </w:rPr>
      </w:pPr>
      <w:r w:rsidRPr="004A5029">
        <w:rPr>
          <w:rFonts w:ascii="Times New Roman" w:hAnsi="Times New Roman" w:cs="Times New Roman"/>
          <w:b/>
          <w:color w:val="000000" w:themeColor="text1"/>
        </w:rPr>
        <w:t>Articolo</w:t>
      </w:r>
      <w:r w:rsidRPr="004A5029">
        <w:rPr>
          <w:rFonts w:ascii="Times New Roman" w:eastAsia="Calibri" w:hAnsi="Times New Roman" w:cs="Times New Roman"/>
          <w:b/>
          <w:bCs/>
          <w:color w:val="000000" w:themeColor="text1"/>
        </w:rPr>
        <w:t xml:space="preserve"> 52.</w:t>
      </w:r>
    </w:p>
    <w:p w14:paraId="528DD2CC"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Controllo sul possesso dei requisiti.</w:t>
      </w:r>
    </w:p>
    <w:p w14:paraId="71185305"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 xml:space="preserve">1. Nelle procedure di affidamento di cui all’articolo 50, comma 1, lettere a) e b), di importo inferiore a 40.000 euro, gli operatori economici attestano con dichiarazione sostitutiva di atto di notorietà il possesso dei requisiti di partecipazione e di qualificazione richiesti. La stazione appaltante verifica le dichiarazioni, anche previo sorteggio di un campione individuato con modalità predeterminate ogni anno. </w:t>
      </w:r>
    </w:p>
    <w:p w14:paraId="592CE811" w14:textId="6EFFF9B8"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2. Quando in conseguenza della verifica non sia confermato il possesso dei requisiti generali o speciali dichiarati, la stazione appaltante procede alla risoluzione del contratto, all’escussione della eventuale garanzia definitiva, alla comunicazione all’ANAC e alla sospensione dell’operatore economico dalla partecipazione alle procedure di affidamento indette dalla medesima stazione appaltante per un periodo da uno a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 </w:t>
      </w:r>
      <w:r w:rsidRPr="004A5029">
        <w:rPr>
          <w:rFonts w:ascii="Times New Roman" w:eastAsia="Calibri" w:hAnsi="Times New Roman" w:cs="Times New Roman"/>
          <w:bCs/>
          <w:color w:val="000000" w:themeColor="text1"/>
        </w:rPr>
        <w:t>mesi decorrenti dall’adozione del provvedimento.</w:t>
      </w:r>
    </w:p>
    <w:p w14:paraId="508C98E9" w14:textId="77777777" w:rsidR="00446F27" w:rsidRPr="004A5029" w:rsidRDefault="00446F27" w:rsidP="00446F27">
      <w:pPr>
        <w:spacing w:line="254" w:lineRule="auto"/>
        <w:jc w:val="both"/>
        <w:rPr>
          <w:rFonts w:ascii="Times New Roman" w:hAnsi="Times New Roman" w:cs="Times New Roman"/>
          <w:b/>
          <w:color w:val="000000" w:themeColor="text1"/>
        </w:rPr>
      </w:pPr>
    </w:p>
    <w:p w14:paraId="0AE70934" w14:textId="77777777" w:rsidR="00446F27" w:rsidRPr="004A5029" w:rsidRDefault="00446F27" w:rsidP="00446F27">
      <w:pPr>
        <w:jc w:val="both"/>
        <w:rPr>
          <w:rFonts w:ascii="Times New Roman" w:hAnsi="Times New Roman" w:cs="Times New Roman"/>
          <w:b/>
          <w:color w:val="000000" w:themeColor="text1"/>
        </w:rPr>
      </w:pPr>
      <w:bookmarkStart w:id="26" w:name="_Hlk126088045"/>
      <w:r w:rsidRPr="004A5029">
        <w:rPr>
          <w:rFonts w:ascii="Times New Roman" w:hAnsi="Times New Roman" w:cs="Times New Roman"/>
          <w:b/>
          <w:color w:val="000000" w:themeColor="text1"/>
        </w:rPr>
        <w:t>Articolo 53.</w:t>
      </w:r>
    </w:p>
    <w:p w14:paraId="44A7F490"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Garanzie a corredo dell’offerta e garanzie definitive.</w:t>
      </w:r>
    </w:p>
    <w:p w14:paraId="558673BF" w14:textId="51748A72" w:rsidR="00446F27" w:rsidRPr="004A5029" w:rsidRDefault="00446F27" w:rsidP="00446F27">
      <w:pPr>
        <w:jc w:val="both"/>
        <w:rPr>
          <w:rFonts w:ascii="Times New Roman" w:hAnsi="Times New Roman" w:cs="Times New Roman"/>
          <w:bCs/>
          <w:color w:val="000000" w:themeColor="text1"/>
        </w:rPr>
      </w:pPr>
      <w:r w:rsidRPr="004A5029">
        <w:rPr>
          <w:rFonts w:ascii="Times New Roman" w:eastAsia="Calibri" w:hAnsi="Times New Roman" w:cs="Times New Roman"/>
          <w:bCs/>
          <w:color w:val="000000" w:themeColor="text1"/>
        </w:rPr>
        <w:t xml:space="preserve">1. Nelle procedure </w:t>
      </w:r>
      <w:r w:rsidRPr="004A5029">
        <w:rPr>
          <w:rFonts w:ascii="Times New Roman" w:eastAsia="Calibri" w:hAnsi="Times New Roman" w:cs="Times New Roman"/>
          <w:color w:val="000000" w:themeColor="text1"/>
        </w:rPr>
        <w:t xml:space="preserve">di affidamento di cui </w:t>
      </w:r>
      <w:r w:rsidRPr="004A5029">
        <w:rPr>
          <w:rFonts w:ascii="Times New Roman" w:eastAsia="Calibri" w:hAnsi="Times New Roman" w:cs="Times New Roman"/>
          <w:bCs/>
          <w:color w:val="000000" w:themeColor="text1"/>
        </w:rPr>
        <w:t>all’articolo 50, comma 1,</w:t>
      </w:r>
      <w:r w:rsidRPr="004A5029">
        <w:rPr>
          <w:rFonts w:ascii="Times New Roman" w:eastAsia="Calibri" w:hAnsi="Times New Roman" w:cs="Times New Roman"/>
          <w:color w:val="000000" w:themeColor="text1"/>
        </w:rPr>
        <w:t xml:space="preserve"> la stazione appaltante non richiede le garanzie provvisorie di cui all’articolo 106 salvo che, </w:t>
      </w:r>
      <w:r w:rsidRPr="004A5029">
        <w:rPr>
          <w:rFonts w:ascii="Times New Roman" w:eastAsia="Calibri" w:hAnsi="Times New Roman" w:cs="Times New Roman"/>
          <w:bCs/>
          <w:color w:val="000000" w:themeColor="text1"/>
        </w:rPr>
        <w:t>nelle procedure di cui alle lettere c), d) ed e) dello stesso comma 1</w:t>
      </w:r>
      <w:r w:rsidR="00813448" w:rsidRPr="004A5029">
        <w:rPr>
          <w:rFonts w:ascii="Times New Roman" w:eastAsia="Calibri" w:hAnsi="Times New Roman" w:cs="Times New Roman"/>
          <w:bCs/>
          <w:color w:val="000000" w:themeColor="text1"/>
        </w:rPr>
        <w:t xml:space="preserve"> </w:t>
      </w:r>
      <w:r w:rsidR="00813448" w:rsidRPr="004A5029">
        <w:rPr>
          <w:rFonts w:ascii="Times New Roman" w:eastAsia="Calibri" w:hAnsi="Times New Roman" w:cs="Times New Roman"/>
          <w:b/>
          <w:color w:val="000000" w:themeColor="text1"/>
        </w:rPr>
        <w:t>dell’articolo 50</w:t>
      </w:r>
      <w:r w:rsidRPr="004A5029">
        <w:rPr>
          <w:rFonts w:ascii="Times New Roman" w:eastAsia="Calibri" w:hAnsi="Times New Roman" w:cs="Times New Roman"/>
          <w:color w:val="000000" w:themeColor="text1"/>
        </w:rPr>
        <w:t xml:space="preserve">, in considerazione della tipologia e specificità della singola procedura, ricorrano particolari esigenze che ne giustifichino la richiesta. Le esigenze particolari sono indicate </w:t>
      </w:r>
      <w:r w:rsidRPr="004A5029">
        <w:rPr>
          <w:rFonts w:ascii="Times New Roman" w:eastAsia="Calibri" w:hAnsi="Times New Roman" w:cs="Times New Roman"/>
          <w:bCs/>
          <w:color w:val="000000" w:themeColor="text1"/>
        </w:rPr>
        <w:t>nella decisione di contrarre oppure</w:t>
      </w:r>
      <w:r w:rsidRPr="004A5029">
        <w:rPr>
          <w:rFonts w:ascii="Times New Roman" w:eastAsia="Calibri" w:hAnsi="Times New Roman" w:cs="Times New Roman"/>
          <w:color w:val="000000" w:themeColor="text1"/>
        </w:rPr>
        <w:t xml:space="preserve"> nell’avviso di indizione della procedura o in altro atto equivalente.</w:t>
      </w:r>
    </w:p>
    <w:p w14:paraId="5538C46C"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Quando è richiesta la garanzia provvisoria, il relativo ammontare non può superare l’uno per cento dell’importo previsto nell’avviso o nell’invito per il contratto oggetto di affidamento.</w:t>
      </w:r>
    </w:p>
    <w:p w14:paraId="4D53F4CF"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3. La garanzia provvisoria può essere costituita sotto forma di cauzione oppure di fideiussione con le modalità di cui all’articolo </w:t>
      </w:r>
      <w:r w:rsidRPr="004A5029">
        <w:rPr>
          <w:rFonts w:ascii="Times New Roman" w:eastAsia="Calibri" w:hAnsi="Times New Roman" w:cs="Times New Roman"/>
          <w:color w:val="000000" w:themeColor="text1"/>
        </w:rPr>
        <w:t>106</w:t>
      </w:r>
      <w:r w:rsidRPr="004A5029">
        <w:rPr>
          <w:rFonts w:ascii="Times New Roman" w:eastAsia="Calibri" w:hAnsi="Times New Roman" w:cs="Times New Roman"/>
          <w:bCs/>
          <w:color w:val="000000" w:themeColor="text1"/>
        </w:rPr>
        <w:t>.</w:t>
      </w:r>
    </w:p>
    <w:p w14:paraId="6909B4B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eastAsia="Calibri" w:hAnsi="Times New Roman" w:cs="Times New Roman"/>
          <w:bCs/>
          <w:color w:val="000000" w:themeColor="text1"/>
        </w:rPr>
        <w:t>4. In casi debitamente motivati è facoltà della stazione appaltante non richiedere la garanzia definitiva per l’esecuzione dei contratti di cui alla presente Parte oppure per i contratti di pari importo a valere su un accordo quadro. Quando richiesta, la garanzia definitiva è pari al 5 per cento dell’importo contrattuale.</w:t>
      </w:r>
    </w:p>
    <w:bookmarkEnd w:id="26"/>
    <w:p w14:paraId="779F8E76" w14:textId="77777777" w:rsidR="00446F27" w:rsidRPr="004A5029" w:rsidRDefault="00446F27" w:rsidP="00446F27">
      <w:pPr>
        <w:rPr>
          <w:rFonts w:ascii="Times New Roman" w:hAnsi="Times New Roman" w:cs="Times New Roman"/>
          <w:color w:val="000000" w:themeColor="text1"/>
        </w:rPr>
      </w:pPr>
    </w:p>
    <w:p w14:paraId="416CDA6D"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b/>
          <w:color w:val="000000" w:themeColor="text1"/>
        </w:rPr>
        <w:t>Articolo 54.</w:t>
      </w:r>
    </w:p>
    <w:p w14:paraId="49FAE351"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Esclusione automatica delle offerte anomale</w:t>
      </w:r>
      <w:r w:rsidRPr="004A5029">
        <w:rPr>
          <w:rFonts w:ascii="Times New Roman" w:eastAsia="Calibri" w:hAnsi="Times New Roman" w:cs="Times New Roman"/>
          <w:color w:val="000000" w:themeColor="text1"/>
        </w:rPr>
        <w:t>.</w:t>
      </w:r>
    </w:p>
    <w:p w14:paraId="578429F7" w14:textId="2A270C1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1. Nel caso di aggiudicazione, con il criterio del prezzo più basso, di contratti di appalto di lavori o servizi di importo inferiore alle soglie di rilevanza europea che non presentano un interesse transfrontaliero certo, le stazioni appaltanti, in deroga a quanto previsto dall’articolo 110, prevedono negli atti di gara l'esclusione automatica delle offerte che risultano anomale, qualora il numero delle offerte ammesse sia pari o superiore a cinque. Il </w:t>
      </w:r>
      <w:r w:rsidR="00546338" w:rsidRPr="004A5029">
        <w:rPr>
          <w:rFonts w:ascii="Times New Roman" w:eastAsia="Calibri" w:hAnsi="Times New Roman" w:cs="Times New Roman"/>
          <w:bCs/>
          <w:color w:val="000000" w:themeColor="text1"/>
        </w:rPr>
        <w:t xml:space="preserve">primo </w:t>
      </w:r>
      <w:r w:rsidRPr="004A5029">
        <w:rPr>
          <w:rFonts w:ascii="Times New Roman" w:eastAsia="Calibri" w:hAnsi="Times New Roman" w:cs="Times New Roman"/>
          <w:bCs/>
          <w:color w:val="000000" w:themeColor="text1"/>
        </w:rPr>
        <w:t>periodo non si applica agli affidamenti di cui all’articolo 50, comma 1, lettere a) e b). In ogni caso le stazioni appaltanti possono valutare la congruità di ogni altra offerta che, in base ad elementi specifici, appaia anormalmente bassa.</w:t>
      </w:r>
    </w:p>
    <w:p w14:paraId="1A32F3A7" w14:textId="392A54C3" w:rsidR="0062792E" w:rsidRPr="004A5029" w:rsidRDefault="00446F27" w:rsidP="006040C8">
      <w:pPr>
        <w:ind w:right="-1"/>
        <w:jc w:val="both"/>
        <w:rPr>
          <w:rFonts w:ascii="Calibri" w:eastAsia="Calibri" w:hAnsi="Calibri" w:cs="Calibri"/>
          <w:b/>
          <w:bCs/>
          <w:color w:val="000000" w:themeColor="text1"/>
          <w:sz w:val="20"/>
          <w:szCs w:val="20"/>
          <w:highlight w:val="yellow"/>
        </w:rPr>
      </w:pPr>
      <w:r w:rsidRPr="004A5029">
        <w:rPr>
          <w:rFonts w:ascii="Times New Roman" w:eastAsia="Calibri" w:hAnsi="Times New Roman" w:cs="Times New Roman"/>
          <w:bCs/>
          <w:color w:val="000000" w:themeColor="text1"/>
        </w:rPr>
        <w:t>2. Nei casi di cui al comma 1, primo periodo, le stazioni appaltanti indicano negli atti di gara il metodo per l’individuazione delle offerte anomale, scelto fra quelli descritti nell’allegato II.2</w:t>
      </w:r>
      <w:r w:rsidRPr="004A5029">
        <w:rPr>
          <w:rFonts w:ascii="Times New Roman" w:eastAsia="Calibri" w:hAnsi="Times New Roman" w:cs="Times New Roman"/>
          <w:b/>
          <w:strike/>
          <w:color w:val="000000" w:themeColor="text1"/>
        </w:rPr>
        <w:t>.</w:t>
      </w:r>
      <w:r w:rsidR="0062792E" w:rsidRPr="004A5029">
        <w:rPr>
          <w:rFonts w:ascii="Times New Roman" w:eastAsia="Calibri" w:hAnsi="Times New Roman" w:cs="Times New Roman"/>
          <w:b/>
          <w:color w:val="000000" w:themeColor="text1"/>
        </w:rPr>
        <w:t>, ovvero lo selezionano in sede di valutazione delle offerte tramite sorteggio tra i metodi compatibili dell’</w:t>
      </w:r>
      <w:r w:rsidR="006040C8" w:rsidRPr="004A5029">
        <w:rPr>
          <w:rFonts w:ascii="Times New Roman" w:eastAsia="Calibri" w:hAnsi="Times New Roman" w:cs="Times New Roman"/>
          <w:b/>
          <w:color w:val="000000" w:themeColor="text1"/>
        </w:rPr>
        <w:t>a</w:t>
      </w:r>
      <w:r w:rsidR="0062792E" w:rsidRPr="004A5029">
        <w:rPr>
          <w:rFonts w:ascii="Times New Roman" w:eastAsia="Calibri" w:hAnsi="Times New Roman" w:cs="Times New Roman"/>
          <w:b/>
          <w:color w:val="000000" w:themeColor="text1"/>
        </w:rPr>
        <w:t>llegato II.2</w:t>
      </w:r>
      <w:r w:rsidR="0062792E" w:rsidRPr="004A5029">
        <w:rPr>
          <w:rFonts w:ascii="Times New Roman" w:eastAsia="Calibri" w:hAnsi="Times New Roman" w:cs="Times New Roman"/>
          <w:bCs/>
          <w:color w:val="000000" w:themeColor="text1"/>
        </w:rPr>
        <w:t>.</w:t>
      </w:r>
    </w:p>
    <w:p w14:paraId="5329644F" w14:textId="3A322A89" w:rsidR="00446F27" w:rsidRPr="004A5029" w:rsidRDefault="00446F27" w:rsidP="00446F27">
      <w:pPr>
        <w:jc w:val="both"/>
        <w:rPr>
          <w:rFonts w:ascii="Times New Roman" w:eastAsia="Calibri" w:hAnsi="Times New Roman" w:cs="Times New Roman"/>
          <w:i/>
          <w:iCs/>
          <w:color w:val="000000" w:themeColor="text1"/>
        </w:rPr>
      </w:pPr>
      <w:r w:rsidRPr="004A5029">
        <w:rPr>
          <w:rFonts w:ascii="Times New Roman" w:eastAsia="Calibri" w:hAnsi="Times New Roman" w:cs="Times New Roman"/>
          <w:bCs/>
          <w:color w:val="000000" w:themeColor="text1"/>
        </w:rPr>
        <w:t xml:space="preserve">3. In sede di prima applicazione del codice, l’allegato II.2 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del Ministro delle infrastrutture e dei trasporti, previo parere dell’ANAC, che lo sostituisce integralmente anche in qualità di allegato al codice.</w:t>
      </w:r>
    </w:p>
    <w:p w14:paraId="7818863E" w14:textId="77777777" w:rsidR="00446F27" w:rsidRPr="004A5029" w:rsidRDefault="00446F27" w:rsidP="00446F27">
      <w:pPr>
        <w:jc w:val="both"/>
        <w:rPr>
          <w:rFonts w:ascii="Times New Roman" w:eastAsia="Calibri" w:hAnsi="Times New Roman" w:cs="Times New Roman"/>
          <w:color w:val="000000" w:themeColor="text1"/>
        </w:rPr>
      </w:pPr>
    </w:p>
    <w:p w14:paraId="2AE776CC" w14:textId="77777777" w:rsidR="00446F27" w:rsidRPr="004A5029" w:rsidRDefault="00446F27" w:rsidP="00446F27">
      <w:pPr>
        <w:tabs>
          <w:tab w:val="left" w:pos="927"/>
        </w:tabs>
        <w:jc w:val="both"/>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55.</w:t>
      </w:r>
    </w:p>
    <w:p w14:paraId="31BCE339" w14:textId="77777777" w:rsidR="00446F27" w:rsidRPr="004A5029" w:rsidRDefault="00446F27" w:rsidP="00446F27">
      <w:pPr>
        <w:tabs>
          <w:tab w:val="left" w:pos="927"/>
        </w:tabs>
        <w:jc w:val="both"/>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Termini dilatori.</w:t>
      </w:r>
    </w:p>
    <w:p w14:paraId="2CA07DDB" w14:textId="0D293142" w:rsidR="00446F27" w:rsidRPr="004A5029" w:rsidRDefault="00446F27" w:rsidP="00446F27">
      <w:pPr>
        <w:tabs>
          <w:tab w:val="left" w:pos="927"/>
        </w:tabs>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1. La stipulazione del contratto avviene entro </w:t>
      </w:r>
      <w:r w:rsidRPr="004A5029">
        <w:rPr>
          <w:rFonts w:ascii="Times New Roman" w:eastAsia="Calibri" w:hAnsi="Times New Roman" w:cs="Times New Roman"/>
          <w:b/>
          <w:strike/>
          <w:color w:val="000000" w:themeColor="text1"/>
        </w:rPr>
        <w:t>30</w:t>
      </w:r>
      <w:r w:rsidRPr="004A5029">
        <w:rPr>
          <w:rFonts w:ascii="Times New Roman" w:eastAsia="Calibri" w:hAnsi="Times New Roman" w:cs="Times New Roman"/>
          <w:b/>
          <w:color w:val="000000" w:themeColor="text1"/>
        </w:rPr>
        <w:t xml:space="preserve"> </w:t>
      </w:r>
      <w:r w:rsidR="00407103" w:rsidRPr="004A5029">
        <w:rPr>
          <w:rFonts w:ascii="Times New Roman" w:eastAsia="Calibri" w:hAnsi="Times New Roman" w:cs="Times New Roman"/>
          <w:b/>
          <w:color w:val="000000" w:themeColor="text1"/>
        </w:rPr>
        <w:t xml:space="preserve">trenta </w:t>
      </w:r>
      <w:r w:rsidRPr="004A5029">
        <w:rPr>
          <w:rFonts w:ascii="Times New Roman" w:eastAsia="Calibri" w:hAnsi="Times New Roman" w:cs="Times New Roman"/>
          <w:bCs/>
          <w:color w:val="000000" w:themeColor="text1"/>
        </w:rPr>
        <w:t>giorni dall’aggiudicazione.</w:t>
      </w:r>
    </w:p>
    <w:p w14:paraId="60969BC0" w14:textId="7EF01F30" w:rsidR="00446F27" w:rsidRPr="004A5029" w:rsidRDefault="00446F27" w:rsidP="00446F27">
      <w:pPr>
        <w:tabs>
          <w:tab w:val="left" w:pos="927"/>
        </w:tabs>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I termini dilatori previsti dall’articolo 18, commi 3 e 4</w:t>
      </w:r>
      <w:r w:rsidR="00813448" w:rsidRPr="004A5029">
        <w:rPr>
          <w:rFonts w:ascii="Times New Roman" w:eastAsia="Calibri" w:hAnsi="Times New Roman" w:cs="Times New Roman"/>
          <w:b/>
          <w:color w:val="000000" w:themeColor="text1"/>
        </w:rPr>
        <w:t>,</w:t>
      </w:r>
      <w:r w:rsidRPr="004A5029">
        <w:rPr>
          <w:rFonts w:ascii="Times New Roman" w:eastAsia="Calibri" w:hAnsi="Times New Roman" w:cs="Times New Roman"/>
          <w:bCs/>
          <w:color w:val="000000" w:themeColor="text1"/>
        </w:rPr>
        <w:t xml:space="preserve"> non si applicano agli affidamenti dei contratti di importo inferiore alle soglie di rilevanza europea. </w:t>
      </w:r>
    </w:p>
    <w:p w14:paraId="44F69B9A" w14:textId="77777777" w:rsidR="00446F27" w:rsidRPr="004A5029" w:rsidRDefault="00446F27" w:rsidP="00446F27">
      <w:pPr>
        <w:spacing w:line="254" w:lineRule="auto"/>
        <w:jc w:val="both"/>
        <w:rPr>
          <w:rFonts w:ascii="Times New Roman" w:hAnsi="Times New Roman" w:cs="Times New Roman"/>
          <w:color w:val="000000" w:themeColor="text1"/>
        </w:rPr>
      </w:pPr>
    </w:p>
    <w:p w14:paraId="5F07D11E" w14:textId="77777777" w:rsidR="00446F27" w:rsidRPr="004A5029" w:rsidRDefault="00446F27" w:rsidP="00446F27">
      <w:pPr>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47B0977D"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II</w:t>
      </w:r>
    </w:p>
    <w:p w14:paraId="75BFCC34" w14:textId="77777777" w:rsidR="00446F27" w:rsidRPr="004A5029" w:rsidRDefault="00446F27" w:rsidP="00446F27">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DEGLI ISTITUTI E DELLE CLAUSOLE COMUNI</w:t>
      </w:r>
    </w:p>
    <w:p w14:paraId="41508A3C" w14:textId="77777777" w:rsidR="00446F27" w:rsidRPr="004A5029" w:rsidRDefault="00446F27" w:rsidP="00446F27">
      <w:pPr>
        <w:jc w:val="both"/>
        <w:rPr>
          <w:rFonts w:ascii="Times New Roman" w:hAnsi="Times New Roman" w:cs="Times New Roman"/>
          <w:color w:val="000000" w:themeColor="text1"/>
        </w:rPr>
      </w:pPr>
    </w:p>
    <w:p w14:paraId="19E97E84"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56.</w:t>
      </w:r>
    </w:p>
    <w:p w14:paraId="0F25C3F6" w14:textId="77777777" w:rsidR="00446F27" w:rsidRPr="004A5029" w:rsidRDefault="00446F27" w:rsidP="00446F27">
      <w:pPr>
        <w:tabs>
          <w:tab w:val="left" w:pos="927"/>
        </w:tabs>
        <w:jc w:val="both"/>
        <w:rPr>
          <w:rFonts w:ascii="Times New Roman" w:eastAsia="Calibri" w:hAnsi="Times New Roman" w:cs="Times New Roman"/>
          <w:i/>
          <w:iCs/>
          <w:color w:val="000000" w:themeColor="text1"/>
        </w:rPr>
      </w:pPr>
      <w:r w:rsidRPr="004A5029">
        <w:rPr>
          <w:rFonts w:ascii="Times New Roman" w:eastAsia="Calibri" w:hAnsi="Times New Roman" w:cs="Times New Roman"/>
          <w:i/>
          <w:iCs/>
          <w:color w:val="000000" w:themeColor="text1"/>
        </w:rPr>
        <w:t>Appalti esclusi nei settori ordinari.</w:t>
      </w:r>
    </w:p>
    <w:p w14:paraId="7A69A28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disposizioni del codice relative ai settori ordinari non si applicano agli appalti pubblici:</w:t>
      </w:r>
    </w:p>
    <w:p w14:paraId="3FB44F12" w14:textId="59DECE6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di servizi aggiudicati da una stazione appaltante a un ente che sia una stazione appaltante o a un'associazione di stazioni appaltanti in base a un diritto esclusivo di cui esse beneficiano in virtù di disposizioni legislative o regolamentari o di disposizioni amministrative pubblicate che siano compatibili con il Trattato sul funzionamento dell'Unione europea;</w:t>
      </w:r>
    </w:p>
    <w:p w14:paraId="77A2FA89" w14:textId="795B5D62" w:rsidR="00446F27" w:rsidRPr="004A5029" w:rsidRDefault="00446F27" w:rsidP="00446F27">
      <w:pPr>
        <w:tabs>
          <w:tab w:val="left" w:pos="927"/>
        </w:tabs>
        <w:jc w:val="both"/>
        <w:rPr>
          <w:rFonts w:ascii="Times New Roman" w:eastAsia="Calibri" w:hAnsi="Times New Roman" w:cs="Times New Roman"/>
          <w:bCs/>
          <w:color w:val="000000" w:themeColor="text1"/>
        </w:rPr>
      </w:pPr>
      <w:r w:rsidRPr="004A5029">
        <w:rPr>
          <w:rFonts w:ascii="Times New Roman" w:hAnsi="Times New Roman" w:cs="Times New Roman"/>
          <w:color w:val="000000" w:themeColor="text1"/>
        </w:rPr>
        <w:t xml:space="preserve">b) finalizzati a permettere alle stazioni appaltanti la messa a disposizione o la gestione di reti di telecomunicazioni o la prestazione al pubblico di uno o più servizi di comunicazioni elettroniche. Ai fini del presente articolo si applicano le definizioni di «rete di comunicazioni» e «servizio di comunicazione elettronica» contenute nell'articolo 2 del </w:t>
      </w:r>
      <w:r w:rsidRPr="004A5029">
        <w:rPr>
          <w:rFonts w:ascii="Times New Roman" w:hAnsi="Times New Roman" w:cs="Times New Roman"/>
          <w:b/>
          <w:bCs/>
          <w:strike/>
          <w:color w:val="000000" w:themeColor="text1"/>
        </w:rPr>
        <w:t>C</w:t>
      </w:r>
      <w:r w:rsidR="00700E66" w:rsidRPr="004A5029">
        <w:rPr>
          <w:rFonts w:ascii="Times New Roman" w:hAnsi="Times New Roman" w:cs="Times New Roman"/>
          <w:b/>
          <w:bCs/>
          <w:color w:val="000000" w:themeColor="text1"/>
        </w:rPr>
        <w:t>c</w:t>
      </w:r>
      <w:r w:rsidRPr="004A5029">
        <w:rPr>
          <w:rFonts w:ascii="Times New Roman" w:hAnsi="Times New Roman" w:cs="Times New Roman"/>
          <w:b/>
          <w:bCs/>
          <w:color w:val="000000" w:themeColor="text1"/>
        </w:rPr>
        <w:t>o</w:t>
      </w:r>
      <w:r w:rsidRPr="004A5029">
        <w:rPr>
          <w:rFonts w:ascii="Times New Roman" w:hAnsi="Times New Roman" w:cs="Times New Roman"/>
          <w:color w:val="000000" w:themeColor="text1"/>
        </w:rPr>
        <w:t>dice delle comunicazioni elettroniche</w:t>
      </w:r>
      <w:r w:rsidR="0030786B" w:rsidRPr="004A5029">
        <w:rPr>
          <w:rFonts w:ascii="Times New Roman" w:eastAsia="Calibri" w:hAnsi="Times New Roman" w:cs="Times New Roman"/>
          <w:color w:val="000000" w:themeColor="text1"/>
        </w:rPr>
        <w:t>,</w:t>
      </w:r>
      <w:r w:rsidRPr="004A5029">
        <w:rPr>
          <w:rFonts w:ascii="Times New Roman" w:hAnsi="Times New Roman" w:cs="Times New Roman"/>
          <w:color w:val="000000" w:themeColor="text1"/>
        </w:rPr>
        <w:t xml:space="preserve"> di cui al decreto legislativo 1° agosto 2003, n. 259;</w:t>
      </w:r>
    </w:p>
    <w:p w14:paraId="6B0952E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che le stazioni appaltanti sono tenute ad aggiudicare o ad organizzare nel rispetto di procedure diverse da quelle previste dal codice e stabilite da:</w:t>
      </w:r>
    </w:p>
    <w:p w14:paraId="4B8A172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uno strumento giuridico che crea obblighi internazionali, quali un accordo internazionale, concluso in conformità dei trattati dell'Unione europea, tra lo Stato e uno o più Paesi terzi o relative articolazioni e riguardanti lavori, forniture o servizi destinati alla realizzazione congiunta o alla gestione congiunta di un progetto da parte dei soggetti firmatari;</w:t>
      </w:r>
    </w:p>
    <w:p w14:paraId="68D484C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un'organizzazione internazionale;</w:t>
      </w:r>
    </w:p>
    <w:p w14:paraId="001D4E8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che le stazioni appaltanti aggiudicano in base a norme previste da un'organizzazione internazionale o da un'istituzione finanziaria internazionale, quando gli appalti sono interamente finanziati dalla stessa organizzazione o istituzione. Nel caso di appalti pubblici finanziati prevalentemente da un'organizzazione internazionale o da un'istituzione finanziaria internazionale, le parti si accordano sulle procedure di aggiudicazione applicabili;</w:t>
      </w:r>
    </w:p>
    <w:p w14:paraId="4C43704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aventi ad oggetto l'acquisto o la locazione, quali che siano le relative modalità finanziarie, di terreni, fabbricati esistenti o altri beni immobili o riguardanti diritti su tali beni;</w:t>
      </w:r>
    </w:p>
    <w:p w14:paraId="5D1773E5" w14:textId="48788F8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f) aventi ad oggetto l'acquisto, lo sviluppo, la produzione o coproduzione di programmi </w:t>
      </w:r>
      <w:r w:rsidR="00590CC4" w:rsidRPr="004A5029">
        <w:rPr>
          <w:rFonts w:ascii="Times New Roman" w:hAnsi="Times New Roman" w:cs="Times New Roman"/>
          <w:b/>
          <w:bCs/>
          <w:color w:val="000000" w:themeColor="text1"/>
        </w:rPr>
        <w:t>o materiali associati ai programmi</w:t>
      </w:r>
      <w:r w:rsidR="00590CC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destinati ai servizi di media audiovisivi o radiofonici che sono aggiudicati da fornitori di servizi di media audiovisivi o radiofonici, ovvero gli appalti concernenti il tempo di trasmissione o la fornitura di programmi aggiudicati ai fornitori di servizi di media audiovisivi o radiofonici. </w:t>
      </w:r>
      <w:r w:rsidRPr="004A5029">
        <w:rPr>
          <w:rFonts w:ascii="Times New Roman" w:hAnsi="Times New Roman" w:cs="Times New Roman"/>
          <w:b/>
          <w:bCs/>
          <w:strike/>
          <w:color w:val="000000" w:themeColor="text1"/>
        </w:rPr>
        <w:t>Ai fini della presente disposizione il termine «materiale associato ai programmi» ha lo stesso significato di «programma»</w:t>
      </w:r>
      <w:r w:rsidRPr="004A5029">
        <w:rPr>
          <w:rFonts w:ascii="Times New Roman" w:hAnsi="Times New Roman" w:cs="Times New Roman"/>
          <w:color w:val="000000" w:themeColor="text1"/>
        </w:rPr>
        <w:t>;</w:t>
      </w:r>
    </w:p>
    <w:p w14:paraId="79A10E6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g) concernenti i servizi d'arbitrato e di conciliazione;</w:t>
      </w:r>
    </w:p>
    <w:p w14:paraId="2675A73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h) concernenti uno qualsiasi dei seguenti servizi legali:</w:t>
      </w:r>
    </w:p>
    <w:p w14:paraId="2C2A1FCD" w14:textId="6222470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rappresentanza legale di un cliente da parte di un avvocato ai sensi dell'articolo 1 della legge 9 febbraio 1982, n. 31:</w:t>
      </w:r>
    </w:p>
    <w:p w14:paraId="27DF890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1.1) in un arbitrato o in una conciliazione tenuti in uno Stato membro dell'Unione europea, un Paese terzo o dinanzi a un'istanza arbitrale o conciliativa internazionale;</w:t>
      </w:r>
    </w:p>
    <w:p w14:paraId="1893E42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1.2) in procedimenti giudiziari dinanzi a organi giurisdizionali o autorità pubbliche di uno Stato membro dell'Unione europea o un Paese terzo o dinanzi a organi giurisdizionali o istituzioni internazionali;</w:t>
      </w:r>
    </w:p>
    <w:p w14:paraId="77C16842" w14:textId="526BD86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consulenza legale fornita in preparazione di uno dei procedimenti di cui al punto 1), o qualora vi sia un indizio concreto e una probabilità elevata che la questione su cui verte la consulenza divenga oggetto del procedimento, sempre che la consulenza sia fornita da un avvocato ai sensi dell'articolo 1 della legge 9 febbraio 1982, n. 31;</w:t>
      </w:r>
    </w:p>
    <w:p w14:paraId="09B4276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servizi di certificazione e autenticazione di documenti che devono essere prestati da notai;</w:t>
      </w:r>
    </w:p>
    <w:p w14:paraId="42F3F3D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servizi legali prestati da fiduciari o tutori designati o altri servizi legali i cui fornitori sono designati da un organo giurisdizionale dello Stato o sono designati per legge per svolgere specifici compiti sotto la vigilanza di detti organi giurisdizionali;</w:t>
      </w:r>
    </w:p>
    <w:p w14:paraId="161EA5A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altri servizi legali che sono connessi, anche occasionalmente, all'esercizio dei pubblici poteri;</w:t>
      </w:r>
    </w:p>
    <w:p w14:paraId="602C6ECB" w14:textId="08EB5C5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i) concernenti servizi finanziari relativi all'emissione, all'acquisto, alla vendita e al trasferimento di titoli o di altri strumenti finanziari </w:t>
      </w:r>
      <w:r w:rsidRPr="004A5029">
        <w:rPr>
          <w:rFonts w:ascii="Times New Roman" w:hAnsi="Times New Roman" w:cs="Times New Roman"/>
          <w:b/>
          <w:bCs/>
          <w:strike/>
          <w:color w:val="000000" w:themeColor="text1"/>
        </w:rPr>
        <w:t>ai sensi</w:t>
      </w:r>
      <w:r w:rsidR="0062792E" w:rsidRPr="004A5029">
        <w:rPr>
          <w:rFonts w:ascii="Calibri" w:hAnsi="Calibri" w:cs="Calibri"/>
          <w:b/>
          <w:bCs/>
          <w:color w:val="000000" w:themeColor="text1"/>
          <w:sz w:val="20"/>
          <w:szCs w:val="20"/>
        </w:rPr>
        <w:t xml:space="preserve"> </w:t>
      </w:r>
      <w:r w:rsidR="0062792E" w:rsidRPr="004A5029">
        <w:rPr>
          <w:rFonts w:ascii="Times New Roman" w:hAnsi="Times New Roman" w:cs="Times New Roman"/>
          <w:b/>
          <w:bCs/>
          <w:color w:val="000000" w:themeColor="text1"/>
        </w:rPr>
        <w:t>come riportati nell’allegato I</w:t>
      </w:r>
      <w:r w:rsidRPr="004A5029">
        <w:rPr>
          <w:rFonts w:ascii="Times New Roman" w:hAnsi="Times New Roman" w:cs="Times New Roman"/>
          <w:color w:val="000000" w:themeColor="text1"/>
        </w:rPr>
        <w:t xml:space="preserve"> </w:t>
      </w:r>
      <w:bookmarkStart w:id="27" w:name="_Hlk127797079"/>
      <w:r w:rsidR="008E4B03" w:rsidRPr="004A5029">
        <w:rPr>
          <w:rFonts w:ascii="Times New Roman" w:hAnsi="Times New Roman" w:cs="Times New Roman"/>
          <w:color w:val="000000" w:themeColor="text1"/>
        </w:rPr>
        <w:t xml:space="preserve">al </w:t>
      </w:r>
      <w:r w:rsidR="00E9136F" w:rsidRPr="004A5029">
        <w:rPr>
          <w:rFonts w:ascii="Times New Roman" w:hAnsi="Times New Roman" w:cs="Times New Roman"/>
          <w:b/>
          <w:bCs/>
          <w:color w:val="000000" w:themeColor="text1"/>
        </w:rPr>
        <w:t>testo unico delle disposizioni in materia di intermediazione finanziaria</w:t>
      </w:r>
      <w:r w:rsidR="001006C5" w:rsidRPr="004A5029">
        <w:rPr>
          <w:rFonts w:ascii="Times New Roman" w:hAnsi="Times New Roman" w:cs="Times New Roman"/>
          <w:b/>
          <w:bCs/>
          <w:color w:val="000000" w:themeColor="text1"/>
        </w:rPr>
        <w:t>,</w:t>
      </w:r>
      <w:r w:rsidR="00E9136F" w:rsidRPr="004A5029">
        <w:rPr>
          <w:rFonts w:ascii="Times New Roman" w:hAnsi="Times New Roman" w:cs="Times New Roman"/>
          <w:b/>
          <w:bCs/>
          <w:color w:val="000000" w:themeColor="text1"/>
        </w:rPr>
        <w:t xml:space="preserve"> di cui al</w:t>
      </w:r>
      <w:bookmarkEnd w:id="27"/>
      <w:r w:rsidR="00E9136F"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decreto legislativo 24 febbraio 1998, n. 58, servizi forniti da banche centrali e operazioni concluse con il Fondo europeo di stabilità finanziaria e il meccanismo europeo di stabilità;</w:t>
      </w:r>
    </w:p>
    <w:p w14:paraId="5D318CD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l) concernenti i prestiti, a prescindere dal fatto che siano correlati all'emissione, alla vendita, all'acquisto o al trasferimento di titoli o di altri strumenti finanziari;</w:t>
      </w:r>
    </w:p>
    <w:p w14:paraId="6036FC6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m) concernenti i contratti di lavoro;</w:t>
      </w:r>
    </w:p>
    <w:p w14:paraId="5CE6425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n) concernenti servizi di difesa civile, di protezione civile e di prevenzione contro i pericoli forniti da organizzazioni e associazioni senza scopo di lucro identificati con i codici CPV 75250000-3, 75251000-0, 75251100-1, 75251110- 4, 75251120-7, 75252000-7, 75222000-8; 98113100-9 e 85143000-3 ad eccezione dei servizi di trasporto dei pazienti in ambulanza;</w:t>
      </w:r>
    </w:p>
    <w:p w14:paraId="7565676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o) concernenti i servizi di trasporto pubblico di passeggeri per ferrovia o metropolitana;</w:t>
      </w:r>
    </w:p>
    <w:p w14:paraId="5E1282A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p) concernenti servizi connessi a campagne politiche, identificati con i codici CPV 79341400-0, 92111230-3 e 92111240-6, se aggiudicati da un partito politico nel contesto di una campagna elettorale per gli appalti relativi ai settori ordinari e alle concessioni;</w:t>
      </w:r>
    </w:p>
    <w:p w14:paraId="1236A3EE" w14:textId="13F6BB3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q) aventi ad oggetto l'acquisto di prodotti agricoli e alimentari per un valore non superiore a </w:t>
      </w:r>
      <w:r w:rsidRPr="004A5029">
        <w:rPr>
          <w:rFonts w:ascii="Times New Roman" w:hAnsi="Times New Roman" w:cs="Times New Roman"/>
          <w:b/>
          <w:bCs/>
          <w:strike/>
          <w:color w:val="000000" w:themeColor="text1"/>
        </w:rPr>
        <w:t>10.000</w:t>
      </w:r>
      <w:r w:rsidRPr="004A5029">
        <w:rPr>
          <w:rFonts w:ascii="Times New Roman" w:hAnsi="Times New Roman" w:cs="Times New Roman"/>
          <w:color w:val="000000" w:themeColor="text1"/>
        </w:rPr>
        <w:t xml:space="preserve"> </w:t>
      </w:r>
      <w:r w:rsidR="0062792E" w:rsidRPr="004A5029">
        <w:rPr>
          <w:rFonts w:ascii="Times New Roman" w:hAnsi="Times New Roman" w:cs="Times New Roman"/>
          <w:b/>
          <w:bCs/>
          <w:color w:val="000000" w:themeColor="text1"/>
        </w:rPr>
        <w:t>20.000</w:t>
      </w:r>
      <w:r w:rsidR="0062792E"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euro annui per ciascuna impresa, da imprese agricole singole o associate situate in comuni classificati totalmente montani di cui all'elenco dei comuni italiani predisposto dall'</w:t>
      </w:r>
      <w:r w:rsidRPr="00796E46">
        <w:rPr>
          <w:rFonts w:ascii="Times New Roman" w:hAnsi="Times New Roman" w:cs="Times New Roman"/>
          <w:b/>
          <w:bCs/>
          <w:color w:val="000000" w:themeColor="text1"/>
        </w:rPr>
        <w:t>I</w:t>
      </w:r>
      <w:r w:rsidR="00796E46" w:rsidRPr="00796E46">
        <w:rPr>
          <w:rFonts w:ascii="Times New Roman" w:hAnsi="Times New Roman" w:cs="Times New Roman"/>
          <w:b/>
          <w:bCs/>
          <w:color w:val="000000" w:themeColor="text1"/>
        </w:rPr>
        <w:t>STAT</w:t>
      </w:r>
      <w:r w:rsidR="00796E46">
        <w:rPr>
          <w:rFonts w:ascii="Times New Roman" w:hAnsi="Times New Roman" w:cs="Times New Roman"/>
          <w:color w:val="000000" w:themeColor="text1"/>
        </w:rPr>
        <w:t xml:space="preserve"> </w:t>
      </w:r>
      <w:r w:rsidRPr="00796E46">
        <w:rPr>
          <w:rFonts w:ascii="Times New Roman" w:hAnsi="Times New Roman" w:cs="Times New Roman"/>
          <w:strike/>
          <w:color w:val="000000" w:themeColor="text1"/>
        </w:rPr>
        <w:t>stituto nazionale di statistica (ISTAT)</w:t>
      </w:r>
      <w:r w:rsidRPr="004A5029">
        <w:rPr>
          <w:rFonts w:ascii="Times New Roman" w:hAnsi="Times New Roman" w:cs="Times New Roman"/>
          <w:color w:val="000000" w:themeColor="text1"/>
        </w:rPr>
        <w:t xml:space="preserve">, ovvero ricompresi nella circolare del Ministero delle finanze n. 9 del 14 giugno 1993, pubblicata nel supplemento ordinario n. 53 alla Gazzetta </w:t>
      </w:r>
      <w:r w:rsidR="007C1DEE" w:rsidRPr="004A5029">
        <w:rPr>
          <w:rFonts w:ascii="Times New Roman" w:hAnsi="Times New Roman" w:cs="Times New Roman"/>
          <w:b/>
          <w:bCs/>
          <w:strike/>
          <w:color w:val="000000" w:themeColor="text1"/>
        </w:rPr>
        <w:t>u</w:t>
      </w:r>
      <w:r w:rsidR="000A771E" w:rsidRPr="004A5029">
        <w:rPr>
          <w:rFonts w:ascii="Times New Roman" w:hAnsi="Times New Roman" w:cs="Times New Roman"/>
          <w:b/>
          <w:bCs/>
          <w:color w:val="000000" w:themeColor="text1"/>
        </w:rPr>
        <w:t>U</w:t>
      </w:r>
      <w:r w:rsidRPr="004A5029">
        <w:rPr>
          <w:rFonts w:ascii="Times New Roman" w:hAnsi="Times New Roman" w:cs="Times New Roman"/>
          <w:b/>
          <w:bCs/>
          <w:color w:val="000000" w:themeColor="text1"/>
        </w:rPr>
        <w:t>f</w:t>
      </w:r>
      <w:r w:rsidRPr="004A5029">
        <w:rPr>
          <w:rFonts w:ascii="Times New Roman" w:hAnsi="Times New Roman" w:cs="Times New Roman"/>
          <w:color w:val="000000" w:themeColor="text1"/>
        </w:rPr>
        <w:t>ficiale della Repubblica italiana n. 141 del 18 giugno 1993, nonché nei comuni delle isole minori di cui all'allegato A annesso alla legge 28 dicembre 2001, n. 448.</w:t>
      </w:r>
    </w:p>
    <w:p w14:paraId="1E162AE4"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Garamond" w:hAnsi="Times New Roman" w:cs="Times New Roman"/>
          <w:bCs/>
          <w:color w:val="000000" w:themeColor="text1"/>
        </w:rPr>
        <w:t>2. Le disposizioni del codice relative ai settori ordinari non si applicano anche al caso in cui un’amministrazione pubblica stipuli una convenzione con la quale un soggetto pubblico o privato si impegni alla realizzazione, a sua totale cura e spesa e previo ottenimento di tutte le necessarie autorizzazioni, di un’opera pubblica o di un suo lotto funzionale o di parte dell’opera prevista nell’ambito di strumenti o programmi urbanistici, fermo restando il rispetto degli articoli 94, 95 e 98.</w:t>
      </w:r>
    </w:p>
    <w:p w14:paraId="43D6B1D6" w14:textId="77777777" w:rsidR="00446F27" w:rsidRPr="004A5029" w:rsidRDefault="00446F27" w:rsidP="00446F27">
      <w:pPr>
        <w:jc w:val="center"/>
        <w:rPr>
          <w:rFonts w:ascii="Times New Roman" w:hAnsi="Times New Roman" w:cs="Times New Roman"/>
          <w:b/>
          <w:bCs/>
          <w:color w:val="000000" w:themeColor="text1"/>
          <w:highlight w:val="yellow"/>
        </w:rPr>
      </w:pPr>
    </w:p>
    <w:p w14:paraId="7B1306E5" w14:textId="77777777" w:rsidR="00CE0BF3" w:rsidRDefault="00CE0BF3" w:rsidP="00446F27">
      <w:pPr>
        <w:jc w:val="both"/>
        <w:rPr>
          <w:rFonts w:ascii="Times New Roman" w:hAnsi="Times New Roman" w:cs="Times New Roman"/>
          <w:b/>
          <w:color w:val="000000" w:themeColor="text1"/>
        </w:rPr>
      </w:pPr>
    </w:p>
    <w:p w14:paraId="28EF5498" w14:textId="77777777" w:rsidR="00CE0BF3" w:rsidRDefault="00CE0BF3" w:rsidP="00446F27">
      <w:pPr>
        <w:jc w:val="both"/>
        <w:rPr>
          <w:rFonts w:ascii="Times New Roman" w:hAnsi="Times New Roman" w:cs="Times New Roman"/>
          <w:b/>
          <w:color w:val="000000" w:themeColor="text1"/>
        </w:rPr>
      </w:pPr>
    </w:p>
    <w:p w14:paraId="40B6EEED" w14:textId="77777777" w:rsidR="00CE0BF3" w:rsidRDefault="00CE0BF3" w:rsidP="00446F27">
      <w:pPr>
        <w:jc w:val="both"/>
        <w:rPr>
          <w:rFonts w:ascii="Times New Roman" w:hAnsi="Times New Roman" w:cs="Times New Roman"/>
          <w:b/>
          <w:color w:val="000000" w:themeColor="text1"/>
        </w:rPr>
      </w:pPr>
    </w:p>
    <w:p w14:paraId="31E25B9E" w14:textId="008D1DA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
          <w:color w:val="000000" w:themeColor="text1"/>
        </w:rPr>
        <w:t>Articolo 57.</w:t>
      </w:r>
    </w:p>
    <w:p w14:paraId="52507EE8"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Clausole sociali del bando di gara e degli avvisi</w:t>
      </w:r>
      <w:r w:rsidRPr="004A5029">
        <w:rPr>
          <w:rFonts w:ascii="Times New Roman" w:hAnsi="Times New Roman" w:cs="Times New Roman"/>
          <w:color w:val="000000" w:themeColor="text1"/>
        </w:rPr>
        <w:t xml:space="preserve"> </w:t>
      </w:r>
      <w:r w:rsidRPr="004A5029">
        <w:rPr>
          <w:rFonts w:ascii="Times New Roman" w:hAnsi="Times New Roman" w:cs="Times New Roman"/>
          <w:i/>
          <w:color w:val="000000" w:themeColor="text1"/>
        </w:rPr>
        <w:t>e criteri di sostenibilità energetica e ambientale.</w:t>
      </w:r>
    </w:p>
    <w:p w14:paraId="406B1AFD" w14:textId="77777777" w:rsidR="00446F27" w:rsidRPr="004A5029" w:rsidRDefault="00446F27" w:rsidP="00446F27">
      <w:pPr>
        <w:jc w:val="both"/>
        <w:rPr>
          <w:rFonts w:ascii="Times New Roman" w:hAnsi="Times New Roman" w:cs="Times New Roman"/>
          <w:bCs/>
          <w:color w:val="000000" w:themeColor="text1"/>
          <w:shd w:val="clear" w:color="auto" w:fill="FFFFFF"/>
        </w:rPr>
      </w:pPr>
      <w:r w:rsidRPr="004A5029">
        <w:rPr>
          <w:rFonts w:ascii="Times New Roman" w:hAnsi="Times New Roman" w:cs="Times New Roman"/>
          <w:color w:val="000000" w:themeColor="text1"/>
        </w:rPr>
        <w:t xml:space="preserve">1. Per gli affidamenti dei contratti di appalto di lavori e servizi diversi da quelli aventi natura intellettuale e per i contratti di concessione i bandi di gara, gli avvisi e gli inviti, tenuto conto della tipologia di intervento, </w:t>
      </w:r>
      <w:r w:rsidRPr="004A5029">
        <w:rPr>
          <w:rFonts w:ascii="Times New Roman" w:hAnsi="Times New Roman" w:cs="Times New Roman"/>
          <w:bCs/>
          <w:color w:val="000000" w:themeColor="text1"/>
        </w:rPr>
        <w:t>in particolare ove riguardi il settore dei beni culturali e del paesaggio,</w:t>
      </w:r>
      <w:r w:rsidRPr="004A5029">
        <w:rPr>
          <w:rFonts w:ascii="Times New Roman" w:hAnsi="Times New Roman" w:cs="Times New Roman"/>
          <w:color w:val="000000" w:themeColor="text1"/>
        </w:rPr>
        <w:t xml:space="preserve"> e nel rispetto dei principi dell’Unione europea, </w:t>
      </w:r>
      <w:r w:rsidRPr="004A5029">
        <w:rPr>
          <w:rFonts w:ascii="Times New Roman" w:hAnsi="Times New Roman" w:cs="Times New Roman"/>
          <w:bCs/>
          <w:color w:val="000000" w:themeColor="text1"/>
        </w:rPr>
        <w:t>devono contenere</w:t>
      </w:r>
      <w:r w:rsidRPr="004A5029">
        <w:rPr>
          <w:rFonts w:ascii="Times New Roman" w:hAnsi="Times New Roman" w:cs="Times New Roman"/>
          <w:color w:val="000000" w:themeColor="text1"/>
        </w:rPr>
        <w:t xml:space="preserve"> specifiche clausole sociali </w:t>
      </w:r>
      <w:r w:rsidRPr="004A5029">
        <w:rPr>
          <w:rFonts w:ascii="Times New Roman" w:hAnsi="Times New Roman" w:cs="Times New Roman"/>
          <w:bCs/>
          <w:color w:val="000000" w:themeColor="text1"/>
        </w:rPr>
        <w:t>con le quali sono richieste, come requisiti necessari dell'offerta, misure orientate tra l'altro a garantire</w:t>
      </w:r>
      <w:r w:rsidRPr="004A5029">
        <w:rPr>
          <w:rFonts w:ascii="Times New Roman" w:hAnsi="Times New Roman" w:cs="Times New Roman"/>
          <w:color w:val="000000" w:themeColor="text1"/>
        </w:rPr>
        <w:t xml:space="preserve"> la stabilità occupazionale del personale impiegato</w:t>
      </w:r>
      <w:r w:rsidRPr="004A5029">
        <w:rPr>
          <w:rFonts w:ascii="Times New Roman" w:hAnsi="Times New Roman" w:cs="Times New Roman"/>
          <w:bCs/>
          <w:color w:val="000000" w:themeColor="text1"/>
        </w:rPr>
        <w:t>, nonché</w:t>
      </w:r>
      <w:r w:rsidRPr="004A5029">
        <w:rPr>
          <w:rFonts w:ascii="Times New Roman" w:hAnsi="Times New Roman" w:cs="Times New Roman"/>
          <w:color w:val="000000" w:themeColor="text1"/>
        </w:rPr>
        <w:t xml:space="preserve"> l'applicazione dei contratti collettivi nazionali e territoriali di settore, </w:t>
      </w:r>
      <w:r w:rsidRPr="004A5029">
        <w:rPr>
          <w:rFonts w:ascii="Times New Roman" w:hAnsi="Times New Roman" w:cs="Times New Roman"/>
          <w:bCs/>
          <w:color w:val="000000" w:themeColor="text1"/>
        </w:rPr>
        <w:t>tenendo conto, in relazione all'oggetto dell'appalto o della concessione e alle prestazioni da eseguire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 nonché a garantire le stesse tutele economiche e normative per i lavoratori in subappalto rispetto ai dipendenti dell'appaltatore e contro il lavoro irregolare.</w:t>
      </w:r>
    </w:p>
    <w:p w14:paraId="00A16C4A" w14:textId="6607D491"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2. Le stazioni appaltanti e gli enti concedenti contribuiscono al conseguimento degli obiettivi ambientali previsti dal Piano d'azione per la sostenibilità ambientale dei consumi nel settore della pubblica amministrazione attraverso l'inserimento, nella documentazione progettuale e di gara, almeno delle specifiche tecniche e delle clausole contrattuali contenute nei criteri ambientali minimi</w:t>
      </w:r>
      <w:r w:rsidR="006468C2" w:rsidRPr="004A5029">
        <w:rPr>
          <w:rFonts w:ascii="Times New Roman" w:hAnsi="Times New Roman" w:cs="Times New Roman"/>
          <w:color w:val="000000" w:themeColor="text1"/>
        </w:rPr>
        <w:t xml:space="preserve">, </w:t>
      </w:r>
      <w:r w:rsidR="006468C2" w:rsidRPr="004A5029">
        <w:rPr>
          <w:rFonts w:ascii="Times New Roman" w:hAnsi="Times New Roman" w:cs="Times New Roman"/>
          <w:bCs/>
          <w:color w:val="000000" w:themeColor="text1"/>
        </w:rPr>
        <w:t>definiti per specifiche categorie di appalti e concessioni, differenziati, ove tecnicamente opportuno, anche in base al valore dell’appalto o della concessione,</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con decreto del</w:t>
      </w:r>
      <w:r w:rsidRPr="004A5029">
        <w:rPr>
          <w:rFonts w:ascii="Times New Roman" w:hAnsi="Times New Roman" w:cs="Times New Roman"/>
          <w:bCs/>
          <w:color w:val="000000" w:themeColor="text1"/>
        </w:rPr>
        <w:t xml:space="preserve"> Ministero dell’ambiente e della sicurezza energetica </w:t>
      </w:r>
      <w:r w:rsidRPr="004A5029">
        <w:rPr>
          <w:rFonts w:ascii="Times New Roman" w:hAnsi="Times New Roman" w:cs="Times New Roman"/>
          <w:color w:val="000000" w:themeColor="text1"/>
        </w:rPr>
        <w:t xml:space="preserve">e conformemente, in riferimento all'acquisto di prodotti e servizi nei settori della ristorazione collettiva e fornitura di derrate alimentari, anche a quanto specificamente previsto </w:t>
      </w:r>
      <w:r w:rsidR="00546338"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all'articolo 130.</w:t>
      </w:r>
      <w:r w:rsidRPr="004A5029">
        <w:rPr>
          <w:rFonts w:ascii="Times New Roman" w:hAnsi="Times New Roman" w:cs="Times New Roman"/>
          <w:bCs/>
          <w:color w:val="000000" w:themeColor="text1"/>
        </w:rPr>
        <w:t xml:space="preserve"> Tali </w:t>
      </w:r>
      <w:r w:rsidRPr="004A5029">
        <w:rPr>
          <w:rFonts w:ascii="Times New Roman" w:hAnsi="Times New Roman" w:cs="Times New Roman"/>
          <w:color w:val="000000" w:themeColor="text1"/>
        </w:rPr>
        <w:t>criteri</w:t>
      </w:r>
      <w:r w:rsidRPr="004A5029">
        <w:rPr>
          <w:rFonts w:ascii="Times New Roman" w:hAnsi="Times New Roman" w:cs="Times New Roman"/>
          <w:bCs/>
          <w:color w:val="000000" w:themeColor="text1"/>
        </w:rPr>
        <w:t xml:space="preserve">, in particolare quelli premianti, </w:t>
      </w:r>
      <w:r w:rsidRPr="004A5029">
        <w:rPr>
          <w:rFonts w:ascii="Times New Roman" w:hAnsi="Times New Roman" w:cs="Times New Roman"/>
          <w:color w:val="000000" w:themeColor="text1"/>
        </w:rPr>
        <w:t>sono tenuti in considerazione anche ai fini della stesura dei documenti di gara per l'applicazione del criterio dell'offerta economicamente più vantaggiosa, ai sensi dell</w:t>
      </w:r>
      <w:r w:rsidR="006468C2" w:rsidRPr="004A5029">
        <w:rPr>
          <w:rFonts w:ascii="Times New Roman" w:hAnsi="Times New Roman" w:cs="Times New Roman"/>
          <w:color w:val="000000" w:themeColor="text1"/>
        </w:rPr>
        <w:t>'articolo 108, commi</w:t>
      </w:r>
      <w:r w:rsidRPr="004A5029">
        <w:rPr>
          <w:rFonts w:ascii="Times New Roman" w:hAnsi="Times New Roman" w:cs="Times New Roman"/>
          <w:color w:val="000000" w:themeColor="text1"/>
        </w:rPr>
        <w:t xml:space="preserve"> 4</w:t>
      </w:r>
      <w:r w:rsidR="006468C2" w:rsidRPr="004A5029">
        <w:rPr>
          <w:rFonts w:ascii="Times New Roman" w:hAnsi="Times New Roman" w:cs="Times New Roman"/>
          <w:color w:val="000000" w:themeColor="text1"/>
        </w:rPr>
        <w:t xml:space="preserve"> </w:t>
      </w:r>
      <w:r w:rsidR="006468C2" w:rsidRPr="004A5029">
        <w:rPr>
          <w:rFonts w:ascii="Times New Roman" w:hAnsi="Times New Roman" w:cs="Times New Roman"/>
          <w:bCs/>
          <w:color w:val="000000" w:themeColor="text1"/>
        </w:rPr>
        <w:t>e 5</w:t>
      </w:r>
      <w:r w:rsidRPr="004A5029">
        <w:rPr>
          <w:rFonts w:ascii="Times New Roman" w:hAnsi="Times New Roman" w:cs="Times New Roman"/>
          <w:bCs/>
          <w:color w:val="000000" w:themeColor="text1"/>
        </w:rPr>
        <w:t xml:space="preserve">. </w:t>
      </w:r>
      <w:r w:rsidR="006468C2" w:rsidRPr="004A5029">
        <w:rPr>
          <w:rFonts w:ascii="Times New Roman" w:hAnsi="Times New Roman" w:cs="Times New Roman"/>
          <w:bCs/>
          <w:color w:val="000000" w:themeColor="text1"/>
        </w:rPr>
        <w:t>Le stazioni appaltanti valorizzano economicamente le procedure di affidamento di appalti e concessioni conformi ai criteri ambientali minimi.</w:t>
      </w:r>
      <w:r w:rsidR="006468C2" w:rsidRPr="004A5029">
        <w:rPr>
          <w:rFonts w:ascii="Times New Roman" w:hAnsi="Times New Roman" w:cs="Times New Roman"/>
          <w:b/>
          <w:color w:val="000000" w:themeColor="text1"/>
        </w:rPr>
        <w:t xml:space="preserve"> </w:t>
      </w:r>
      <w:r w:rsidRPr="004A5029">
        <w:rPr>
          <w:rFonts w:ascii="Times New Roman" w:hAnsi="Times New Roman" w:cs="Times New Roman"/>
          <w:color w:val="000000" w:themeColor="text1"/>
        </w:rPr>
        <w:t>Nel caso di contratti relativi alle categorie di appalto riferite agli interventi di ristrutturazione, inclusi quelli comportanti demolizione e ricostruzione, i criteri ambientali minimi</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sono tenuti in considerazione, per quanto possibile, in funzione della tipologia di intervento e della localizzazione delle opere da realizzare, sulla base di adeguati criteri definiti dal Ministero dell’ambiente e della sicurezza energetica</w:t>
      </w:r>
      <w:r w:rsidRPr="004A5029">
        <w:rPr>
          <w:rFonts w:ascii="Times New Roman" w:hAnsi="Times New Roman" w:cs="Times New Roman"/>
          <w:bCs/>
          <w:color w:val="000000" w:themeColor="text1"/>
        </w:rPr>
        <w:t>.</w:t>
      </w:r>
      <w:r w:rsidR="006468C2" w:rsidRPr="004A5029">
        <w:rPr>
          <w:rFonts w:ascii="Times New Roman" w:hAnsi="Times New Roman" w:cs="Times New Roman"/>
          <w:bCs/>
          <w:color w:val="000000" w:themeColor="text1"/>
        </w:rPr>
        <w:t xml:space="preserve"> </w:t>
      </w:r>
    </w:p>
    <w:p w14:paraId="17DBC151" w14:textId="77777777" w:rsidR="00446F27" w:rsidRPr="004A5029" w:rsidRDefault="00446F27" w:rsidP="00446F27">
      <w:pPr>
        <w:rPr>
          <w:rFonts w:ascii="Times New Roman" w:hAnsi="Times New Roman" w:cs="Times New Roman"/>
          <w:color w:val="000000" w:themeColor="text1"/>
        </w:rPr>
      </w:pPr>
    </w:p>
    <w:p w14:paraId="17025A93"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58.</w:t>
      </w:r>
    </w:p>
    <w:p w14:paraId="0DEC2AF9" w14:textId="77777777" w:rsidR="00446F27" w:rsidRPr="004A5029" w:rsidRDefault="00446F27" w:rsidP="00446F27">
      <w:pPr>
        <w:rPr>
          <w:rFonts w:ascii="Times New Roman" w:eastAsia="Calibri" w:hAnsi="Times New Roman" w:cs="Times New Roman"/>
          <w:color w:val="000000" w:themeColor="text1"/>
        </w:rPr>
      </w:pPr>
      <w:r w:rsidRPr="004A5029">
        <w:rPr>
          <w:rFonts w:ascii="Times New Roman" w:eastAsia="Calibri" w:hAnsi="Times New Roman" w:cs="Times New Roman"/>
          <w:i/>
          <w:color w:val="000000" w:themeColor="text1"/>
        </w:rPr>
        <w:t>Suddivisione in lotti.</w:t>
      </w:r>
    </w:p>
    <w:p w14:paraId="0CF76EB3"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Per garantire la effettiva partecipazione delle micro, delle piccole e delle medie imprese, </w:t>
      </w:r>
      <w:r w:rsidRPr="004A5029">
        <w:rPr>
          <w:rFonts w:ascii="Times New Roman" w:eastAsia="Calibri" w:hAnsi="Times New Roman" w:cs="Times New Roman"/>
          <w:bCs/>
          <w:color w:val="000000" w:themeColor="text1"/>
        </w:rPr>
        <w:t>anche di prossimità</w:t>
      </w:r>
      <w:r w:rsidRPr="004A5029">
        <w:rPr>
          <w:rFonts w:ascii="Times New Roman" w:eastAsia="Calibri" w:hAnsi="Times New Roman" w:cs="Times New Roman"/>
          <w:color w:val="000000" w:themeColor="text1"/>
        </w:rPr>
        <w:t>, gli appalti sono suddivisi in lotti funzionali, prestazionali o quantitativi in conformità alle categorie o specializzazioni nel settore dei lavori, servizi e forniture.</w:t>
      </w:r>
    </w:p>
    <w:p w14:paraId="1423205C" w14:textId="04CA578D"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N</w:t>
      </w:r>
      <w:r w:rsidRPr="004A5029">
        <w:rPr>
          <w:rFonts w:ascii="Times New Roman" w:eastAsia="Times New Roman" w:hAnsi="Times New Roman" w:cs="Times New Roman"/>
          <w:color w:val="000000" w:themeColor="text1"/>
        </w:rPr>
        <w:t xml:space="preserve">el bando o nell’avviso di indizione della gara </w:t>
      </w:r>
      <w:r w:rsidRPr="004A5029">
        <w:rPr>
          <w:rFonts w:ascii="Times New Roman" w:eastAsia="Calibri" w:hAnsi="Times New Roman" w:cs="Times New Roman"/>
          <w:bCs/>
          <w:color w:val="000000" w:themeColor="text1"/>
        </w:rPr>
        <w:t xml:space="preserve">le stazioni appaltanti </w:t>
      </w:r>
      <w:r w:rsidRPr="004A5029">
        <w:rPr>
          <w:rFonts w:ascii="Times New Roman" w:eastAsia="Calibri" w:hAnsi="Times New Roman" w:cs="Times New Roman"/>
          <w:b/>
          <w:strike/>
          <w:color w:val="000000" w:themeColor="text1"/>
        </w:rPr>
        <w:t>indicano le ragioni che, secondo un criterio di proporzionalità, richiedono di non suddividere l’appalto in lotti in funzione de</w:t>
      </w:r>
      <w:r w:rsidRPr="004A5029">
        <w:rPr>
          <w:rFonts w:ascii="Times New Roman" w:eastAsia="Times New Roman" w:hAnsi="Times New Roman" w:cs="Times New Roman"/>
          <w:b/>
          <w:strike/>
          <w:color w:val="000000" w:themeColor="text1"/>
          <w:lang w:eastAsia="it-IT"/>
        </w:rPr>
        <w:t>ll’interesse, anche di natura organizzativa, a una efficiente ed efficace esecuzione delle prestazioni</w:t>
      </w:r>
      <w:r w:rsidR="00396B7B" w:rsidRPr="004A5029">
        <w:rPr>
          <w:rFonts w:ascii="Times New Roman" w:eastAsia="Calibri" w:hAnsi="Times New Roman" w:cs="Times New Roman"/>
          <w:b/>
          <w:strike/>
          <w:color w:val="000000" w:themeColor="text1"/>
        </w:rPr>
        <w:t>.</w:t>
      </w:r>
      <w:r w:rsidR="007933AF" w:rsidRPr="004A5029">
        <w:rPr>
          <w:rFonts w:eastAsia="Calibri" w:cstheme="minorHAnsi"/>
          <w:b/>
          <w:bCs/>
          <w:color w:val="000000" w:themeColor="text1"/>
          <w:sz w:val="20"/>
          <w:szCs w:val="20"/>
        </w:rPr>
        <w:t xml:space="preserve"> </w:t>
      </w:r>
      <w:r w:rsidR="007933AF" w:rsidRPr="004A5029">
        <w:rPr>
          <w:rFonts w:ascii="Times New Roman" w:eastAsia="Calibri" w:hAnsi="Times New Roman" w:cs="Times New Roman"/>
          <w:b/>
          <w:bCs/>
          <w:color w:val="000000" w:themeColor="text1"/>
        </w:rPr>
        <w:t xml:space="preserve">motivano la mancata suddivisione dell'appalto in lotti </w:t>
      </w:r>
      <w:r w:rsidR="002819DE" w:rsidRPr="004A5029">
        <w:rPr>
          <w:rFonts w:ascii="Times New Roman" w:eastAsia="Calibri" w:hAnsi="Times New Roman" w:cs="Times New Roman"/>
          <w:b/>
          <w:bCs/>
          <w:color w:val="000000" w:themeColor="text1"/>
        </w:rPr>
        <w:t xml:space="preserve">tenendo conto dei </w:t>
      </w:r>
      <w:r w:rsidR="007933AF" w:rsidRPr="004A5029">
        <w:rPr>
          <w:rFonts w:ascii="Times New Roman" w:eastAsia="Calibri" w:hAnsi="Times New Roman" w:cs="Times New Roman"/>
          <w:b/>
          <w:bCs/>
          <w:color w:val="000000" w:themeColor="text1"/>
        </w:rPr>
        <w:t>princìpi</w:t>
      </w:r>
      <w:r w:rsidR="007933AF" w:rsidRPr="004A5029">
        <w:rPr>
          <w:rFonts w:eastAsia="Calibri" w:cstheme="minorHAnsi"/>
          <w:b/>
          <w:bCs/>
          <w:color w:val="000000" w:themeColor="text1"/>
          <w:sz w:val="20"/>
          <w:szCs w:val="20"/>
        </w:rPr>
        <w:t xml:space="preserve"> </w:t>
      </w:r>
      <w:r w:rsidR="007933AF" w:rsidRPr="004A5029">
        <w:rPr>
          <w:rFonts w:ascii="Times New Roman" w:eastAsia="Calibri" w:hAnsi="Times New Roman" w:cs="Times New Roman"/>
          <w:b/>
          <w:bCs/>
          <w:color w:val="000000" w:themeColor="text1"/>
        </w:rPr>
        <w:t xml:space="preserve">europei sulla promozione di condizioni di concorrenza paritarie per le piccole e medie imprese. </w:t>
      </w:r>
      <w:r w:rsidR="007725AF" w:rsidRPr="004A5029">
        <w:rPr>
          <w:rFonts w:ascii="Times New Roman" w:eastAsia="Calibri" w:hAnsi="Times New Roman" w:cs="Times New Roman"/>
          <w:bCs/>
          <w:color w:val="000000" w:themeColor="text1"/>
        </w:rPr>
        <w:t xml:space="preserve"> Nel caso di suddivisione in lotti, il relativo valore deve essere adeguato in modo da garantire l’effettiva possibilità di partecipazione da parte delle microimprese, piccole e medie imprese.</w:t>
      </w:r>
    </w:p>
    <w:p w14:paraId="77DCE36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3. Nel medesimo atto le stazioni appaltanti indicano i criteri di natura qualitativa o quantitativa concretamente seguiti nella suddivisione in lotti, avuto riguardo ai parametri indicati al comma 2. È in ogni caso vietato l’artificioso accorpamento dei lotti.</w:t>
      </w:r>
    </w:p>
    <w:p w14:paraId="7560D148"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La stazione appaltante può limitare il numero massimo di lotti per i quali è consentita l’aggiudicazione al medesimo concorrente per ragioni connesse alle caratteristiche della gara e all’efficienza della prestazione, oppure</w:t>
      </w:r>
      <w:r w:rsidRPr="004A5029">
        <w:rPr>
          <w:rFonts w:ascii="Times New Roman" w:eastAsia="Calibri" w:hAnsi="Times New Roman" w:cs="Times New Roman"/>
          <w:bCs/>
          <w:color w:val="000000" w:themeColor="text1"/>
        </w:rPr>
        <w:t xml:space="preserve"> per ragioni inerenti al relativo mercato, anche a più concorrenti che versino in situazioni di controllo o collegamento ai sensi dell’articolo 2359 del codice civile.</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Al ricorrere delle medesime condizioni e ove necessario in ragione dell’elevato numero atteso di concorrenti può essere limitato anche il numero di lotti per i quali è possibile partecipare.</w:t>
      </w:r>
      <w:r w:rsidRPr="004A5029">
        <w:rPr>
          <w:rFonts w:ascii="Times New Roman" w:eastAsia="Calibri" w:hAnsi="Times New Roman" w:cs="Times New Roman"/>
          <w:color w:val="000000" w:themeColor="text1"/>
        </w:rPr>
        <w:t xml:space="preserve"> In ogni caso il bando o </w:t>
      </w:r>
      <w:r w:rsidRPr="004A5029">
        <w:rPr>
          <w:rFonts w:ascii="Times New Roman" w:eastAsia="Times New Roman" w:hAnsi="Times New Roman" w:cs="Times New Roman"/>
          <w:color w:val="000000" w:themeColor="text1"/>
        </w:rPr>
        <w:t xml:space="preserve">l’avviso di indizione della gara </w:t>
      </w:r>
      <w:r w:rsidRPr="004A5029">
        <w:rPr>
          <w:rFonts w:ascii="Times New Roman" w:eastAsia="Calibri" w:hAnsi="Times New Roman" w:cs="Times New Roman"/>
          <w:color w:val="000000" w:themeColor="text1"/>
        </w:rPr>
        <w:t>contengono l’indicazione della ragione specifica della scelta e prevedono il criterio non discriminatorio di selezione del lotto o dei lotti da aggiudicare al concorrente utilmente collocato per un numero eccedente tale limite.</w:t>
      </w:r>
    </w:p>
    <w:p w14:paraId="4C03725D"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5. Il bando di gara o la lettera di invito possono anche riservare alla stazione appaltante la possibilità di aggiudicare alcuni o tutti i lotti associati al medesimo offerente, indicando le modalità mediante le quali effettuare la valutazione comparativa tra le offerte sui singoli lotti e le offerte sulle associazioni di lotti.</w:t>
      </w:r>
    </w:p>
    <w:p w14:paraId="6F8BD81B" w14:textId="77777777" w:rsidR="00446F27" w:rsidRPr="004A5029" w:rsidRDefault="00446F27" w:rsidP="00446F27">
      <w:pPr>
        <w:rPr>
          <w:rFonts w:ascii="Times New Roman" w:hAnsi="Times New Roman" w:cs="Times New Roman"/>
          <w:color w:val="000000" w:themeColor="text1"/>
        </w:rPr>
      </w:pPr>
    </w:p>
    <w:p w14:paraId="4BCB6A36"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59.</w:t>
      </w:r>
    </w:p>
    <w:p w14:paraId="27B1EA07" w14:textId="77777777" w:rsidR="00446F27" w:rsidRPr="004A5029" w:rsidRDefault="00446F27" w:rsidP="00446F27">
      <w:pPr>
        <w:rPr>
          <w:rFonts w:ascii="Times New Roman" w:eastAsia="Calibri" w:hAnsi="Times New Roman" w:cs="Times New Roman"/>
          <w:b/>
          <w:color w:val="000000" w:themeColor="text1"/>
        </w:rPr>
      </w:pPr>
      <w:r w:rsidRPr="004A5029">
        <w:rPr>
          <w:rFonts w:ascii="Times New Roman" w:eastAsia="Calibri" w:hAnsi="Times New Roman" w:cs="Times New Roman"/>
          <w:i/>
          <w:color w:val="000000" w:themeColor="text1"/>
        </w:rPr>
        <w:t>Accordi quadro.</w:t>
      </w:r>
    </w:p>
    <w:p w14:paraId="244C40D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Le stazioni appaltanti possono concludere accordi quadro di durata non superiore a quattro anni, salvo casi eccezionali debitamente motivati, in particolare con riferimento all’oggetto dell’accordo quadro. L’accordo quadro indica il valore stimato dell’intera operazione contrattuale. In ogni caso la stazione appaltante non può ricorrere agli accordi quadro in modo da eludere l'applicazione del codice o in modo da ostacolare, limitare o distorcere la concorrenza. </w:t>
      </w:r>
      <w:r w:rsidRPr="004A5029">
        <w:rPr>
          <w:rFonts w:ascii="Times New Roman" w:eastAsia="Calibri" w:hAnsi="Times New Roman" w:cs="Times New Roman"/>
          <w:color w:val="000000" w:themeColor="text1"/>
          <w:shd w:val="clear" w:color="auto" w:fill="FFFFFF"/>
        </w:rPr>
        <w:t>In particolare, e salvo quanto previsto dai commi 4, lettera b), e 5 ai fini dell’ottenimento di offerte migliorative, il ricorso all’accordo quadro non è ammissibile ove l’appalto consequenziale comporti modifiche sostanziali alla tipologia delle prestazioni previste nell'accordo.</w:t>
      </w:r>
    </w:p>
    <w:p w14:paraId="0F9F12BF"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Gli appalti basati su un accordo quadro sono aggiudicati secondo le procedure previste dal presente articolo, applicabili tra le stazioni appaltanti, individuate nell'indizione della procedura per la conclusione dell’accordo quadro, e gli operatori economici selezionati in esito alla stessa. Non possono in sede di appalto apportarsi modifiche sostanziali alle condizioni fissate nell'accordo quadro.</w:t>
      </w:r>
    </w:p>
    <w:p w14:paraId="3C3B9B01"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3. Quando l’accordo quadro sia concluso con un solo operatore economico, gli appalti sono aggiudicati entro i limiti delle condizioni fissate nell'accordo quadro stesso. La stazione appaltante può consultare per iscritto l'operatore economico chiedendogli di completare la sua offerta, se necessario.</w:t>
      </w:r>
    </w:p>
    <w:p w14:paraId="4CBC99AC"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L'accordo quadro concluso con più operatori economici è eseguito secondo una delle seguenti modalità:</w:t>
      </w:r>
    </w:p>
    <w:p w14:paraId="1A7B6C0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a) secondo i termini e le condizioni dell'accordo quadro, senza riaprire il confronto competitivo, quando l'accordo quadro contenga tutti i termini che disciplinano la prestazione dei lavori, dei servizi e delle forniture, nonché le condizioni oggettive, stabilite nei documenti di gara dell’accordo quadro, per determinare quale degli operatori economici parti dell'accordo effettuerà la prestazione; l'individuazione dell'operatore economico che effettuerà la prestazione avviene con decisione motivata in relazione alle specifiche esigenze dell'amministrazione;</w:t>
      </w:r>
    </w:p>
    <w:p w14:paraId="6A360686"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b) riaprendo il confronto competitivo tra gli operatori economici parti dell'accordo quadro, se l'accordo quadro non contiene tutti i termini che disciplinano la prestazione dei lavori, dei servizi e delle forniture;</w:t>
      </w:r>
    </w:p>
    <w:p w14:paraId="2AF526C1"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c) sussistendo le condizioni di cui alla lettera a), in parte senza la riapertura del confronto competitivo conformemente a quanto ivi previsto e, in parte, con la riapertura del confronto competitivo conformemente a quanto previsto dalla lettera b), se questa possibilità è stata stabilita dalla stazione appaltante nei documenti di gara per l'accordo quadro. La scelta tra le due procedure avviene in base a criteri oggettivi che sono indicati nei documenti di gara per l'accordo quadro e che stabiliscono anche quali condizioni possono essere soggette alla riapertura del confronto competitivo. Le possibilità previste alla presente lettera si applicano anche a ogni lotto di un accordo quadro per il quale tutti i termini che disciplinano la prestazione dei lavori, dei servizi e delle forniture in questione sono definiti nell’accordo quadro, indipendentemente dal fatto che siano stati stabiliti tutti i termini che disciplinano la prestazione dei lavori, dei servizi e delle forniture in questione per altri lotti.</w:t>
      </w:r>
    </w:p>
    <w:p w14:paraId="5455319D"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5. Gli eventuali confronti competitivi di cui al comma 4 si basano sulle stesse condizioni applicate all'aggiudicazione dell'accordo quadro, se necessario precisandole, e su altre condizioni indicate nei documenti di gara per l'accordo quadro, secondo la seguente procedura:</w:t>
      </w:r>
    </w:p>
    <w:p w14:paraId="3448550D"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a) per ogni appalto da aggiudicare la stazione appaltante consulta per iscritto gli operatori economici che sono in grado di eseguire l'oggetto dell'appalto;</w:t>
      </w:r>
    </w:p>
    <w:p w14:paraId="61E01DF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b) la stazione appaltante fissa un termine sufficiente per presentare le offerte relative a ciascun appalto specifico, tenendo conto della complessità dell'oggetto dell'appalto e del tempo necessario per la trasmissione delle offerte;</w:t>
      </w:r>
    </w:p>
    <w:p w14:paraId="32399D3C" w14:textId="0C66E7CC"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c) le offerte sono presentate per iscritto e il loro contenuto non </w:t>
      </w:r>
      <w:r w:rsidR="00E07A23" w:rsidRPr="004A5029">
        <w:rPr>
          <w:rFonts w:ascii="Times New Roman" w:eastAsia="Calibri" w:hAnsi="Times New Roman" w:cs="Times New Roman"/>
          <w:color w:val="000000" w:themeColor="text1"/>
        </w:rPr>
        <w:t>è</w:t>
      </w:r>
      <w:r w:rsidRPr="004A5029">
        <w:rPr>
          <w:rFonts w:ascii="Times New Roman" w:eastAsia="Calibri" w:hAnsi="Times New Roman" w:cs="Times New Roman"/>
          <w:color w:val="000000" w:themeColor="text1"/>
        </w:rPr>
        <w:t xml:space="preserve"> reso pubblico fino alla scadenza del termine previsto per la loro presentazione;</w:t>
      </w:r>
    </w:p>
    <w:p w14:paraId="2AE6DF2F"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d) la stazione appaltante aggiudica l'appalto all'offerente che ha presentato l'offerta migliore sulla base dei criteri di aggiudicazione fissati nei documenti di gara per l'accordo quadro.</w:t>
      </w:r>
    </w:p>
    <w:p w14:paraId="2613E9C1" w14:textId="77777777" w:rsidR="00446F27" w:rsidRPr="004A5029" w:rsidRDefault="00446F27" w:rsidP="00446F27">
      <w:pPr>
        <w:jc w:val="both"/>
        <w:rPr>
          <w:rFonts w:ascii="Times New Roman" w:eastAsia="Calibri" w:hAnsi="Times New Roman" w:cs="Times New Roman"/>
          <w:color w:val="000000" w:themeColor="text1"/>
        </w:rPr>
      </w:pPr>
    </w:p>
    <w:p w14:paraId="78ED3D7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
          <w:color w:val="000000" w:themeColor="text1"/>
        </w:rPr>
        <w:t>Articolo 60.</w:t>
      </w:r>
    </w:p>
    <w:p w14:paraId="7BDB2F7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Revisione prezzi.</w:t>
      </w:r>
    </w:p>
    <w:p w14:paraId="254DEC96" w14:textId="6FB262B5" w:rsidR="00446F27" w:rsidRPr="004A5029" w:rsidRDefault="00446F27" w:rsidP="00446F27">
      <w:pPr>
        <w:spacing w:after="0"/>
        <w:jc w:val="both"/>
        <w:rPr>
          <w:rFonts w:ascii="Times New Roman" w:hAnsi="Times New Roman" w:cs="Times New Roman"/>
          <w:color w:val="000000" w:themeColor="text1"/>
        </w:rPr>
      </w:pPr>
      <w:r w:rsidRPr="004A5029">
        <w:rPr>
          <w:rFonts w:ascii="Times New Roman" w:hAnsi="Times New Roman" w:cs="Times New Roman"/>
          <w:color w:val="000000" w:themeColor="text1"/>
        </w:rPr>
        <w:t>1. Nei documenti di gara iniziali delle procedure di affidamento è obbligatorio l’inserimento delle clausole di revisione prezzi.</w:t>
      </w:r>
      <w:r w:rsidR="007933AF" w:rsidRPr="004A5029">
        <w:rPr>
          <w:rFonts w:ascii="Times New Roman" w:hAnsi="Times New Roman" w:cs="Times New Roman"/>
          <w:color w:val="000000" w:themeColor="text1"/>
        </w:rPr>
        <w:t xml:space="preserve"> </w:t>
      </w:r>
    </w:p>
    <w:p w14:paraId="7DBEB17C" w14:textId="272BBA41" w:rsidR="00446F27" w:rsidRPr="004A5029" w:rsidRDefault="00446F27" w:rsidP="00AA4780">
      <w:pPr>
        <w:spacing w:after="120"/>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2. Queste clausole non apportano modifiche che alterino la natura generale del contratto o dell'accordo quadro; si attivano al verificarsi di particolari condizioni di natura oggettiva</w:t>
      </w:r>
      <w:r w:rsidRPr="006D6343">
        <w:rPr>
          <w:rFonts w:ascii="Times New Roman" w:hAnsi="Times New Roman" w:cs="Times New Roman"/>
          <w:b/>
          <w:bCs/>
          <w:color w:val="000000" w:themeColor="text1"/>
        </w:rPr>
        <w:t xml:space="preserve">, </w:t>
      </w:r>
      <w:r w:rsidRPr="00BD54D8">
        <w:rPr>
          <w:rFonts w:ascii="Times New Roman" w:hAnsi="Times New Roman" w:cs="Times New Roman"/>
          <w:b/>
          <w:bCs/>
          <w:strike/>
          <w:color w:val="000000" w:themeColor="text1"/>
        </w:rPr>
        <w:t>non prevedibili al momento della formulazione dell’offerta</w:t>
      </w:r>
      <w:r w:rsidRPr="00BD54D8">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che determinano una variazione del costo dell’opera, della fornitura o del servizio, in aumento o in diminuzione, superiore al </w:t>
      </w:r>
      <w:r w:rsidR="006D11B3" w:rsidRPr="004A5029">
        <w:rPr>
          <w:rFonts w:ascii="Times New Roman" w:hAnsi="Times New Roman" w:cs="Times New Roman"/>
          <w:color w:val="000000" w:themeColor="text1"/>
        </w:rPr>
        <w:t xml:space="preserve">5 </w:t>
      </w:r>
      <w:r w:rsidRPr="004A5029">
        <w:rPr>
          <w:rFonts w:ascii="Times New Roman" w:hAnsi="Times New Roman" w:cs="Times New Roman"/>
          <w:color w:val="000000" w:themeColor="text1"/>
        </w:rPr>
        <w:t xml:space="preserve">per cento dell’importo complessivo e operano </w:t>
      </w:r>
      <w:r w:rsidRPr="00CE0BF3">
        <w:rPr>
          <w:rFonts w:ascii="Times New Roman" w:hAnsi="Times New Roman" w:cs="Times New Roman"/>
          <w:color w:val="000000" w:themeColor="text1"/>
        </w:rPr>
        <w:t>nella misura del</w:t>
      </w:r>
      <w:r w:rsidR="007725AF" w:rsidRPr="00CE0BF3">
        <w:rPr>
          <w:rFonts w:ascii="Times New Roman" w:hAnsi="Times New Roman" w:cs="Times New Roman"/>
          <w:color w:val="000000" w:themeColor="text1"/>
        </w:rPr>
        <w:t>l’80</w:t>
      </w:r>
      <w:r w:rsidRPr="00CE0BF3">
        <w:rPr>
          <w:rFonts w:ascii="Times New Roman" w:hAnsi="Times New Roman" w:cs="Times New Roman"/>
          <w:color w:val="000000" w:themeColor="text1"/>
        </w:rPr>
        <w:t xml:space="preserve"> per cento della variazione stessa</w:t>
      </w:r>
      <w:r w:rsidRPr="00CE0BF3">
        <w:rPr>
          <w:rFonts w:ascii="Times New Roman" w:hAnsi="Times New Roman" w:cs="Times New Roman"/>
          <w:b/>
          <w:bCs/>
          <w:strike/>
          <w:color w:val="000000" w:themeColor="text1"/>
        </w:rPr>
        <w:t>.</w:t>
      </w:r>
      <w:r w:rsidR="007933AF" w:rsidRPr="00CE0BF3">
        <w:rPr>
          <w:rFonts w:ascii="Times New Roman" w:hAnsi="Times New Roman" w:cs="Times New Roman"/>
          <w:b/>
          <w:bCs/>
          <w:color w:val="000000" w:themeColor="text1"/>
        </w:rPr>
        <w:t>,</w:t>
      </w:r>
      <w:r w:rsidR="007933AF" w:rsidRPr="00CE0BF3">
        <w:rPr>
          <w:b/>
          <w:bCs/>
          <w:color w:val="000000" w:themeColor="text1"/>
        </w:rPr>
        <w:t xml:space="preserve"> </w:t>
      </w:r>
      <w:r w:rsidR="007933AF" w:rsidRPr="00CE0BF3">
        <w:rPr>
          <w:rFonts w:ascii="Times New Roman" w:hAnsi="Times New Roman" w:cs="Times New Roman"/>
          <w:b/>
          <w:bCs/>
          <w:color w:val="000000" w:themeColor="text1"/>
        </w:rPr>
        <w:t xml:space="preserve">in relazione </w:t>
      </w:r>
      <w:r w:rsidR="002819DE" w:rsidRPr="00CE0BF3">
        <w:rPr>
          <w:rFonts w:ascii="Times New Roman" w:hAnsi="Times New Roman" w:cs="Times New Roman"/>
          <w:b/>
          <w:bCs/>
          <w:color w:val="000000" w:themeColor="text1"/>
        </w:rPr>
        <w:t xml:space="preserve">alle </w:t>
      </w:r>
      <w:r w:rsidR="007933AF" w:rsidRPr="00CE0BF3">
        <w:rPr>
          <w:rFonts w:ascii="Times New Roman" w:hAnsi="Times New Roman" w:cs="Times New Roman"/>
          <w:b/>
          <w:bCs/>
          <w:color w:val="000000" w:themeColor="text1"/>
        </w:rPr>
        <w:t xml:space="preserve">prestazioni da eseguire in maniera prevalente. </w:t>
      </w:r>
      <w:r w:rsidRPr="00CE0BF3">
        <w:rPr>
          <w:rFonts w:ascii="Times New Roman" w:hAnsi="Times New Roman" w:cs="Times New Roman"/>
          <w:b/>
          <w:bCs/>
          <w:color w:val="000000" w:themeColor="text1"/>
        </w:rPr>
        <w:t xml:space="preserve"> </w:t>
      </w:r>
    </w:p>
    <w:p w14:paraId="6D92DC8E" w14:textId="58C2EAC9" w:rsidR="00446F27" w:rsidRPr="004A5029" w:rsidRDefault="00446F27" w:rsidP="00AA4780">
      <w:pPr>
        <w:spacing w:after="120"/>
        <w:jc w:val="both"/>
        <w:rPr>
          <w:rFonts w:ascii="Times New Roman" w:hAnsi="Times New Roman" w:cs="Times New Roman"/>
          <w:b/>
          <w:strike/>
          <w:color w:val="000000" w:themeColor="text1"/>
        </w:rPr>
      </w:pPr>
      <w:r w:rsidRPr="004A5029">
        <w:rPr>
          <w:rFonts w:ascii="Times New Roman" w:hAnsi="Times New Roman" w:cs="Times New Roman"/>
          <w:b/>
          <w:strike/>
          <w:color w:val="000000" w:themeColor="text1"/>
        </w:rPr>
        <w:t>3. Per l’applicazione del presente articolo si utilizzano indici sintetici delle variazioni dei prezzi relativi ai contratti di lavori, servizi e forniture, approvati dall’ISTAT con proprio provvedimento entro  il 30 settembre di ciascun anno, d’intesa con il Ministero delle infrastrutture e dei trasporti. Con il medesimo provvedimento si definisce e si aggiorna la metodologia di rilevazione e si indica l’ambito temporale di rilevazione delle variazioni.</w:t>
      </w:r>
    </w:p>
    <w:p w14:paraId="78C1F333" w14:textId="77777777" w:rsidR="007933AF" w:rsidRPr="004A5029" w:rsidRDefault="007933AF" w:rsidP="007933AF">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3. Ai fini della determinazione della variazione dei costi e dei prezzi di cui al comma 1, si utilizzano i seguenti indici sintetici elaborati dall’ISTAT:</w:t>
      </w:r>
    </w:p>
    <w:p w14:paraId="439BE0A4" w14:textId="77777777" w:rsidR="007933AF" w:rsidRPr="004A5029" w:rsidRDefault="007933AF" w:rsidP="007933AF">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 con riguardo ai contratti di lavori, gli indici sintetici di costo di costruzione;</w:t>
      </w:r>
    </w:p>
    <w:p w14:paraId="4E05C9D2" w14:textId="70E9F240" w:rsidR="007933AF" w:rsidRPr="004A5029" w:rsidRDefault="007933AF" w:rsidP="007933AF">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b) con riguardo ai contratti di servizi e forniture</w:t>
      </w:r>
      <w:r w:rsidR="00E726DA">
        <w:rPr>
          <w:rFonts w:ascii="Times New Roman" w:hAnsi="Times New Roman" w:cs="Times New Roman"/>
          <w:b/>
          <w:bCs/>
          <w:color w:val="000000" w:themeColor="text1"/>
        </w:rPr>
        <w:t xml:space="preserve">, </w:t>
      </w:r>
      <w:r w:rsidRPr="004A5029">
        <w:rPr>
          <w:rFonts w:ascii="Times New Roman" w:hAnsi="Times New Roman" w:cs="Times New Roman"/>
          <w:b/>
          <w:bCs/>
          <w:color w:val="000000" w:themeColor="text1"/>
        </w:rPr>
        <w:t>gli indici dei prezzi al consumo, dei prezzi alla produzione dell’industria e dei servizi e gli indici delle retribuzioni contrattuali orarie.</w:t>
      </w:r>
    </w:p>
    <w:p w14:paraId="6C5CD04C" w14:textId="77777777" w:rsidR="007933AF" w:rsidRPr="004A5029" w:rsidRDefault="007933AF" w:rsidP="007933AF">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4. Gli indici di costo e di prezzo di cui al comma 3</w:t>
      </w:r>
      <w:r w:rsidRPr="004A5029">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sono pubblicati, unitamente alla relativa metodologia di calcolo, sul portale istituzionale dell’ISTAT in conformità alle pertinenti disposizioni normative europee e nazionali in materia di comunicazione e diffusione dell’informazione statistica ufficiale. Con provvedimento adottato dal Ministero dell’infrastrutture e dei trasporti, sentito l’ISTAT, sono individuate eventuali ulteriori categorie di indici ovvero ulteriori specificazioni tipologiche o merceologiche delle categorie di indici individuate dal comma 3 nell’ambito degli indici già prodotti dall’ISTAT.</w:t>
      </w:r>
    </w:p>
    <w:p w14:paraId="2BC72DB8" w14:textId="77777777" w:rsidR="007933AF" w:rsidRPr="004A5029" w:rsidRDefault="007933AF" w:rsidP="007933AF">
      <w:pPr>
        <w:jc w:val="both"/>
        <w:rPr>
          <w:rFonts w:ascii="Times New Roman" w:hAnsi="Times New Roman" w:cs="Times New Roman"/>
          <w:b/>
          <w:bCs/>
          <w:color w:val="000000" w:themeColor="text1"/>
        </w:rPr>
      </w:pPr>
    </w:p>
    <w:p w14:paraId="2D0495D9" w14:textId="3982062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
          <w:bCs/>
          <w:strike/>
          <w:color w:val="000000" w:themeColor="text1"/>
        </w:rPr>
        <w:t>4.</w:t>
      </w:r>
      <w:r w:rsidRPr="004A5029">
        <w:rPr>
          <w:rFonts w:ascii="Times New Roman" w:hAnsi="Times New Roman" w:cs="Times New Roman"/>
          <w:b/>
          <w:bCs/>
          <w:color w:val="000000" w:themeColor="text1"/>
        </w:rPr>
        <w:t xml:space="preserve"> </w:t>
      </w:r>
      <w:r w:rsidR="007933AF" w:rsidRPr="004A5029">
        <w:rPr>
          <w:rFonts w:ascii="Times New Roman" w:hAnsi="Times New Roman" w:cs="Times New Roman"/>
          <w:b/>
          <w:bCs/>
          <w:color w:val="000000" w:themeColor="text1"/>
        </w:rPr>
        <w:t>5.</w:t>
      </w:r>
      <w:r w:rsidR="007933AF"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Per far fronte ai maggiori oneri derivanti dalla revisione prezzi di cui al presente articolo le stazioni appaltanti utilizzano:</w:t>
      </w:r>
    </w:p>
    <w:p w14:paraId="1C6D7FBE" w14:textId="3AC7A0A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nel limite del </w:t>
      </w:r>
      <w:r w:rsidR="001747D0" w:rsidRPr="004A5029">
        <w:rPr>
          <w:rFonts w:ascii="Times New Roman" w:hAnsi="Times New Roman" w:cs="Times New Roman"/>
          <w:color w:val="000000" w:themeColor="text1"/>
        </w:rPr>
        <w:t xml:space="preserve"> 50 </w:t>
      </w:r>
      <w:r w:rsidRPr="004A5029">
        <w:rPr>
          <w:rFonts w:ascii="Times New Roman" w:hAnsi="Times New Roman" w:cs="Times New Roman"/>
          <w:color w:val="000000" w:themeColor="text1"/>
        </w:rPr>
        <w:t xml:space="preserve">per cento, le risorse appositamente accantonate per imprevisti nel quadro economico di ogni intervento, fatte salve le somme relative agli impegni contrattuali già assunti, e le eventuali ulteriori somme a disposizione della medesima stazione appaltante e stanziate annualmente relativamente allo stesso intervento; </w:t>
      </w:r>
    </w:p>
    <w:p w14:paraId="08AA3FE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le somme derivanti da ribassi d'asta, se non ne è prevista una diversa destinazione dalle norme vigenti;</w:t>
      </w:r>
    </w:p>
    <w:p w14:paraId="3537072B" w14:textId="51F79503" w:rsidR="00446F27" w:rsidRPr="004A5029" w:rsidRDefault="00446F27" w:rsidP="00446F27">
      <w:pPr>
        <w:jc w:val="both"/>
        <w:rPr>
          <w:rStyle w:val="normaltextrun"/>
          <w:rFonts w:ascii="Times New Roman" w:hAnsi="Times New Roman" w:cs="Times New Roman"/>
          <w:b/>
          <w:bCs/>
          <w:color w:val="000000" w:themeColor="text1"/>
        </w:rPr>
      </w:pPr>
      <w:r w:rsidRPr="004A5029">
        <w:rPr>
          <w:rFonts w:ascii="Times New Roman" w:hAnsi="Times New Roman" w:cs="Times New Roman"/>
          <w:color w:val="000000" w:themeColor="text1"/>
        </w:rPr>
        <w:t xml:space="preserve">c) le somme disponibili relative ad altri interventi ultimati di competenza della medesima stazione appaltante e per i quali siano stati eseguiti i relativi collaudi o emessi i certificati di regolare esecuzione, nel rispetto delle procedure contabili della spesa e nei limiti della residua spesa autorizzata disponibile. </w:t>
      </w:r>
    </w:p>
    <w:p w14:paraId="1037B8A3" w14:textId="77777777" w:rsidR="00446F27" w:rsidRPr="004A5029" w:rsidRDefault="00446F27" w:rsidP="00446F27">
      <w:pPr>
        <w:rPr>
          <w:rFonts w:ascii="Times New Roman" w:hAnsi="Times New Roman" w:cs="Times New Roman"/>
          <w:color w:val="000000" w:themeColor="text1"/>
        </w:rPr>
      </w:pPr>
    </w:p>
    <w:p w14:paraId="3E993E08" w14:textId="77777777" w:rsidR="00446F27" w:rsidRPr="004A5029" w:rsidRDefault="00446F27" w:rsidP="00446F27">
      <w:pPr>
        <w:jc w:val="both"/>
        <w:rPr>
          <w:rFonts w:ascii="Times New Roman" w:hAnsi="Times New Roman" w:cs="Times New Roman"/>
          <w:color w:val="000000" w:themeColor="text1"/>
        </w:rPr>
      </w:pPr>
      <w:bookmarkStart w:id="28" w:name="_Hlk126083873"/>
      <w:r w:rsidRPr="004A5029">
        <w:rPr>
          <w:rFonts w:ascii="Times New Roman" w:hAnsi="Times New Roman" w:cs="Times New Roman"/>
          <w:b/>
          <w:color w:val="000000" w:themeColor="text1"/>
        </w:rPr>
        <w:t>Articolo 61.</w:t>
      </w:r>
    </w:p>
    <w:p w14:paraId="6F128EC0"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Contratti riservati.</w:t>
      </w:r>
    </w:p>
    <w:p w14:paraId="0DAFFD60" w14:textId="0A3D7C5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stazioni appaltanti</w:t>
      </w:r>
      <w:r w:rsidR="00565684" w:rsidRPr="004A5029">
        <w:rPr>
          <w:rFonts w:ascii="Times New Roman" w:hAnsi="Times New Roman" w:cs="Times New Roman"/>
          <w:color w:val="000000" w:themeColor="text1"/>
        </w:rPr>
        <w:t xml:space="preserve"> </w:t>
      </w:r>
      <w:r w:rsidR="00565684" w:rsidRPr="004A5029">
        <w:rPr>
          <w:rFonts w:ascii="Times New Roman" w:hAnsi="Times New Roman" w:cs="Times New Roman"/>
          <w:b/>
          <w:bCs/>
          <w:color w:val="000000" w:themeColor="text1"/>
        </w:rPr>
        <w:t xml:space="preserve">e gli enti concedenti </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possono riservare il diritto di partecipazione alle procedure di appalto </w:t>
      </w:r>
      <w:r w:rsidR="00565684" w:rsidRPr="004A5029">
        <w:rPr>
          <w:rFonts w:ascii="Times New Roman" w:hAnsi="Times New Roman" w:cs="Times New Roman"/>
          <w:b/>
          <w:bCs/>
          <w:color w:val="000000" w:themeColor="text1"/>
        </w:rPr>
        <w:t xml:space="preserve">e quelle di concessione </w:t>
      </w:r>
      <w:r w:rsidRPr="004A5029">
        <w:rPr>
          <w:rFonts w:ascii="Times New Roman" w:hAnsi="Times New Roman" w:cs="Times New Roman"/>
          <w:color w:val="000000" w:themeColor="text1"/>
        </w:rPr>
        <w:t>o possono riservarne l'esecuzione a operatori economici e a cooperative sociali e loro consorzi il cui scopo principale sia l'integrazione sociale e professionale delle persone con disabilità o svantaggiate, o possono riservarne l'esecuzione nel contesto di programmi di lavoro protetti quando almeno il 30 per cento dei lavoratori dei suddetti operatori economici sia composto da lavoratori con disabilità o da lavoratori svantaggiati.</w:t>
      </w:r>
    </w:p>
    <w:p w14:paraId="5096A3E0" w14:textId="74124BB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Le stazioni appaltanti </w:t>
      </w:r>
      <w:r w:rsidR="007F3E6B" w:rsidRPr="00BD54D8">
        <w:rPr>
          <w:rFonts w:ascii="Times New Roman" w:hAnsi="Times New Roman" w:cs="Times New Roman"/>
          <w:b/>
          <w:bCs/>
          <w:color w:val="000000" w:themeColor="text1"/>
        </w:rPr>
        <w:t>e gli enti concedenti</w:t>
      </w:r>
      <w:r w:rsidR="007F3E6B" w:rsidRPr="007F3E6B">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possono prevedere nei bandi di gara, negli avvisi e negli inviti, come requisiti necessari o come ulteriori requisiti premiali dell’offerta, meccanismi e strumenti idonei a realizzare le pari opportunità generazionali, di genere e di inclusione lavorativa per le persone con disabilità o svantaggiate.</w:t>
      </w:r>
    </w:p>
    <w:p w14:paraId="27D6209D" w14:textId="579CB03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3.</w:t>
      </w:r>
      <w:r w:rsidRPr="004A5029">
        <w:rPr>
          <w:rFonts w:ascii="Times New Roman" w:hAnsi="Times New Roman" w:cs="Times New Roman"/>
          <w:color w:val="000000" w:themeColor="text1"/>
        </w:rPr>
        <w:t xml:space="preserve"> Il bando di gara o l'avviso di pre-informazione danno espressamente atto che si tratta di appalto </w:t>
      </w:r>
      <w:r w:rsidR="009C7A1A" w:rsidRPr="00BD54D8">
        <w:rPr>
          <w:rFonts w:ascii="Times New Roman" w:hAnsi="Times New Roman" w:cs="Times New Roman"/>
          <w:b/>
          <w:bCs/>
          <w:strike/>
        </w:rPr>
        <w:t xml:space="preserve">riservato </w:t>
      </w:r>
      <w:r w:rsidR="00F605DD" w:rsidRPr="00BD54D8">
        <w:rPr>
          <w:rFonts w:ascii="Times New Roman" w:hAnsi="Times New Roman" w:cs="Times New Roman"/>
          <w:b/>
          <w:bCs/>
          <w:color w:val="000000" w:themeColor="text1"/>
        </w:rPr>
        <w:t xml:space="preserve">o concessione </w:t>
      </w:r>
      <w:r w:rsidRPr="00BD54D8">
        <w:rPr>
          <w:rFonts w:ascii="Times New Roman" w:hAnsi="Times New Roman" w:cs="Times New Roman"/>
          <w:b/>
          <w:bCs/>
          <w:color w:val="000000" w:themeColor="text1"/>
        </w:rPr>
        <w:t>riservat</w:t>
      </w:r>
      <w:r w:rsidR="002D5BB1" w:rsidRPr="00BD54D8">
        <w:rPr>
          <w:rFonts w:ascii="Times New Roman" w:hAnsi="Times New Roman" w:cs="Times New Roman"/>
          <w:b/>
          <w:bCs/>
          <w:color w:val="000000" w:themeColor="text1"/>
        </w:rPr>
        <w:t>i</w:t>
      </w:r>
      <w:r w:rsidRPr="00BD54D8">
        <w:rPr>
          <w:rFonts w:ascii="Times New Roman" w:hAnsi="Times New Roman" w:cs="Times New Roman"/>
          <w:b/>
          <w:bCs/>
          <w:color w:val="000000" w:themeColor="text1"/>
        </w:rPr>
        <w:t>.</w:t>
      </w:r>
    </w:p>
    <w:p w14:paraId="13AEB983" w14:textId="51C1CAC7" w:rsidR="00446F27" w:rsidRPr="004A5029" w:rsidDel="008D40D7" w:rsidRDefault="00446F27" w:rsidP="6E003A1F">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4. </w:t>
      </w:r>
      <w:r w:rsidR="7995DAED" w:rsidRPr="004A5029">
        <w:rPr>
          <w:rFonts w:ascii="Times New Roman" w:eastAsia="Times New Roman" w:hAnsi="Times New Roman" w:cs="Times New Roman"/>
          <w:color w:val="000000" w:themeColor="text1"/>
        </w:rPr>
        <w:t>In sede di prima applicazione del codice, l</w:t>
      </w:r>
      <w:r w:rsidRPr="004A5029">
        <w:rPr>
          <w:rFonts w:ascii="Times New Roman" w:hAnsi="Times New Roman" w:cs="Times New Roman"/>
          <w:color w:val="000000" w:themeColor="text1"/>
        </w:rPr>
        <w:t>’allegato II.3 prevede meccanismi e strumenti premiali per realizzare le pari opportunità generazionali e di genere e per promuovere l’inclusione lavorativa delle persone disabili.</w:t>
      </w:r>
      <w:r w:rsidR="00C3690D" w:rsidRPr="004A5029">
        <w:rPr>
          <w:rFonts w:ascii="Times New Roman" w:hAnsi="Times New Roman" w:cs="Times New Roman"/>
          <w:color w:val="000000" w:themeColor="text1"/>
        </w:rPr>
        <w:t xml:space="preserve"> </w:t>
      </w:r>
      <w:r w:rsidR="00C3690D" w:rsidRPr="004A5029">
        <w:rPr>
          <w:rFonts w:ascii="Times New Roman" w:hAnsi="Times New Roman" w:cs="Times New Roman"/>
          <w:bCs/>
          <w:color w:val="000000" w:themeColor="text1"/>
        </w:rPr>
        <w:t>Si considerano soggetti con disabilità quelli di cui all'articolo 1 della legge 12 marzo 1999, n. 68, le persone svantaggiate, quelle previste dall'articolo 4 della legge 8 novembre 1991, n. 381, gli ex degenti di ospedali psichiatrici, anche giudiziari, i soggetti in trattamento psichiatrico, i tossicodipendenti, gli alcolisti, i minori in età lavorativa in situazioni di difficoltà familiare, le persone detenute o internate negli istituti penitenziari, i condannati e gli internati ammessi alle misure alternative alla detenzione e al lavoro all'esterno ai sensi dell'articolo 21 della legge 26 luglio 1975, n. 354.</w:t>
      </w:r>
    </w:p>
    <w:p w14:paraId="2F8D616C" w14:textId="30F95D9E" w:rsidR="00446F27" w:rsidRPr="004A5029" w:rsidRDefault="00446F27" w:rsidP="6E003A1F">
      <w:pPr>
        <w:jc w:val="both"/>
        <w:rPr>
          <w:rFonts w:ascii="Times New Roman" w:eastAsia="Calibri" w:hAnsi="Times New Roman" w:cs="Times New Roman"/>
          <w:color w:val="000000" w:themeColor="text1"/>
        </w:rPr>
      </w:pPr>
      <w:r w:rsidRPr="004A5029">
        <w:rPr>
          <w:rFonts w:ascii="Times New Roman" w:hAnsi="Times New Roman" w:cs="Times New Roman"/>
          <w:color w:val="000000" w:themeColor="text1"/>
        </w:rPr>
        <w:t>5.</w:t>
      </w:r>
      <w:r w:rsidRPr="004A5029">
        <w:rPr>
          <w:rFonts w:ascii="Times New Roman" w:eastAsia="Calibri" w:hAnsi="Times New Roman" w:cs="Times New Roman"/>
          <w:color w:val="000000" w:themeColor="text1"/>
        </w:rPr>
        <w:t xml:space="preserve"> </w:t>
      </w:r>
      <w:r w:rsidR="23769376" w:rsidRPr="004A5029">
        <w:rPr>
          <w:rFonts w:ascii="Times New Roman" w:eastAsia="Calibri" w:hAnsi="Times New Roman" w:cs="Times New Roman"/>
          <w:color w:val="000000" w:themeColor="text1"/>
        </w:rPr>
        <w:t>L</w:t>
      </w:r>
      <w:r w:rsidRPr="004A5029">
        <w:rPr>
          <w:rFonts w:ascii="Times New Roman" w:eastAsia="Calibri" w:hAnsi="Times New Roman" w:cs="Times New Roman"/>
          <w:color w:val="000000" w:themeColor="text1"/>
        </w:rPr>
        <w:t xml:space="preserve">’allegato II.3 è abrogato a decorrere dalla data di entrata in vigore di un corrispondente regolamento </w:t>
      </w:r>
      <w:r w:rsidR="00364325" w:rsidRPr="004A5029">
        <w:rPr>
          <w:rFonts w:ascii="Times New Roman" w:eastAsia="Calibri" w:hAnsi="Times New Roman" w:cs="Times New Roman"/>
          <w:color w:val="000000" w:themeColor="text1"/>
        </w:rPr>
        <w:t>adottato</w:t>
      </w:r>
      <w:r w:rsidRPr="004A5029">
        <w:rPr>
          <w:rFonts w:ascii="Times New Roman" w:eastAsia="Calibri" w:hAnsi="Times New Roman" w:cs="Times New Roman"/>
          <w:color w:val="000000" w:themeColor="text1"/>
        </w:rPr>
        <w:t xml:space="preserve"> ai sensi dell’articolo 17, comma 3, della legge 23 agosto 1988, n. 400, con decreto del Presid</w:t>
      </w:r>
      <w:r w:rsidR="00E20257" w:rsidRPr="004A5029">
        <w:rPr>
          <w:rFonts w:ascii="Times New Roman" w:eastAsia="Calibri" w:hAnsi="Times New Roman" w:cs="Times New Roman"/>
          <w:color w:val="000000" w:themeColor="text1"/>
        </w:rPr>
        <w:t xml:space="preserve">ente del Consiglio dei </w:t>
      </w:r>
      <w:r w:rsidR="004520DA"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w:t>
      </w:r>
      <w:r w:rsidR="004520DA" w:rsidRPr="004A5029">
        <w:rPr>
          <w:rFonts w:ascii="Times New Roman" w:hAnsi="Times New Roman" w:cs="Times New Roman"/>
          <w:bCs/>
          <w:color w:val="000000" w:themeColor="text1"/>
        </w:rPr>
        <w:t>inistri</w:t>
      </w:r>
      <w:r w:rsidR="00E20257" w:rsidRPr="004A5029">
        <w:rPr>
          <w:rFonts w:ascii="Times New Roman" w:eastAsia="Calibri" w:hAnsi="Times New Roman" w:cs="Times New Roman"/>
          <w:color w:val="000000" w:themeColor="text1"/>
        </w:rPr>
        <w:t xml:space="preserve">, </w:t>
      </w:r>
      <w:bookmarkStart w:id="29" w:name="_Hlk122591574"/>
      <w:r w:rsidR="000E7887" w:rsidRPr="004A5029">
        <w:rPr>
          <w:rFonts w:ascii="Times New Roman" w:eastAsia="Calibri" w:hAnsi="Times New Roman" w:cs="Times New Roman"/>
          <w:color w:val="000000" w:themeColor="text1"/>
        </w:rPr>
        <w:t xml:space="preserve">su proposta dell’Autorità delegata </w:t>
      </w:r>
      <w:r w:rsidRPr="004A5029">
        <w:rPr>
          <w:rFonts w:ascii="Times New Roman" w:eastAsia="Calibri" w:hAnsi="Times New Roman" w:cs="Times New Roman"/>
          <w:color w:val="000000" w:themeColor="text1"/>
        </w:rPr>
        <w:t>per le pari opportunità</w:t>
      </w:r>
      <w:r w:rsidR="007B6ACE" w:rsidRPr="004A5029">
        <w:rPr>
          <w:rFonts w:ascii="Times New Roman" w:eastAsia="Calibri" w:hAnsi="Times New Roman" w:cs="Times New Roman"/>
          <w:color w:val="000000" w:themeColor="text1"/>
        </w:rPr>
        <w:t xml:space="preserve"> e per le disabilità</w:t>
      </w:r>
      <w:r w:rsidRPr="004A5029">
        <w:rPr>
          <w:rFonts w:ascii="Times New Roman" w:eastAsia="Calibri" w:hAnsi="Times New Roman" w:cs="Times New Roman"/>
          <w:color w:val="000000" w:themeColor="text1"/>
        </w:rPr>
        <w:t>, di concerto con il Ministro delle infrastrutture e dei trasporti, il Ministro del lavoro e delle politiche sociali</w:t>
      </w:r>
      <w:bookmarkEnd w:id="29"/>
      <w:r w:rsidRPr="004A5029">
        <w:rPr>
          <w:rFonts w:ascii="Times New Roman" w:eastAsia="Calibri" w:hAnsi="Times New Roman" w:cs="Times New Roman"/>
          <w:color w:val="000000" w:themeColor="text1"/>
        </w:rPr>
        <w:t>, che lo sostituisce integralmente anche in qualità di allegato al codice.</w:t>
      </w:r>
    </w:p>
    <w:bookmarkEnd w:id="28"/>
    <w:p w14:paraId="687C6DE0" w14:textId="77777777" w:rsidR="00446F27" w:rsidRPr="004A5029" w:rsidRDefault="00446F27" w:rsidP="00446F27">
      <w:pPr>
        <w:rPr>
          <w:rFonts w:ascii="Times New Roman" w:hAnsi="Times New Roman" w:cs="Times New Roman"/>
          <w:color w:val="000000" w:themeColor="text1"/>
        </w:rPr>
      </w:pPr>
    </w:p>
    <w:p w14:paraId="5B2F9378" w14:textId="77777777" w:rsidR="00446F27" w:rsidRPr="004A5029" w:rsidRDefault="00446F27" w:rsidP="00446F27">
      <w:pPr>
        <w:rPr>
          <w:rFonts w:ascii="Times New Roman" w:hAnsi="Times New Roman" w:cs="Times New Roman"/>
          <w:color w:val="000000" w:themeColor="text1"/>
        </w:rPr>
      </w:pPr>
    </w:p>
    <w:p w14:paraId="58E6DD4E"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br w:type="page"/>
      </w:r>
    </w:p>
    <w:p w14:paraId="08A627CE" w14:textId="77777777" w:rsidR="00446F27" w:rsidRPr="004A5029" w:rsidRDefault="00446F27" w:rsidP="00446F27">
      <w:pPr>
        <w:ind w:left="1134" w:hanging="1134"/>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III </w:t>
      </w:r>
    </w:p>
    <w:p w14:paraId="0F128856" w14:textId="77777777" w:rsidR="00446F27" w:rsidRPr="004A5029" w:rsidRDefault="00446F27" w:rsidP="00446F27">
      <w:pPr>
        <w:ind w:left="1134" w:hanging="1134"/>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SOGGETTI</w:t>
      </w:r>
    </w:p>
    <w:p w14:paraId="64523CED" w14:textId="77777777" w:rsidR="00B922F7" w:rsidRPr="004A5029" w:rsidRDefault="00B922F7" w:rsidP="00446F27">
      <w:pPr>
        <w:ind w:left="1134" w:hanging="1134"/>
        <w:jc w:val="center"/>
        <w:rPr>
          <w:rFonts w:ascii="Times New Roman" w:hAnsi="Times New Roman" w:cs="Times New Roman"/>
          <w:b/>
          <w:color w:val="000000" w:themeColor="text1"/>
        </w:rPr>
      </w:pPr>
    </w:p>
    <w:p w14:paraId="6776F840" w14:textId="5A1EA2A3" w:rsidR="00B922F7" w:rsidRPr="004A5029" w:rsidRDefault="00446F27" w:rsidP="00446F27">
      <w:pPr>
        <w:ind w:left="1134" w:hanging="1134"/>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 </w:t>
      </w:r>
    </w:p>
    <w:p w14:paraId="04575D55" w14:textId="52D24391" w:rsidR="00446F27" w:rsidRPr="004A5029" w:rsidRDefault="00446F27" w:rsidP="00446F27">
      <w:pPr>
        <w:ind w:left="1134" w:hanging="1134"/>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Le stazioni appaltanti</w:t>
      </w:r>
    </w:p>
    <w:p w14:paraId="7D3BEE8F" w14:textId="77777777" w:rsidR="00446F27" w:rsidRPr="004A5029" w:rsidRDefault="00446F27" w:rsidP="00446F27">
      <w:pPr>
        <w:jc w:val="both"/>
        <w:rPr>
          <w:rFonts w:ascii="Times New Roman" w:hAnsi="Times New Roman" w:cs="Times New Roman"/>
          <w:b/>
          <w:color w:val="000000" w:themeColor="text1"/>
        </w:rPr>
      </w:pPr>
    </w:p>
    <w:p w14:paraId="6140D61E"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62.</w:t>
      </w:r>
    </w:p>
    <w:p w14:paraId="01EC5EC6" w14:textId="77777777" w:rsidR="00446F27" w:rsidRPr="004A5029" w:rsidRDefault="00446F27" w:rsidP="00446F27">
      <w:pPr>
        <w:jc w:val="both"/>
        <w:rPr>
          <w:rFonts w:ascii="Times New Roman" w:hAnsi="Times New Roman" w:cs="Times New Roman"/>
          <w:bCs/>
          <w:i/>
          <w:color w:val="000000" w:themeColor="text1"/>
          <w:shd w:val="clear" w:color="auto" w:fill="FFFFFF"/>
        </w:rPr>
      </w:pPr>
      <w:r w:rsidRPr="004A5029">
        <w:rPr>
          <w:rFonts w:ascii="Times New Roman" w:hAnsi="Times New Roman" w:cs="Times New Roman"/>
          <w:i/>
          <w:color w:val="000000" w:themeColor="text1"/>
        </w:rPr>
        <w:t>Aggregazioni e centralizzazione delle committenze.</w:t>
      </w:r>
      <w:r w:rsidRPr="004A5029">
        <w:rPr>
          <w:rStyle w:val="provvnumart"/>
          <w:rFonts w:ascii="Times New Roman" w:hAnsi="Times New Roman" w:cs="Times New Roman"/>
          <w:bCs/>
          <w:i/>
          <w:color w:val="000000" w:themeColor="text1"/>
          <w:shd w:val="clear" w:color="auto" w:fill="FFFFFF"/>
        </w:rPr>
        <w:t xml:space="preserve"> </w:t>
      </w:r>
    </w:p>
    <w:p w14:paraId="4D6F4F1C" w14:textId="3877FC3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1. Tutte</w:t>
      </w:r>
      <w:r w:rsidRPr="004A5029">
        <w:rPr>
          <w:rFonts w:ascii="Times New Roman" w:hAnsi="Times New Roman" w:cs="Times New Roman"/>
          <w:color w:val="000000" w:themeColor="text1"/>
        </w:rPr>
        <w:t xml:space="preserve"> le stazioni appaltanti, fermi restando gli obblighi di utilizzo di strumenti di acquisto e di negoziazione previsti dalle vigenti disposizioni in materia di contenimento della spesa, possono procedere direttamente e autonomamente all'acquisizione </w:t>
      </w:r>
      <w:r w:rsidRPr="004A5029">
        <w:rPr>
          <w:rFonts w:ascii="Times New Roman" w:eastAsia="Garamond" w:hAnsi="Times New Roman" w:cs="Times New Roman"/>
          <w:color w:val="000000" w:themeColor="text1"/>
        </w:rPr>
        <w:t>di forniture e servizi di importo non superiore alle soglie previste per gli affidamenti diretti, e all’affidamento di lavori d’importo pari o inferiore</w:t>
      </w:r>
      <w:r w:rsidRPr="004A5029">
        <w:rPr>
          <w:rFonts w:ascii="Times New Roman" w:hAnsi="Times New Roman" w:cs="Times New Roman"/>
          <w:color w:val="000000" w:themeColor="text1"/>
        </w:rPr>
        <w:t xml:space="preserve"> a </w:t>
      </w:r>
      <w:r w:rsidR="00546338" w:rsidRPr="004A5029">
        <w:rPr>
          <w:rFonts w:ascii="Times New Roman" w:hAnsi="Times New Roman" w:cs="Times New Roman"/>
          <w:color w:val="000000" w:themeColor="text1"/>
        </w:rPr>
        <w:t>500.000</w:t>
      </w:r>
      <w:r w:rsidRPr="004A5029">
        <w:rPr>
          <w:rFonts w:ascii="Times New Roman" w:hAnsi="Times New Roman" w:cs="Times New Roman"/>
          <w:color w:val="000000" w:themeColor="text1"/>
        </w:rPr>
        <w:t xml:space="preserve"> euro, nonché attraverso l'effettuazione di ordini a valere su strumenti di acquisto messi a disposizione dalle centrali di committenza qualificate e dai soggetti aggregatori.</w:t>
      </w:r>
    </w:p>
    <w:p w14:paraId="07205FDD" w14:textId="4E9ED576" w:rsidR="00446F27" w:rsidRPr="004A5029" w:rsidDel="001C1259" w:rsidRDefault="00446F27" w:rsidP="00E9724B">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effettuare le procedure di importo superiore alle soglie indicate dal comma 1, le stazioni appaltanti devono essere </w:t>
      </w:r>
      <w:r w:rsidRPr="004A5029">
        <w:rPr>
          <w:rFonts w:ascii="Times New Roman" w:hAnsi="Times New Roman" w:cs="Times New Roman"/>
          <w:bCs/>
          <w:color w:val="000000" w:themeColor="text1"/>
        </w:rPr>
        <w:t xml:space="preserve">qualificate ai sensi dell’articolo 63 e dell’allegato II.4. </w:t>
      </w:r>
      <w:r w:rsidR="005345C7" w:rsidRPr="004A5029">
        <w:rPr>
          <w:rFonts w:ascii="Times New Roman" w:hAnsi="Times New Roman" w:cs="Times New Roman"/>
          <w:b/>
          <w:color w:val="000000" w:themeColor="text1"/>
        </w:rPr>
        <w:t xml:space="preserve">Per le procedure di cui al primo periodo, </w:t>
      </w:r>
      <w:r w:rsidRPr="004A5029">
        <w:rPr>
          <w:rFonts w:ascii="Times New Roman" w:hAnsi="Times New Roman" w:cs="Times New Roman"/>
          <w:b/>
          <w:strike/>
          <w:color w:val="000000" w:themeColor="text1"/>
        </w:rPr>
        <w:t>L</w:t>
      </w:r>
      <w:r w:rsidR="005345C7" w:rsidRPr="004A5029">
        <w:rPr>
          <w:rFonts w:ascii="Times New Roman" w:hAnsi="Times New Roman" w:cs="Times New Roman"/>
          <w:b/>
          <w:color w:val="000000" w:themeColor="text1"/>
        </w:rPr>
        <w:t>l</w:t>
      </w:r>
      <w:r w:rsidRPr="004A5029">
        <w:rPr>
          <w:rFonts w:ascii="Times New Roman" w:hAnsi="Times New Roman" w:cs="Times New Roman"/>
          <w:bCs/>
          <w:color w:val="000000" w:themeColor="text1"/>
        </w:rPr>
        <w:t>’ANAC non rilascia il codice identificativo</w:t>
      </w:r>
      <w:r w:rsidRPr="004A5029">
        <w:rPr>
          <w:rFonts w:ascii="Times New Roman" w:hAnsi="Times New Roman" w:cs="Times New Roman"/>
          <w:b/>
          <w:color w:val="000000" w:themeColor="text1"/>
        </w:rPr>
        <w:t xml:space="preserve"> </w:t>
      </w:r>
      <w:r w:rsidR="00E9724B" w:rsidRPr="004A5029">
        <w:rPr>
          <w:rFonts w:ascii="Times New Roman" w:hAnsi="Times New Roman" w:cs="Times New Roman"/>
          <w:b/>
          <w:color w:val="000000" w:themeColor="text1"/>
        </w:rPr>
        <w:t xml:space="preserve">di </w:t>
      </w:r>
      <w:r w:rsidRPr="004A5029">
        <w:rPr>
          <w:rFonts w:ascii="Times New Roman" w:hAnsi="Times New Roman" w:cs="Times New Roman"/>
          <w:bCs/>
          <w:color w:val="000000" w:themeColor="text1"/>
        </w:rPr>
        <w:t>gara (CIG) alle stazioni appaltanti non qualificate.</w:t>
      </w:r>
    </w:p>
    <w:p w14:paraId="6A2EBCE5" w14:textId="5AB21C3D"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L’allegato di cui al comma 2 indica i requisiti necessari per ottenere la qualificazione</w:t>
      </w:r>
      <w:r w:rsidRPr="004A5029">
        <w:rPr>
          <w:rFonts w:ascii="Times New Roman" w:hAnsi="Times New Roman" w:cs="Times New Roman"/>
          <w:b/>
          <w:strike/>
          <w:color w:val="000000" w:themeColor="text1"/>
        </w:rPr>
        <w:t>, ne assicura la gradualità nella fase transitoria</w:t>
      </w:r>
      <w:r w:rsidRPr="004A5029">
        <w:rPr>
          <w:rFonts w:ascii="Times New Roman" w:hAnsi="Times New Roman" w:cs="Times New Roman"/>
          <w:b/>
          <w:color w:val="000000" w:themeColor="text1"/>
        </w:rPr>
        <w:t xml:space="preserve"> e</w:t>
      </w:r>
      <w:r w:rsidRPr="004A5029">
        <w:rPr>
          <w:rFonts w:ascii="Times New Roman" w:hAnsi="Times New Roman" w:cs="Times New Roman"/>
          <w:bCs/>
          <w:color w:val="000000" w:themeColor="text1"/>
        </w:rPr>
        <w:t xml:space="preserve"> disciplina i requisiti premianti</w:t>
      </w:r>
      <w:r w:rsidRPr="004A5029">
        <w:rPr>
          <w:rFonts w:ascii="Times New Roman" w:eastAsia="Calibri" w:hAnsi="Times New Roman" w:cs="Times New Roman"/>
          <w:bCs/>
          <w:color w:val="000000" w:themeColor="text1"/>
        </w:rPr>
        <w:t xml:space="preserve">. In sede di prima applicazione del codice, l’allegato </w:t>
      </w:r>
      <w:r w:rsidR="002C470F" w:rsidRPr="004A5029">
        <w:rPr>
          <w:rFonts w:ascii="Times New Roman" w:hAnsi="Times New Roman" w:cs="Times New Roman"/>
          <w:b/>
          <w:color w:val="000000" w:themeColor="text1"/>
        </w:rPr>
        <w:t xml:space="preserve">II.4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w:t>
      </w:r>
      <w:r w:rsidRPr="004A5029">
        <w:rPr>
          <w:rFonts w:ascii="Times New Roman" w:hAnsi="Times New Roman" w:cs="Times New Roman"/>
          <w:bCs/>
          <w:color w:val="000000" w:themeColor="text1"/>
        </w:rPr>
        <w:t>del Presidente del Consiglio dei ministri,</w:t>
      </w:r>
      <w:r w:rsidR="005345C7" w:rsidRPr="004A5029">
        <w:rPr>
          <w:color w:val="000000" w:themeColor="text1"/>
        </w:rPr>
        <w:t xml:space="preserve"> </w:t>
      </w:r>
      <w:r w:rsidR="005345C7" w:rsidRPr="004A5029">
        <w:rPr>
          <w:rFonts w:ascii="Times New Roman" w:hAnsi="Times New Roman" w:cs="Times New Roman"/>
          <w:b/>
          <w:color w:val="000000" w:themeColor="text1"/>
        </w:rPr>
        <w:t xml:space="preserve">su proposta del </w:t>
      </w:r>
      <w:r w:rsidR="005345C7" w:rsidRPr="004A5029">
        <w:rPr>
          <w:rFonts w:ascii="Times New Roman" w:hAnsi="Times New Roman" w:cs="Times New Roman"/>
          <w:b/>
          <w:strike/>
          <w:color w:val="000000" w:themeColor="text1"/>
        </w:rPr>
        <w:t>Ministero</w:t>
      </w:r>
      <w:r w:rsidR="005345C7" w:rsidRPr="004A5029">
        <w:rPr>
          <w:rFonts w:ascii="Times New Roman" w:hAnsi="Times New Roman" w:cs="Times New Roman"/>
          <w:b/>
          <w:color w:val="000000" w:themeColor="text1"/>
        </w:rPr>
        <w:t xml:space="preserve"> </w:t>
      </w:r>
      <w:r w:rsidR="00B10626" w:rsidRPr="004A5029">
        <w:rPr>
          <w:rFonts w:ascii="Times New Roman" w:hAnsi="Times New Roman" w:cs="Times New Roman"/>
          <w:b/>
          <w:color w:val="000000" w:themeColor="text1"/>
        </w:rPr>
        <w:t xml:space="preserve">Ministro </w:t>
      </w:r>
      <w:r w:rsidR="005345C7" w:rsidRPr="004A5029">
        <w:rPr>
          <w:rFonts w:ascii="Times New Roman" w:hAnsi="Times New Roman" w:cs="Times New Roman"/>
          <w:b/>
          <w:color w:val="000000" w:themeColor="text1"/>
        </w:rPr>
        <w:t>delle infrastrutture e dei trasporti</w:t>
      </w:r>
      <w:r w:rsidRPr="004A5029">
        <w:rPr>
          <w:rFonts w:ascii="Times New Roman" w:hAnsi="Times New Roman" w:cs="Times New Roman"/>
          <w:bCs/>
          <w:color w:val="000000" w:themeColor="text1"/>
        </w:rPr>
        <w:t xml:space="preserve"> sentita l’ANAC, previa intesa in sede di</w:t>
      </w:r>
      <w:r w:rsidR="005345C7" w:rsidRPr="004A5029">
        <w:rPr>
          <w:rFonts w:ascii="Times New Roman" w:hAnsi="Times New Roman" w:cs="Times New Roman"/>
          <w:bCs/>
          <w:color w:val="000000" w:themeColor="text1"/>
        </w:rPr>
        <w:t xml:space="preserve"> e la</w:t>
      </w:r>
      <w:r w:rsidRPr="004A5029">
        <w:rPr>
          <w:rFonts w:ascii="Times New Roman" w:hAnsi="Times New Roman" w:cs="Times New Roman"/>
          <w:bCs/>
          <w:color w:val="000000" w:themeColor="text1"/>
        </w:rPr>
        <w:t xml:space="preserve"> Conferenza unificata</w:t>
      </w:r>
      <w:r w:rsidRPr="004A5029">
        <w:rPr>
          <w:rFonts w:ascii="Times New Roman" w:eastAsia="Calibri" w:hAnsi="Times New Roman" w:cs="Times New Roman"/>
          <w:bCs/>
          <w:color w:val="000000" w:themeColor="text1"/>
        </w:rPr>
        <w:t>, che lo sostituisce integralmente anche in qualità di allegato al codice.</w:t>
      </w:r>
    </w:p>
    <w:p w14:paraId="41A0227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L’allegato di cui al comma 2 può essere integrato con la disciplina di ulteriori misure organizzative per la efficace attuazione del presente articolo, dell’articolo 63 e del relativo regime sanzionatorio, nonché per il coordinamento, in capo all’ANAC, dei soggetti aggregatori</w:t>
      </w:r>
      <w:r w:rsidRPr="004A5029">
        <w:rPr>
          <w:rFonts w:ascii="Times New Roman" w:hAnsi="Times New Roman" w:cs="Times New Roman"/>
          <w:bCs/>
          <w:i/>
          <w:iCs/>
          <w:color w:val="000000" w:themeColor="text1"/>
        </w:rPr>
        <w:t>.</w:t>
      </w:r>
    </w:p>
    <w:p w14:paraId="355A335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 stazioni appaltanti qualificate, fatto salvo quanto previsto al comma 1 del presente articolo e al comma 8 dell’articolo 63, possono:</w:t>
      </w:r>
    </w:p>
    <w:p w14:paraId="7FABB8F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effettuare,</w:t>
      </w:r>
      <w:r w:rsidRPr="004A5029">
        <w:rPr>
          <w:rFonts w:ascii="Times New Roman" w:hAnsi="Times New Roman" w:cs="Times New Roman"/>
          <w:bCs/>
          <w:i/>
          <w:iCs/>
          <w:color w:val="000000" w:themeColor="text1"/>
        </w:rPr>
        <w:t xml:space="preserve"> </w:t>
      </w:r>
      <w:r w:rsidRPr="004A5029">
        <w:rPr>
          <w:rFonts w:ascii="Times New Roman" w:hAnsi="Times New Roman" w:cs="Times New Roman"/>
          <w:color w:val="000000" w:themeColor="text1"/>
        </w:rPr>
        <w:t>in funzione dei livelli di qualificazione posseduti, gare di importo superiore alle soglie indicate al comma 1 del presente articolo;</w:t>
      </w:r>
    </w:p>
    <w:p w14:paraId="12A1FF4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acquisire lavori, servizi e forniture avvalendosi di una centrale di committenza qualificata;</w:t>
      </w:r>
    </w:p>
    <w:p w14:paraId="5069776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svolgere attività di committenza ausiliaria ai sensi del comma 11; </w:t>
      </w:r>
    </w:p>
    <w:p w14:paraId="6B7D159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procedere mediante appalto congiunto ai sensi del comma 14;</w:t>
      </w:r>
    </w:p>
    <w:p w14:paraId="4B29148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procedere mediante utilizzo autonomo degli strumenti telematici di negoziazione messi a disposizione secondo la normativa vigente dalle centrali di committenza qualificate;</w:t>
      </w:r>
    </w:p>
    <w:p w14:paraId="4C9154FF" w14:textId="2E1430D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procedere all’effettuazione di ordini su strumenti di acquisto messi a disposizione dalle centrali di committenza anche per importi superiori ai livelli di qualificazione posseduti, con preliminare preferenza per il territorio regionale di riferimento. Se il bene o il servizio non è disponibile o idoneo al soddisfacimento dello specifico fabbisogno della stazione appaltante, oppure per ragioni di convenienza economica, la stazione appaltante può agire, previa motivazione, senza limiti territoriali</w:t>
      </w:r>
      <w:r w:rsidRPr="004A5029">
        <w:rPr>
          <w:rFonts w:ascii="Times New Roman" w:hAnsi="Times New Roman" w:cs="Times New Roman"/>
          <w:strike/>
          <w:color w:val="000000" w:themeColor="text1"/>
        </w:rPr>
        <w:t>.</w:t>
      </w:r>
      <w:r w:rsidR="00735397" w:rsidRPr="004A5029">
        <w:rPr>
          <w:rFonts w:ascii="Times New Roman" w:hAnsi="Times New Roman" w:cs="Times New Roman"/>
          <w:color w:val="000000" w:themeColor="text1"/>
        </w:rPr>
        <w:t>;</w:t>
      </w:r>
    </w:p>
    <w:p w14:paraId="57A37A7B" w14:textId="2981A7C0" w:rsidR="00735397" w:rsidRPr="004A5029" w:rsidRDefault="0073539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g) eseguono i contratti per conto delle stazioni appaltanti non qualificate nelle ipotesi di cui al comma 6, lettera g).</w:t>
      </w:r>
    </w:p>
    <w:p w14:paraId="22481F77" w14:textId="5189ED9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Le stazioni appaltanti non qualificate ai sensi del comma 2 dell’articolo 63, fatto salvo quanto previsto al comma 1</w:t>
      </w:r>
      <w:r w:rsidR="00546338" w:rsidRPr="004A5029">
        <w:rPr>
          <w:rFonts w:ascii="Times New Roman" w:hAnsi="Times New Roman" w:cs="Times New Roman"/>
          <w:strike/>
          <w:color w:val="000000" w:themeColor="text1"/>
        </w:rPr>
        <w:t>,</w:t>
      </w:r>
      <w:r w:rsidR="00546338" w:rsidRPr="004A5029">
        <w:rPr>
          <w:rFonts w:ascii="Times New Roman" w:hAnsi="Times New Roman" w:cs="Times New Roman"/>
          <w:color w:val="000000" w:themeColor="text1"/>
        </w:rPr>
        <w:t xml:space="preserve"> del presente articolo</w:t>
      </w:r>
      <w:r w:rsidRPr="004A5029">
        <w:rPr>
          <w:rFonts w:ascii="Times New Roman" w:hAnsi="Times New Roman" w:cs="Times New Roman"/>
          <w:color w:val="000000" w:themeColor="text1"/>
        </w:rPr>
        <w:t xml:space="preserve">: </w:t>
      </w:r>
    </w:p>
    <w:p w14:paraId="00E29C7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procedono all’acquisizione di forniture, servizi e lavori ricorrendo a una centrale di committenza qualificata;</w:t>
      </w:r>
    </w:p>
    <w:p w14:paraId="2C8C738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ricorrono per attività di committenza ausiliaria di cui all'articolo 3, comma 1, lettera z), dell’allegato I.1 a centrali di committenza qualificate e a stazioni appaltanti qualificate;</w:t>
      </w:r>
    </w:p>
    <w:p w14:paraId="58DC7DF1" w14:textId="5D00946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procedono ad affidamenti per servizi e forniture di importo inferiore alla soglia europea di cui ai commi 1 e 2 dell’articolo 14 nonché ad affidamenti di lavori di manutenzione ordinaria d’importo inferiore a </w:t>
      </w:r>
      <w:r w:rsidR="00C353A3" w:rsidRPr="004A5029">
        <w:rPr>
          <w:rFonts w:ascii="Times New Roman" w:hAnsi="Times New Roman" w:cs="Times New Roman"/>
          <w:color w:val="000000" w:themeColor="text1"/>
        </w:rPr>
        <w:t>1</w:t>
      </w:r>
      <w:r w:rsidRPr="004A5029">
        <w:rPr>
          <w:rFonts w:ascii="Times New Roman" w:hAnsi="Times New Roman" w:cs="Times New Roman"/>
          <w:color w:val="000000" w:themeColor="text1"/>
        </w:rPr>
        <w:t xml:space="preserve"> milione di euro mediante utilizzo autonomo degli strumenti telematici di negoziazione messi a disposizione dalle centrali di committenza qualificate secondo la normativa vigente;</w:t>
      </w:r>
    </w:p>
    <w:p w14:paraId="15805DD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effettuano ordini su strumenti di acquisto messi a disposizione dalle centrali di committenza qualificate e dai soggetti aggregatori, con preliminare preferenza per il territorio regionale di riferimento. Se il bene o il servizio non è disponibile o idoneo al soddisfacimento dello specifico fabbisogno della stazione appaltante, oppure per ragioni di convenienza economica, la stazione appaltante può agire, previa motivazione, senza limiti territoriali;</w:t>
      </w:r>
    </w:p>
    <w:p w14:paraId="4C9E55A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eseguono i contratti per i quali sono qualificate per l’esecuzione;</w:t>
      </w:r>
    </w:p>
    <w:p w14:paraId="3903CE3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eseguono i contratti affidati ai sensi delle lettere b) e c);</w:t>
      </w:r>
    </w:p>
    <w:p w14:paraId="52202FB5" w14:textId="22A52122" w:rsidR="00446F27" w:rsidRPr="004A5029" w:rsidRDefault="00446F27" w:rsidP="00446F27">
      <w:pPr>
        <w:jc w:val="both"/>
        <w:rPr>
          <w:rFonts w:ascii="Times New Roman" w:hAnsi="Times New Roman" w:cs="Times New Roman"/>
          <w:color w:val="000000" w:themeColor="text1"/>
          <w:highlight w:val="cyan"/>
        </w:rPr>
      </w:pPr>
      <w:r w:rsidRPr="004A5029">
        <w:rPr>
          <w:rFonts w:ascii="Times New Roman" w:hAnsi="Times New Roman" w:cs="Times New Roman"/>
          <w:color w:val="000000" w:themeColor="text1"/>
        </w:rPr>
        <w:t xml:space="preserve">g) qualora non siano qualificate per l’esecuzione, ricorrono </w:t>
      </w:r>
      <w:r w:rsidRPr="004A5029">
        <w:rPr>
          <w:rFonts w:ascii="Times New Roman" w:hAnsi="Times New Roman" w:cs="Times New Roman"/>
          <w:b/>
          <w:bCs/>
          <w:color w:val="000000" w:themeColor="text1"/>
        </w:rPr>
        <w:t>a una</w:t>
      </w:r>
      <w:r w:rsidR="00F92A27" w:rsidRPr="004A5029">
        <w:rPr>
          <w:rFonts w:ascii="Times New Roman" w:hAnsi="Times New Roman" w:cs="Times New Roman"/>
          <w:b/>
          <w:bCs/>
          <w:color w:val="000000" w:themeColor="text1"/>
        </w:rPr>
        <w:t xml:space="preserve"> stazione appaltante qualificata, a una</w:t>
      </w:r>
      <w:r w:rsidRPr="004A5029">
        <w:rPr>
          <w:rFonts w:ascii="Times New Roman" w:hAnsi="Times New Roman" w:cs="Times New Roman"/>
          <w:color w:val="000000" w:themeColor="text1"/>
        </w:rPr>
        <w:t xml:space="preserve"> centrale di committenza qualificata o a soggetti aggregatori; in tal caso</w:t>
      </w:r>
      <w:r w:rsidRPr="004A5029" w:rsidDel="00BA58FF">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possono provvedere alla nomina di un supporto al RUP della centrale di committenza affidante.</w:t>
      </w:r>
    </w:p>
    <w:p w14:paraId="062040C1" w14:textId="6A9E390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Le centrali di committenza sono indicate </w:t>
      </w:r>
      <w:r w:rsidR="00590CC4" w:rsidRPr="004A5029">
        <w:rPr>
          <w:rFonts w:ascii="Times New Roman" w:hAnsi="Times New Roman" w:cs="Times New Roman"/>
          <w:b/>
          <w:bCs/>
          <w:color w:val="000000" w:themeColor="text1"/>
        </w:rPr>
        <w:t>nella specifica sezione</w:t>
      </w:r>
      <w:r w:rsidR="00590CC4" w:rsidRPr="004A5029">
        <w:rPr>
          <w:rFonts w:ascii="Times New Roman" w:hAnsi="Times New Roman" w:cs="Times New Roman"/>
          <w:color w:val="000000" w:themeColor="text1"/>
        </w:rPr>
        <w:t xml:space="preserve"> </w:t>
      </w:r>
      <w:r w:rsidRPr="004A5029">
        <w:rPr>
          <w:rFonts w:ascii="Times New Roman" w:hAnsi="Times New Roman" w:cs="Times New Roman"/>
          <w:b/>
          <w:bCs/>
          <w:strike/>
          <w:color w:val="000000" w:themeColor="text1"/>
        </w:rPr>
        <w:t xml:space="preserve">nell’elenco </w:t>
      </w:r>
      <w:r w:rsidRPr="004A5029">
        <w:rPr>
          <w:rFonts w:ascii="Times New Roman" w:hAnsi="Times New Roman" w:cs="Times New Roman"/>
          <w:color w:val="000000" w:themeColor="text1"/>
        </w:rPr>
        <w:t>di cui all’articolo 63, comma 1. In relazione ai requisiti di qualificazione posseduti esse:</w:t>
      </w:r>
    </w:p>
    <w:p w14:paraId="7A96001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progettano, aggiudicano e stipulano contratti o accordi quadro per conto delle stazioni appaltanti non qualificate;</w:t>
      </w:r>
    </w:p>
    <w:p w14:paraId="5D0ED0E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progettano, aggiudicano e stipulano contratti o accordi quadro per conto delle stazioni appaltanti qualificate;</w:t>
      </w:r>
    </w:p>
    <w:p w14:paraId="793A171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progettano, aggiudicano e stipulano convenzioni e accordi quadro ai quali le stazioni appaltanti qualificate e non qualificate possono aderire per l’aggiudicazione di propri appalti specifici;</w:t>
      </w:r>
    </w:p>
    <w:p w14:paraId="174BACE1" w14:textId="7408DE3C" w:rsidR="00446F27" w:rsidRPr="004A5029" w:rsidRDefault="00446F27" w:rsidP="00446F27">
      <w:pPr>
        <w:jc w:val="both"/>
        <w:rPr>
          <w:rFonts w:ascii="Times New Roman" w:hAnsi="Times New Roman" w:cs="Times New Roman"/>
          <w:b/>
          <w:bCs/>
          <w:color w:val="000000" w:themeColor="text1"/>
          <w:highlight w:val="yellow"/>
        </w:rPr>
      </w:pPr>
      <w:r w:rsidRPr="004A5029">
        <w:rPr>
          <w:rFonts w:ascii="Times New Roman" w:hAnsi="Times New Roman" w:cs="Times New Roman"/>
          <w:color w:val="000000" w:themeColor="text1"/>
        </w:rPr>
        <w:t>d) istituiscono e gestiscono sistemi dinamici di acquisizione e mercati elettronici di negoziazione</w:t>
      </w:r>
      <w:r w:rsidRPr="004A5029">
        <w:rPr>
          <w:rFonts w:ascii="Times New Roman" w:hAnsi="Times New Roman" w:cs="Times New Roman"/>
          <w:b/>
          <w:bCs/>
          <w:strike/>
          <w:color w:val="000000" w:themeColor="text1"/>
        </w:rPr>
        <w:t>.</w:t>
      </w:r>
      <w:r w:rsidR="005345C7" w:rsidRPr="004A5029">
        <w:rPr>
          <w:rFonts w:ascii="Times New Roman" w:hAnsi="Times New Roman" w:cs="Times New Roman"/>
          <w:b/>
          <w:bCs/>
          <w:color w:val="000000" w:themeColor="text1"/>
        </w:rPr>
        <w:t>;</w:t>
      </w:r>
    </w:p>
    <w:p w14:paraId="4B1B44CE" w14:textId="288AE891" w:rsidR="005345C7" w:rsidRPr="004A5029" w:rsidRDefault="005345C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e) eseguono i contratti per conto delle stazioni appaltanti non qualificate nelle ipotesi di cui al comma 6, lettera g).</w:t>
      </w:r>
    </w:p>
    <w:p w14:paraId="3E862EE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L’allegato II.4 può essere integrato con una disciplina specifica sul funzionamento e sugli ambiti di riferimento delle centrali di committenza, in</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applicazione dei principi</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di sussidiarietà, differenziazione e adeguatezza.</w:t>
      </w:r>
    </w:p>
    <w:p w14:paraId="6CA0746C" w14:textId="4F682CD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Il ricorso </w:t>
      </w:r>
      <w:r w:rsidRPr="004A5029">
        <w:rPr>
          <w:rFonts w:ascii="Times New Roman" w:hAnsi="Times New Roman" w:cs="Times New Roman"/>
          <w:b/>
          <w:bCs/>
          <w:color w:val="000000" w:themeColor="text1"/>
        </w:rPr>
        <w:t xml:space="preserve">alla </w:t>
      </w:r>
      <w:r w:rsidR="00863FD4" w:rsidRPr="004A5029">
        <w:rPr>
          <w:rFonts w:ascii="Times New Roman" w:hAnsi="Times New Roman" w:cs="Times New Roman"/>
          <w:b/>
          <w:bCs/>
          <w:color w:val="000000" w:themeColor="text1"/>
        </w:rPr>
        <w:t>stazione appaltante qualificata o alla</w:t>
      </w:r>
      <w:r w:rsidR="00863FD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centrale di committenza qualificata è formalizzato mediante un accordo ai sensi dell’articolo 30 del </w:t>
      </w:r>
      <w:r w:rsidR="00E9136F" w:rsidRPr="004A5029">
        <w:rPr>
          <w:rFonts w:ascii="Times New Roman" w:hAnsi="Times New Roman" w:cs="Times New Roman"/>
          <w:b/>
          <w:bCs/>
          <w:color w:val="000000" w:themeColor="text1"/>
        </w:rPr>
        <w:t>testo unico delle leggi sull'ordinamento degli enti locali</w:t>
      </w:r>
      <w:r w:rsidR="001006C5" w:rsidRPr="004A5029">
        <w:rPr>
          <w:rFonts w:ascii="Times New Roman" w:hAnsi="Times New Roman" w:cs="Times New Roman"/>
          <w:b/>
          <w:bCs/>
          <w:color w:val="000000" w:themeColor="text1"/>
        </w:rPr>
        <w:t>,</w:t>
      </w:r>
      <w:r w:rsidR="00E9136F" w:rsidRPr="004A5029">
        <w:rPr>
          <w:rFonts w:ascii="Times New Roman" w:hAnsi="Times New Roman" w:cs="Times New Roman"/>
          <w:b/>
          <w:bCs/>
          <w:color w:val="000000" w:themeColor="text1"/>
        </w:rPr>
        <w:t xml:space="preserve"> di cui al</w:t>
      </w:r>
      <w:r w:rsidR="00E9136F" w:rsidRPr="004A5029">
        <w:rPr>
          <w:rFonts w:ascii="Verdana" w:hAnsi="Verdana"/>
          <w:b/>
          <w:bCs/>
          <w:color w:val="000000" w:themeColor="text1"/>
          <w:sz w:val="18"/>
          <w:szCs w:val="18"/>
          <w:shd w:val="clear" w:color="auto" w:fill="FFFFFF"/>
        </w:rPr>
        <w:t xml:space="preserve"> </w:t>
      </w:r>
      <w:r w:rsidRPr="004A5029">
        <w:rPr>
          <w:rFonts w:ascii="Times New Roman" w:hAnsi="Times New Roman" w:cs="Times New Roman"/>
          <w:color w:val="000000" w:themeColor="text1"/>
        </w:rPr>
        <w:t xml:space="preserve">decreto legislativo 18 agosto 2000, n. 267, o ai sensi dell’articolo 15 della legge 7 agosto 1990, n. 241, o mediante altra modalità disciplinante i rapporti in funzione della natura giuridica della centrale di committenza. Fermi restando gli obblighi per le amministrazioni tenute all’utilizzo degli strumenti di acquisto e negoziazione messi a disposizione </w:t>
      </w:r>
      <w:r w:rsidRPr="004A5029">
        <w:rPr>
          <w:rFonts w:ascii="Times New Roman" w:hAnsi="Times New Roman" w:cs="Times New Roman"/>
          <w:b/>
          <w:bCs/>
          <w:strike/>
          <w:color w:val="000000" w:themeColor="text1"/>
        </w:rPr>
        <w:t>da Consip S.p.a.</w:t>
      </w:r>
      <w:r w:rsidR="005345C7" w:rsidRPr="004A5029">
        <w:rPr>
          <w:color w:val="000000" w:themeColor="text1"/>
        </w:rPr>
        <w:t xml:space="preserve"> </w:t>
      </w:r>
      <w:r w:rsidR="005345C7" w:rsidRPr="004A5029">
        <w:rPr>
          <w:rFonts w:ascii="Times New Roman" w:hAnsi="Times New Roman" w:cs="Times New Roman"/>
          <w:b/>
          <w:bCs/>
          <w:color w:val="000000" w:themeColor="text1"/>
        </w:rPr>
        <w:t>dai soggetti aggregatori</w:t>
      </w:r>
      <w:r w:rsidRPr="004A5029">
        <w:rPr>
          <w:rFonts w:ascii="Times New Roman" w:hAnsi="Times New Roman" w:cs="Times New Roman"/>
          <w:color w:val="000000" w:themeColor="text1"/>
        </w:rPr>
        <w:t>,</w:t>
      </w:r>
      <w:r w:rsidRPr="004A5029">
        <w:rPr>
          <w:rFonts w:ascii="Times New Roman" w:hAnsi="Times New Roman" w:cs="Times New Roman"/>
          <w:b/>
          <w:bCs/>
          <w:color w:val="000000" w:themeColor="text1"/>
        </w:rPr>
        <w:t xml:space="preserve"> </w:t>
      </w:r>
      <w:r w:rsidR="00863FD4" w:rsidRPr="004A5029">
        <w:rPr>
          <w:rFonts w:ascii="Times New Roman" w:hAnsi="Times New Roman" w:cs="Times New Roman"/>
          <w:b/>
          <w:bCs/>
          <w:color w:val="000000" w:themeColor="text1"/>
        </w:rPr>
        <w:t xml:space="preserve">le stazioni appaltanti qualificate e </w:t>
      </w:r>
      <w:r w:rsidRPr="004A5029">
        <w:rPr>
          <w:rFonts w:ascii="Times New Roman" w:hAnsi="Times New Roman" w:cs="Times New Roman"/>
          <w:color w:val="000000" w:themeColor="text1"/>
        </w:rPr>
        <w:t xml:space="preserve">le centrali di committenza qualificate possono attivare convenzioni cui possono aderire le restanti amministrazioni di cui all’articolo 1 del decreto legislativo 30 marzo 2001, n. 165, indipendentemente dall’ambito territoriale di collocazione </w:t>
      </w:r>
      <w:r w:rsidRPr="004A5029">
        <w:rPr>
          <w:rFonts w:ascii="Times New Roman" w:hAnsi="Times New Roman" w:cs="Times New Roman"/>
          <w:b/>
          <w:bCs/>
          <w:color w:val="000000" w:themeColor="text1"/>
        </w:rPr>
        <w:t xml:space="preserve">della </w:t>
      </w:r>
      <w:r w:rsidR="00863FD4" w:rsidRPr="004A5029">
        <w:rPr>
          <w:rFonts w:ascii="Times New Roman" w:hAnsi="Times New Roman" w:cs="Times New Roman"/>
          <w:b/>
          <w:bCs/>
          <w:color w:val="000000" w:themeColor="text1"/>
        </w:rPr>
        <w:t>stazione appaltante o</w:t>
      </w:r>
      <w:r w:rsidR="00863FD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centrale di committenza qualificata.</w:t>
      </w:r>
    </w:p>
    <w:p w14:paraId="517F79A0" w14:textId="4C065A56" w:rsidR="00684B1C" w:rsidRPr="00CE0BF3" w:rsidRDefault="00684B1C" w:rsidP="00446F27">
      <w:pPr>
        <w:jc w:val="both"/>
        <w:rPr>
          <w:rFonts w:ascii="Times New Roman" w:eastAsia="Calibri" w:hAnsi="Times New Roman" w:cs="Times New Roman"/>
          <w:b/>
          <w:bCs/>
          <w:color w:val="000000" w:themeColor="text1"/>
          <w:kern w:val="2"/>
          <w14:ligatures w14:val="standardContextual"/>
        </w:rPr>
      </w:pPr>
      <w:r w:rsidRPr="004A5029">
        <w:rPr>
          <w:rFonts w:ascii="Times New Roman" w:hAnsi="Times New Roman" w:cs="Times New Roman"/>
          <w:color w:val="000000" w:themeColor="text1"/>
        </w:rPr>
        <w:t xml:space="preserve">10. </w:t>
      </w:r>
      <w:r w:rsidRPr="004A5029">
        <w:rPr>
          <w:rFonts w:ascii="Times New Roman" w:eastAsia="Calibri" w:hAnsi="Times New Roman" w:cs="Times New Roman"/>
          <w:b/>
          <w:bCs/>
          <w:color w:val="000000" w:themeColor="text1"/>
          <w:kern w:val="2"/>
          <w14:ligatures w14:val="standardContextual"/>
        </w:rPr>
        <w:t xml:space="preserve">Le stazioni appaltanti non qualificate consultano sul </w:t>
      </w:r>
      <w:r w:rsidRPr="004A5029">
        <w:rPr>
          <w:rFonts w:ascii="Times New Roman" w:eastAsia="Calibri" w:hAnsi="Times New Roman" w:cs="Times New Roman"/>
          <w:b/>
          <w:bCs/>
          <w:strike/>
          <w:color w:val="000000" w:themeColor="text1"/>
          <w:kern w:val="2"/>
          <w14:ligatures w14:val="standardContextual"/>
        </w:rPr>
        <w:t xml:space="preserve"> una apposita sezione del </w:t>
      </w:r>
      <w:r w:rsidRPr="004A5029">
        <w:rPr>
          <w:rFonts w:ascii="Times New Roman" w:eastAsia="Calibri" w:hAnsi="Times New Roman" w:cs="Times New Roman"/>
          <w:b/>
          <w:bCs/>
          <w:color w:val="000000" w:themeColor="text1"/>
          <w:kern w:val="2"/>
          <w14:ligatures w14:val="standardContextual"/>
        </w:rPr>
        <w:t>sito istituzionale dell’ANAC l’elenco delle stazioni appaltanti qualificate e delle centrali di committenza qualificate.</w:t>
      </w:r>
      <w:r w:rsidRPr="004A5029">
        <w:rPr>
          <w:rFonts w:ascii="Times New Roman" w:eastAsia="Calibri" w:hAnsi="Times New Roman" w:cs="Times New Roman"/>
          <w:b/>
          <w:bCs/>
          <w:strike/>
          <w:color w:val="000000" w:themeColor="text1"/>
          <w:kern w:val="2"/>
          <w14:ligatures w14:val="standardContextual"/>
        </w:rPr>
        <w:t xml:space="preserve"> </w:t>
      </w:r>
      <w:r w:rsidRPr="004A5029">
        <w:rPr>
          <w:rFonts w:ascii="Times New Roman" w:eastAsia="Calibri" w:hAnsi="Times New Roman" w:cs="Times New Roman"/>
          <w:color w:val="000000" w:themeColor="text1"/>
          <w:kern w:val="2"/>
          <w14:ligatures w14:val="standardContextual"/>
        </w:rPr>
        <w:t xml:space="preserve">La domanda di svolgere la procedura di gara, rivolta dalla stazione appaltante non qualificata </w:t>
      </w:r>
      <w:r w:rsidRPr="004A5029">
        <w:rPr>
          <w:rFonts w:ascii="Times New Roman" w:eastAsia="Calibri" w:hAnsi="Times New Roman" w:cs="Times New Roman"/>
          <w:b/>
          <w:bCs/>
          <w:color w:val="000000" w:themeColor="text1"/>
          <w:kern w:val="2"/>
          <w14:ligatures w14:val="standardContextual"/>
        </w:rPr>
        <w:t>ad una stazione appaltante qualificata o ad una</w:t>
      </w:r>
      <w:r w:rsidRPr="004A5029">
        <w:rPr>
          <w:rFonts w:ascii="Times New Roman" w:eastAsia="Calibri" w:hAnsi="Times New Roman" w:cs="Times New Roman"/>
          <w:color w:val="000000" w:themeColor="text1"/>
          <w:kern w:val="2"/>
          <w14:ligatures w14:val="standardContextual"/>
        </w:rPr>
        <w:t xml:space="preserve"> </w:t>
      </w:r>
      <w:r w:rsidRPr="004A5029">
        <w:rPr>
          <w:rFonts w:ascii="Times New Roman" w:eastAsia="Calibri" w:hAnsi="Times New Roman" w:cs="Times New Roman"/>
          <w:strike/>
          <w:color w:val="000000" w:themeColor="text1"/>
          <w:kern w:val="2"/>
          <w14:ligatures w14:val="standardContextual"/>
        </w:rPr>
        <w:t>alla</w:t>
      </w:r>
      <w:r w:rsidRPr="004A5029">
        <w:rPr>
          <w:rFonts w:ascii="Times New Roman" w:eastAsia="Calibri" w:hAnsi="Times New Roman" w:cs="Times New Roman"/>
          <w:color w:val="000000" w:themeColor="text1"/>
          <w:kern w:val="2"/>
          <w14:ligatures w14:val="standardContextual"/>
        </w:rPr>
        <w:t xml:space="preserve"> centrale di committenza </w:t>
      </w:r>
      <w:r w:rsidRPr="004A5029">
        <w:rPr>
          <w:rFonts w:ascii="Times New Roman" w:eastAsia="Calibri" w:hAnsi="Times New Roman" w:cs="Times New Roman"/>
          <w:b/>
          <w:bCs/>
          <w:color w:val="000000" w:themeColor="text1"/>
          <w:kern w:val="2"/>
          <w14:ligatures w14:val="standardContextual"/>
        </w:rPr>
        <w:t>qualificata</w:t>
      </w:r>
      <w:r w:rsidRPr="004A5029">
        <w:rPr>
          <w:rFonts w:ascii="Times New Roman" w:eastAsia="Calibri" w:hAnsi="Times New Roman" w:cs="Times New Roman"/>
          <w:color w:val="000000" w:themeColor="text1"/>
          <w:kern w:val="2"/>
          <w14:ligatures w14:val="standardContextual"/>
        </w:rPr>
        <w:t xml:space="preserve">, si intende accolta se non riceve risposta negativa nel termine di </w:t>
      </w:r>
      <w:r w:rsidRPr="004A5029">
        <w:rPr>
          <w:rFonts w:ascii="Times New Roman" w:eastAsia="Calibri" w:hAnsi="Times New Roman" w:cs="Times New Roman"/>
          <w:strike/>
          <w:color w:val="000000" w:themeColor="text1"/>
          <w:kern w:val="2"/>
          <w14:ligatures w14:val="standardContextual"/>
        </w:rPr>
        <w:t>10</w:t>
      </w:r>
      <w:r w:rsidRPr="004A5029">
        <w:rPr>
          <w:rFonts w:ascii="Times New Roman" w:eastAsia="Calibri" w:hAnsi="Times New Roman" w:cs="Times New Roman"/>
          <w:color w:val="000000" w:themeColor="text1"/>
          <w:kern w:val="2"/>
          <w14:ligatures w14:val="standardContextual"/>
        </w:rPr>
        <w:t xml:space="preserve"> </w:t>
      </w:r>
      <w:r w:rsidRPr="004A5029">
        <w:rPr>
          <w:rFonts w:ascii="Times New Roman" w:eastAsia="Calibri" w:hAnsi="Times New Roman" w:cs="Times New Roman"/>
          <w:b/>
          <w:bCs/>
          <w:color w:val="000000" w:themeColor="text1"/>
          <w:kern w:val="2"/>
          <w14:ligatures w14:val="standardContextual"/>
        </w:rPr>
        <w:t xml:space="preserve">dieci </w:t>
      </w:r>
      <w:r w:rsidRPr="004A5029">
        <w:rPr>
          <w:rFonts w:ascii="Times New Roman" w:eastAsia="Calibri" w:hAnsi="Times New Roman" w:cs="Times New Roman"/>
          <w:color w:val="000000" w:themeColor="text1"/>
          <w:kern w:val="2"/>
          <w14:ligatures w14:val="standardContextual"/>
        </w:rPr>
        <w:t xml:space="preserve">giorni dalla sua ricezione. </w:t>
      </w:r>
      <w:r w:rsidRPr="004A5029">
        <w:rPr>
          <w:rFonts w:ascii="Times New Roman" w:eastAsia="Calibri" w:hAnsi="Times New Roman" w:cs="Times New Roman"/>
          <w:b/>
          <w:bCs/>
          <w:color w:val="000000" w:themeColor="text1"/>
          <w:kern w:val="2"/>
          <w14:ligatures w14:val="standardContextual"/>
        </w:rPr>
        <w:t>In caso di risposta negativa,</w:t>
      </w:r>
      <w:r w:rsidRPr="004A5029">
        <w:rPr>
          <w:rFonts w:ascii="Times New Roman" w:eastAsia="Calibri" w:hAnsi="Times New Roman" w:cs="Times New Roman"/>
          <w:color w:val="000000" w:themeColor="text1"/>
          <w:kern w:val="2"/>
          <w14:ligatures w14:val="standardContextual"/>
        </w:rPr>
        <w:t xml:space="preserve"> </w:t>
      </w:r>
      <w:r w:rsidRPr="004A5029">
        <w:rPr>
          <w:rFonts w:ascii="Times New Roman" w:eastAsia="Calibri" w:hAnsi="Times New Roman" w:cs="Times New Roman"/>
          <w:b/>
          <w:bCs/>
          <w:strike/>
          <w:color w:val="000000" w:themeColor="text1"/>
          <w:kern w:val="2"/>
          <w14:ligatures w14:val="standardContextual"/>
        </w:rPr>
        <w:t>Se tre centrali di committenza qualificate hanno respinto la richiesta,</w:t>
      </w:r>
      <w:r w:rsidRPr="004A5029">
        <w:rPr>
          <w:rFonts w:ascii="Times New Roman" w:eastAsia="Calibri" w:hAnsi="Times New Roman" w:cs="Times New Roman"/>
          <w:color w:val="000000" w:themeColor="text1"/>
          <w:kern w:val="2"/>
          <w14:ligatures w14:val="standardContextual"/>
        </w:rPr>
        <w:t xml:space="preserve"> la stazione appaltante non qualificata </w:t>
      </w:r>
      <w:r w:rsidRPr="00CE0BF3">
        <w:rPr>
          <w:rFonts w:ascii="Times New Roman" w:eastAsia="Calibri" w:hAnsi="Times New Roman" w:cs="Times New Roman"/>
          <w:color w:val="000000" w:themeColor="text1"/>
          <w:kern w:val="2"/>
          <w14:ligatures w14:val="standardContextual"/>
        </w:rPr>
        <w:t>si rivolge</w:t>
      </w:r>
      <w:r w:rsidRPr="004A5029">
        <w:rPr>
          <w:rFonts w:ascii="Times New Roman" w:eastAsia="Calibri" w:hAnsi="Times New Roman" w:cs="Times New Roman"/>
          <w:b/>
          <w:bCs/>
          <w:color w:val="000000" w:themeColor="text1"/>
          <w:kern w:val="2"/>
          <w14:ligatures w14:val="standardContextual"/>
        </w:rPr>
        <w:t xml:space="preserve"> </w:t>
      </w:r>
      <w:r w:rsidRPr="004A5029">
        <w:rPr>
          <w:rFonts w:ascii="Times New Roman" w:eastAsia="Calibri" w:hAnsi="Times New Roman" w:cs="Times New Roman"/>
          <w:color w:val="000000" w:themeColor="text1"/>
          <w:kern w:val="2"/>
          <w14:ligatures w14:val="standardContextual"/>
        </w:rPr>
        <w:t xml:space="preserve">all’ANAC, che provvede entro </w:t>
      </w:r>
      <w:r w:rsidRPr="004A5029">
        <w:rPr>
          <w:rFonts w:ascii="Times New Roman" w:eastAsia="Calibri" w:hAnsi="Times New Roman" w:cs="Times New Roman"/>
          <w:strike/>
          <w:color w:val="000000" w:themeColor="text1"/>
          <w:kern w:val="2"/>
          <w14:ligatures w14:val="standardContextual"/>
        </w:rPr>
        <w:t>15</w:t>
      </w:r>
      <w:r w:rsidRPr="004A5029">
        <w:rPr>
          <w:rFonts w:ascii="Times New Roman" w:eastAsia="Calibri" w:hAnsi="Times New Roman" w:cs="Times New Roman"/>
          <w:color w:val="000000" w:themeColor="text1"/>
          <w:kern w:val="2"/>
          <w14:ligatures w14:val="standardContextual"/>
        </w:rPr>
        <w:t xml:space="preserve"> </w:t>
      </w:r>
      <w:r w:rsidRPr="004A5029">
        <w:rPr>
          <w:rFonts w:ascii="Times New Roman" w:eastAsia="Calibri" w:hAnsi="Times New Roman" w:cs="Times New Roman"/>
          <w:b/>
          <w:bCs/>
          <w:color w:val="000000" w:themeColor="text1"/>
          <w:kern w:val="2"/>
          <w14:ligatures w14:val="standardContextual"/>
        </w:rPr>
        <w:t xml:space="preserve">quindici </w:t>
      </w:r>
      <w:r w:rsidRPr="004A5029">
        <w:rPr>
          <w:rFonts w:ascii="Times New Roman" w:eastAsia="Calibri" w:hAnsi="Times New Roman" w:cs="Times New Roman"/>
          <w:color w:val="000000" w:themeColor="text1"/>
          <w:kern w:val="2"/>
          <w14:ligatures w14:val="standardContextual"/>
        </w:rPr>
        <w:t xml:space="preserve">giorni all’assegnazione d’ufficio della richiesta a una </w:t>
      </w:r>
      <w:r w:rsidRPr="004A5029">
        <w:rPr>
          <w:rFonts w:ascii="Times New Roman" w:eastAsia="Calibri" w:hAnsi="Times New Roman" w:cs="Times New Roman"/>
          <w:b/>
          <w:bCs/>
          <w:color w:val="000000" w:themeColor="text1"/>
          <w:kern w:val="2"/>
          <w14:ligatures w14:val="standardContextual"/>
        </w:rPr>
        <w:t>stazione appaltante qualificata o a una</w:t>
      </w:r>
      <w:r w:rsidRPr="004A5029">
        <w:rPr>
          <w:rFonts w:ascii="Times New Roman" w:eastAsia="Calibri" w:hAnsi="Times New Roman" w:cs="Times New Roman"/>
          <w:color w:val="000000" w:themeColor="text1"/>
          <w:kern w:val="2"/>
          <w14:ligatures w14:val="standardContextual"/>
        </w:rPr>
        <w:t xml:space="preserve"> centrale di committenza qualificata</w:t>
      </w:r>
      <w:r w:rsidRPr="004A5029">
        <w:rPr>
          <w:rFonts w:ascii="Times New Roman" w:eastAsia="Calibri" w:hAnsi="Times New Roman" w:cs="Times New Roman"/>
          <w:b/>
          <w:bCs/>
          <w:strike/>
          <w:color w:val="000000" w:themeColor="text1"/>
          <w:kern w:val="2"/>
          <w14:ligatures w14:val="standardContextual"/>
        </w:rPr>
        <w:t>.</w:t>
      </w:r>
      <w:r w:rsidRPr="004A5029">
        <w:rPr>
          <w:rFonts w:ascii="Times New Roman" w:eastAsia="Calibri" w:hAnsi="Times New Roman" w:cs="Times New Roman"/>
          <w:b/>
          <w:bCs/>
          <w:color w:val="000000" w:themeColor="text1"/>
          <w:kern w:val="2"/>
          <w14:ligatures w14:val="standardContextual"/>
        </w:rPr>
        <w:t>, individuata sulla base delle fasce di qualificazione di cui all’articolo 63, comma 2. Eventuali inadempienze rispetto all’assegnazione d’ufficio di cui al terzo periodo possono essere sanzionate ai sensi dell’articolo 63, comma 11, secondo periodo.</w:t>
      </w:r>
    </w:p>
    <w:p w14:paraId="50A7963A" w14:textId="5483707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11. Le centrali di committenza qualificate e le stazioni appaltanti qualificate per i livelli di cui all’articolo 63, comma 2, lettere b) e c) possono svolgere, in relazione ai requisiti di qualificazione posseduti, attività di committenza ausiliarie in favore di altre centrali di committenza o per una o più stazioni appaltanti senza vincolo territoriale</w:t>
      </w:r>
      <w:r w:rsidR="005B22E9" w:rsidRPr="004A5029">
        <w:rPr>
          <w:b/>
          <w:bCs/>
          <w:color w:val="000000" w:themeColor="text1"/>
          <w:sz w:val="20"/>
          <w:szCs w:val="20"/>
        </w:rPr>
        <w:t xml:space="preserve"> </w:t>
      </w:r>
      <w:r w:rsidR="005B22E9" w:rsidRPr="004A5029">
        <w:rPr>
          <w:rFonts w:ascii="Times New Roman" w:hAnsi="Times New Roman" w:cs="Times New Roman"/>
          <w:b/>
          <w:bCs/>
          <w:color w:val="000000" w:themeColor="text1"/>
        </w:rPr>
        <w:t>con le modalità di cui al comma 9, primo periodo</w:t>
      </w:r>
      <w:r w:rsidRPr="004A5029">
        <w:rPr>
          <w:rFonts w:ascii="Times New Roman" w:hAnsi="Times New Roman" w:cs="Times New Roman"/>
          <w:color w:val="000000" w:themeColor="text1"/>
        </w:rPr>
        <w:t>. R</w:t>
      </w:r>
      <w:r w:rsidR="00546338" w:rsidRPr="004A5029">
        <w:rPr>
          <w:rFonts w:ascii="Times New Roman" w:hAnsi="Times New Roman" w:cs="Times New Roman"/>
          <w:color w:val="000000" w:themeColor="text1"/>
        </w:rPr>
        <w:t>esta</w:t>
      </w:r>
      <w:r w:rsidRPr="004A5029">
        <w:rPr>
          <w:rFonts w:ascii="Times New Roman" w:hAnsi="Times New Roman" w:cs="Times New Roman"/>
          <w:color w:val="000000" w:themeColor="text1"/>
        </w:rPr>
        <w:t xml:space="preserve"> fermo quanto previsto dall’articolo 9 del decreto-legge 24 aprile 2014, n. 66 convertito, con modificazioni, dalla </w:t>
      </w:r>
      <w:hyperlink r:id="rId13">
        <w:r w:rsidRPr="004A5029">
          <w:rPr>
            <w:rFonts w:ascii="Times New Roman" w:hAnsi="Times New Roman" w:cs="Times New Roman"/>
            <w:color w:val="000000" w:themeColor="text1"/>
          </w:rPr>
          <w:t>legge 23 giugno 2014, n. 89</w:t>
        </w:r>
      </w:hyperlink>
      <w:r w:rsidRPr="004A5029">
        <w:rPr>
          <w:rFonts w:ascii="Times New Roman" w:hAnsi="Times New Roman" w:cs="Times New Roman"/>
          <w:color w:val="000000" w:themeColor="text1"/>
        </w:rPr>
        <w:t xml:space="preserve">. Al di fuori dei casi di cui al </w:t>
      </w:r>
      <w:r w:rsidR="00546338" w:rsidRPr="004A5029">
        <w:rPr>
          <w:rFonts w:ascii="Times New Roman" w:hAnsi="Times New Roman" w:cs="Times New Roman"/>
          <w:color w:val="000000" w:themeColor="text1"/>
        </w:rPr>
        <w:t xml:space="preserve">primo </w:t>
      </w:r>
      <w:r w:rsidRPr="004A5029">
        <w:rPr>
          <w:rFonts w:ascii="Times New Roman" w:hAnsi="Times New Roman" w:cs="Times New Roman"/>
          <w:color w:val="000000" w:themeColor="text1"/>
        </w:rPr>
        <w:t>periodo, le stazioni appaltanti possono ricorrere, per le attività di committenza ausiliarie, ad esclusione delle attività di cui all’articolo 3, comma 1, lettera z), punto 4, dell’allegato I.1, a prestatori di servizi individuati attraverso le procedure di cui al codice.</w:t>
      </w:r>
    </w:p>
    <w:p w14:paraId="20D7573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12. La stazione appaltante, nell’ambito delle procedure </w:t>
      </w:r>
      <w:r w:rsidRPr="004A5029">
        <w:rPr>
          <w:rFonts w:ascii="Times New Roman" w:hAnsi="Times New Roman" w:cs="Times New Roman"/>
          <w:b/>
          <w:bCs/>
          <w:strike/>
          <w:color w:val="000000" w:themeColor="text1"/>
        </w:rPr>
        <w:t>svolte dalla centrale</w:t>
      </w:r>
      <w:r w:rsidRPr="004A5029">
        <w:rPr>
          <w:rFonts w:ascii="Times New Roman" w:hAnsi="Times New Roman" w:cs="Times New Roman"/>
          <w:color w:val="000000" w:themeColor="text1"/>
        </w:rPr>
        <w:t xml:space="preserve"> di committenza </w:t>
      </w:r>
      <w:r w:rsidRPr="004A5029">
        <w:rPr>
          <w:rFonts w:ascii="Times New Roman" w:hAnsi="Times New Roman" w:cs="Times New Roman"/>
          <w:b/>
          <w:bCs/>
          <w:strike/>
          <w:color w:val="000000" w:themeColor="text1"/>
        </w:rPr>
        <w:t xml:space="preserve">di cui si avvale, o dalla stazione appaltante qualificata che svolge attività di committenza ausiliaria, </w:t>
      </w:r>
      <w:r w:rsidRPr="004A5029">
        <w:rPr>
          <w:rFonts w:ascii="Times New Roman" w:hAnsi="Times New Roman" w:cs="Times New Roman"/>
          <w:color w:val="000000" w:themeColor="text1"/>
        </w:rPr>
        <w:t>è responsabile del rispetto del codice per le attività ad essa direttamente imputabili, quali:</w:t>
      </w:r>
    </w:p>
    <w:p w14:paraId="6231BA7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l’aggiudicazione di un appalto nel quadro di un sistema dinamico di acquisizione gestito da una centrale di committenza;</w:t>
      </w:r>
    </w:p>
    <w:p w14:paraId="58B7D89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lo svolgimento della riapertura del confronto competitivo nell’ambito di un accordo quadro concluso da una centrale di committenza;</w:t>
      </w:r>
    </w:p>
    <w:p w14:paraId="69615FA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ai sensi dell’articolo 59, comma 4, lettere a) e c), la determinazione di quale tra gli operatori economici parte dell’accordo quadro svolgerà un determinato compito nell’ambito di un accordo quadro concluso da una centrale di committenza. </w:t>
      </w:r>
    </w:p>
    <w:p w14:paraId="7DF29465" w14:textId="10B16A44" w:rsidR="00446F27" w:rsidRPr="004A5029" w:rsidRDefault="00446F27" w:rsidP="00446F27">
      <w:pPr>
        <w:pStyle w:val="provvr0"/>
        <w:spacing w:before="0" w:beforeAutospacing="0" w:after="160" w:afterAutospacing="0" w:line="259" w:lineRule="auto"/>
        <w:jc w:val="both"/>
        <w:rPr>
          <w:rFonts w:eastAsiaTheme="minorHAnsi"/>
          <w:color w:val="000000" w:themeColor="text1"/>
          <w:sz w:val="22"/>
          <w:szCs w:val="22"/>
          <w:lang w:eastAsia="en-US"/>
        </w:rPr>
      </w:pPr>
      <w:r w:rsidRPr="004A5029">
        <w:rPr>
          <w:color w:val="000000" w:themeColor="text1"/>
          <w:sz w:val="22"/>
          <w:szCs w:val="22"/>
        </w:rPr>
        <w:t xml:space="preserve">13. </w:t>
      </w:r>
      <w:r w:rsidR="00381DDD" w:rsidRPr="004A5029">
        <w:rPr>
          <w:b/>
          <w:bCs/>
          <w:color w:val="000000" w:themeColor="text1"/>
          <w:sz w:val="22"/>
          <w:szCs w:val="22"/>
        </w:rPr>
        <w:t>Le centrali di committenza e le stazioni appaltanti che svolgono</w:t>
      </w:r>
      <w:r w:rsidR="00381DDD" w:rsidRPr="004A5029">
        <w:rPr>
          <w:color w:val="000000" w:themeColor="text1"/>
          <w:sz w:val="22"/>
          <w:szCs w:val="22"/>
        </w:rPr>
        <w:t xml:space="preserve"> </w:t>
      </w:r>
      <w:r w:rsidRPr="004A5029">
        <w:rPr>
          <w:b/>
          <w:bCs/>
          <w:strike/>
          <w:color w:val="000000" w:themeColor="text1"/>
          <w:sz w:val="22"/>
          <w:szCs w:val="22"/>
        </w:rPr>
        <w:t>La centrale di committenza e la stazione appaltante qualificata che svolge</w:t>
      </w:r>
      <w:r w:rsidRPr="004A5029">
        <w:rPr>
          <w:color w:val="000000" w:themeColor="text1"/>
          <w:sz w:val="22"/>
          <w:szCs w:val="22"/>
        </w:rPr>
        <w:t xml:space="preserve"> attività di committenza </w:t>
      </w:r>
      <w:r w:rsidR="00381DDD" w:rsidRPr="004A5029">
        <w:rPr>
          <w:b/>
          <w:bCs/>
          <w:color w:val="000000" w:themeColor="text1"/>
          <w:sz w:val="22"/>
          <w:szCs w:val="22"/>
        </w:rPr>
        <w:t xml:space="preserve">anche </w:t>
      </w:r>
      <w:r w:rsidRPr="004A5029">
        <w:rPr>
          <w:color w:val="000000" w:themeColor="text1"/>
          <w:sz w:val="22"/>
          <w:szCs w:val="22"/>
        </w:rPr>
        <w:t>ausiliaria sono direttamente responsabili per le attività di centralizzazione della committenza svolte per conto di altre stazioni appaltanti o enti concedenti. Esse</w:t>
      </w:r>
      <w:r w:rsidR="00325EDE" w:rsidRPr="004A5029">
        <w:rPr>
          <w:color w:val="000000" w:themeColor="text1"/>
          <w:sz w:val="22"/>
          <w:szCs w:val="22"/>
        </w:rPr>
        <w:t xml:space="preserve"> </w:t>
      </w:r>
      <w:r w:rsidRPr="004A5029">
        <w:rPr>
          <w:color w:val="000000" w:themeColor="text1"/>
          <w:sz w:val="22"/>
          <w:szCs w:val="22"/>
        </w:rPr>
        <w:t>nominano un RUP, che cura i necessari raccordi con la stazione appaltante beneficiaria dell’intervento, la quale a sua volta nomina un responsabile del procedimento per le attività di propria pertinenza.</w:t>
      </w:r>
    </w:p>
    <w:p w14:paraId="47D83922" w14:textId="02FB614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14. Due o più stazioni appaltanti possono decidere di svolgere congiuntamente, ai sensi dell’articolo 15 della legge 7 agosto 1990, n. 241, una o più fasi della procedura di affidamento </w:t>
      </w:r>
      <w:r w:rsidR="005B22E9" w:rsidRPr="004A5029">
        <w:rPr>
          <w:rFonts w:ascii="Times New Roman" w:hAnsi="Times New Roman" w:cs="Times New Roman"/>
          <w:b/>
          <w:bCs/>
          <w:color w:val="000000" w:themeColor="text1"/>
        </w:rPr>
        <w:t xml:space="preserve">o di esecuzione </w:t>
      </w:r>
      <w:r w:rsidRPr="004A5029">
        <w:rPr>
          <w:rFonts w:ascii="Times New Roman" w:hAnsi="Times New Roman" w:cs="Times New Roman"/>
          <w:color w:val="000000" w:themeColor="text1"/>
        </w:rPr>
        <w:t>di un appalto o di un accordo quadro di lavori, servizi e forniture, purché almeno una di esse sia qualificata allo svolgimento delle fasi stesse in rapporto al valore del contratto. Le stazioni appaltanti sono responsabili in solido dell'adempimento degli obblighi derivanti dal codice. Esse nominano un unico RUP in comune tra le stesse in capo alla stazione appaltante delegata. Si applicano le disposizioni di cui all’articolo 15. Se la procedura di aggiudicazione è effettuata congiuntamente solo in parte, le stazioni appaltanti interessate sono congiuntamente responsabili solo per quella parte. Ciascuna stazione appaltante è responsabile dell'adempimento degli obblighi derivanti dal codice unicamente per quanto riguarda le parti da essa svolte a proprio nome e per proprio conto.</w:t>
      </w:r>
    </w:p>
    <w:p w14:paraId="60126DE7" w14:textId="2A1609A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15. Fermi restando gli obblighi di utilizzo degli strumenti di acquisto e di negoziazione previsti dalle vigenti disposizioni in materia di contenimento della spesa, nell'individuazione della </w:t>
      </w:r>
      <w:r w:rsidR="00381DDD" w:rsidRPr="004A5029">
        <w:rPr>
          <w:rFonts w:ascii="Times New Roman" w:hAnsi="Times New Roman" w:cs="Times New Roman"/>
          <w:b/>
          <w:bCs/>
          <w:color w:val="000000" w:themeColor="text1"/>
        </w:rPr>
        <w:t>stazione appaltante o</w:t>
      </w:r>
      <w:r w:rsidR="00381DDD"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centrale di committenza</w:t>
      </w:r>
      <w:r w:rsidR="00381DDD" w:rsidRPr="004A5029">
        <w:rPr>
          <w:rFonts w:ascii="Times New Roman" w:hAnsi="Times New Roman" w:cs="Times New Roman"/>
          <w:color w:val="000000" w:themeColor="text1"/>
        </w:rPr>
        <w:t xml:space="preserve"> </w:t>
      </w:r>
      <w:r w:rsidR="00381DDD" w:rsidRPr="004A5029">
        <w:rPr>
          <w:rFonts w:ascii="Times New Roman" w:hAnsi="Times New Roman" w:cs="Times New Roman"/>
          <w:b/>
          <w:bCs/>
          <w:color w:val="000000" w:themeColor="text1"/>
        </w:rPr>
        <w:t>qualificata</w:t>
      </w:r>
      <w:r w:rsidRPr="004A5029">
        <w:rPr>
          <w:rFonts w:ascii="Times New Roman" w:hAnsi="Times New Roman" w:cs="Times New Roman"/>
          <w:color w:val="000000" w:themeColor="text1"/>
        </w:rPr>
        <w:t>, anche ubicata in altro Stato membro dell'Unione europea, le stazioni appaltanti procedono sulla base del principio di buon andamento dell'azione amministrativa, dandone adeguata motivazione.</w:t>
      </w:r>
    </w:p>
    <w:p w14:paraId="7ADF79C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16. Le stazioni appaltanti possono ricorrere a una centrale di committenza ubicata in altro Stato membro dell'Unione europea per le attività di centralizzazione delle committenze svolte nella forma di acquisizione centralizzata di forniture o servizi a stazioni appaltanti oppure </w:t>
      </w:r>
      <w:r w:rsidRPr="004A5029">
        <w:rPr>
          <w:rFonts w:ascii="Times New Roman" w:hAnsi="Times New Roman" w:cs="Times New Roman"/>
          <w:bCs/>
          <w:color w:val="000000" w:themeColor="text1"/>
          <w:shd w:val="clear" w:color="auto" w:fill="FFFFFF"/>
        </w:rPr>
        <w:t>nella forma di aggiudicazione di appalti o conclusione di accordi quadro per lavori, forniture o servizi destinati a stazioni appaltanti. L</w:t>
      </w:r>
      <w:r w:rsidRPr="004A5029">
        <w:rPr>
          <w:rFonts w:ascii="Times New Roman" w:hAnsi="Times New Roman" w:cs="Times New Roman"/>
          <w:color w:val="000000" w:themeColor="text1"/>
        </w:rPr>
        <w:t>a fornitura di attività di centralizzazione delle committenze da parte di una centrale di committenza ubicata in altro Stato membro è effettuata conformemente alle disposizioni nazionali dello Stato membro in cui è ubicata la centrale di committenza.</w:t>
      </w:r>
    </w:p>
    <w:p w14:paraId="6A1D541B" w14:textId="7CC1BB8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17. Dall'applicazione del presente articolo e dell’articolo 63 sono esclusi le imprese pubbliche e i soggetti privati titolari di diritti speciali o esclusivi quando svolgono una delle attività previste dagli articoli da 146 a 152. Con modifiche e integrazioni all’allegato II.4 possono essere disciplinati i criteri di qualificazione per gli enti e i soggetti di cui al p</w:t>
      </w:r>
      <w:r w:rsidR="00546338" w:rsidRPr="004A5029">
        <w:rPr>
          <w:rFonts w:ascii="Times New Roman" w:hAnsi="Times New Roman" w:cs="Times New Roman"/>
          <w:color w:val="000000" w:themeColor="text1"/>
        </w:rPr>
        <w:t>rimo</w:t>
      </w:r>
      <w:r w:rsidRPr="004A5029">
        <w:rPr>
          <w:rFonts w:ascii="Times New Roman" w:hAnsi="Times New Roman" w:cs="Times New Roman"/>
          <w:color w:val="000000" w:themeColor="text1"/>
        </w:rPr>
        <w:t xml:space="preserve"> periodo e le regole di iscrizione nell’elenco ANAC, oltre che le regole di funzionamento e gli ambiti di riferimento delle relative centrali di committenza.</w:t>
      </w:r>
    </w:p>
    <w:p w14:paraId="28174864" w14:textId="77777777" w:rsidR="00446F27" w:rsidRPr="004A5029" w:rsidRDefault="00446F27" w:rsidP="00446F27">
      <w:pPr>
        <w:jc w:val="both"/>
        <w:rPr>
          <w:rFonts w:ascii="Times New Roman" w:hAnsi="Times New Roman" w:cs="Times New Roman"/>
          <w:color w:val="000000" w:themeColor="text1"/>
          <w:highlight w:val="yellow"/>
        </w:rPr>
      </w:pPr>
      <w:r w:rsidRPr="004A5029">
        <w:rPr>
          <w:rFonts w:ascii="Times New Roman" w:hAnsi="Times New Roman" w:cs="Times New Roman"/>
          <w:color w:val="000000" w:themeColor="text1"/>
        </w:rPr>
        <w:t>18. La progettazione, l’affidamento e l’esecuzione di contratti di partenariato pubblico-privato possono essere svolti da soggetti qualificati per i livelli di cui all’articolo 63, comma 2, lettere b) e c).</w:t>
      </w:r>
    </w:p>
    <w:p w14:paraId="3B88899E" w14:textId="77777777" w:rsidR="00446F27" w:rsidRPr="004A5029" w:rsidRDefault="00446F27" w:rsidP="00446F27">
      <w:pPr>
        <w:jc w:val="both"/>
        <w:rPr>
          <w:rFonts w:ascii="Times New Roman" w:hAnsi="Times New Roman" w:cs="Times New Roman"/>
          <w:color w:val="000000" w:themeColor="text1"/>
        </w:rPr>
      </w:pPr>
    </w:p>
    <w:p w14:paraId="749BCF38" w14:textId="5BC27ABF"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63.</w:t>
      </w:r>
      <w:r w:rsidR="007B34DF" w:rsidRPr="004A5029">
        <w:rPr>
          <w:rFonts w:ascii="Times New Roman" w:hAnsi="Times New Roman" w:cs="Times New Roman"/>
          <w:b/>
          <w:color w:val="000000" w:themeColor="text1"/>
        </w:rPr>
        <w:tab/>
      </w:r>
      <w:r w:rsidR="007B34DF" w:rsidRPr="004A5029">
        <w:rPr>
          <w:rFonts w:ascii="Times New Roman" w:hAnsi="Times New Roman" w:cs="Times New Roman"/>
          <w:b/>
          <w:color w:val="000000" w:themeColor="text1"/>
        </w:rPr>
        <w:tab/>
      </w:r>
    </w:p>
    <w:p w14:paraId="17078CC4" w14:textId="77777777" w:rsidR="00446F27" w:rsidRPr="004A5029" w:rsidRDefault="00446F27" w:rsidP="00446F27">
      <w:pPr>
        <w:rPr>
          <w:rStyle w:val="provvnumart"/>
          <w:rFonts w:ascii="Times New Roman" w:hAnsi="Times New Roman" w:cs="Times New Roman"/>
          <w:b/>
          <w:bCs/>
          <w:color w:val="000000" w:themeColor="text1"/>
          <w:shd w:val="clear" w:color="auto" w:fill="FFFFFF"/>
        </w:rPr>
      </w:pPr>
      <w:r w:rsidRPr="004A5029">
        <w:rPr>
          <w:rStyle w:val="provvrubrica"/>
          <w:rFonts w:ascii="Times New Roman" w:hAnsi="Times New Roman" w:cs="Times New Roman"/>
          <w:bCs/>
          <w:i/>
          <w:color w:val="000000" w:themeColor="text1"/>
          <w:shd w:val="clear" w:color="auto" w:fill="FFFFFF"/>
        </w:rPr>
        <w:t>Qualificazione delle stazioni appaltanti e delle centrali di committenza.</w:t>
      </w:r>
    </w:p>
    <w:p w14:paraId="462D96FB" w14:textId="3DCF6F4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Fermo restando quanto stabilito dall’</w:t>
      </w:r>
      <w:hyperlink r:id="rId14" w:anchor="037">
        <w:r w:rsidRPr="004A5029">
          <w:rPr>
            <w:rFonts w:ascii="Times New Roman" w:hAnsi="Times New Roman" w:cs="Times New Roman"/>
            <w:color w:val="000000" w:themeColor="text1"/>
          </w:rPr>
          <w:t>articolo 62</w:t>
        </w:r>
      </w:hyperlink>
      <w:r w:rsidRPr="004A5029">
        <w:rPr>
          <w:rFonts w:ascii="Times New Roman" w:hAnsi="Times New Roman" w:cs="Times New Roman"/>
          <w:color w:val="000000" w:themeColor="text1"/>
        </w:rPr>
        <w:t xml:space="preserve">, è istituito presso l'ANAC, che ne assicura la gestione e la pubblicità, un elenco delle stazioni appaltanti qualificate di cui fanno parte, </w:t>
      </w:r>
      <w:r w:rsidRPr="004A5029">
        <w:rPr>
          <w:rFonts w:ascii="Times New Roman" w:hAnsi="Times New Roman" w:cs="Times New Roman"/>
          <w:bCs/>
          <w:color w:val="000000" w:themeColor="text1"/>
        </w:rPr>
        <w:t>in una specifica sezione</w:t>
      </w:r>
      <w:r w:rsidRPr="004A5029">
        <w:rPr>
          <w:rFonts w:ascii="Times New Roman" w:hAnsi="Times New Roman" w:cs="Times New Roman"/>
          <w:color w:val="000000" w:themeColor="text1"/>
        </w:rPr>
        <w:t xml:space="preserve">, anche le centrali di committenza, </w:t>
      </w:r>
      <w:r w:rsidRPr="004A5029">
        <w:rPr>
          <w:rFonts w:ascii="Times New Roman" w:hAnsi="Times New Roman" w:cs="Times New Roman"/>
          <w:bCs/>
          <w:color w:val="000000" w:themeColor="text1"/>
        </w:rPr>
        <w:t>ivi compresi i soggetti aggregatori.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Ciascuna stazione appaltante o centrale di committenza che soddisfi i requisiti di cui all’allegato II.4 consegue la qualificazione e</w:t>
      </w:r>
      <w:r w:rsidR="00E07A23" w:rsidRPr="004A5029">
        <w:rPr>
          <w:rFonts w:ascii="Times New Roman" w:hAnsi="Times New Roman" w:cs="Times New Roman"/>
          <w:bCs/>
          <w:color w:val="000000" w:themeColor="text1"/>
        </w:rPr>
        <w:t>d</w:t>
      </w:r>
      <w:r w:rsidRPr="004A5029">
        <w:rPr>
          <w:rFonts w:ascii="Times New Roman" w:hAnsi="Times New Roman" w:cs="Times New Roman"/>
          <w:bCs/>
          <w:color w:val="000000" w:themeColor="text1"/>
        </w:rPr>
        <w:t xml:space="preserve"> </w:t>
      </w:r>
      <w:r w:rsidR="00E07A23" w:rsidRPr="004A5029">
        <w:rPr>
          <w:rFonts w:ascii="Times New Roman" w:hAnsi="Times New Roman" w:cs="Times New Roman"/>
          <w:bCs/>
          <w:color w:val="000000" w:themeColor="text1"/>
        </w:rPr>
        <w:t>è</w:t>
      </w:r>
      <w:r w:rsidRPr="004A5029">
        <w:rPr>
          <w:rFonts w:ascii="Times New Roman" w:hAnsi="Times New Roman" w:cs="Times New Roman"/>
          <w:bCs/>
          <w:color w:val="000000" w:themeColor="text1"/>
        </w:rPr>
        <w:t xml:space="preserve"> iscritta nell’elenco di cui al primo periodo</w:t>
      </w:r>
      <w:r w:rsidR="00684B1C" w:rsidRPr="004A5029">
        <w:rPr>
          <w:rFonts w:ascii="Times New Roman" w:hAnsi="Times New Roman" w:cs="Times New Roman"/>
          <w:bCs/>
          <w:color w:val="000000" w:themeColor="text1"/>
        </w:rPr>
        <w:t>.</w:t>
      </w:r>
    </w:p>
    <w:p w14:paraId="3C4A8C6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La qualificazione per la progettazione e l’affidamento si articola in tre fasce di importo: </w:t>
      </w:r>
    </w:p>
    <w:p w14:paraId="48C648B5" w14:textId="3D119C8D" w:rsidR="00446F27" w:rsidRPr="004A5029" w:rsidRDefault="00446F27" w:rsidP="00446F27">
      <w:pPr>
        <w:pStyle w:val="Paragrafoelenco"/>
        <w:tabs>
          <w:tab w:val="left" w:pos="315"/>
        </w:tabs>
        <w:ind w:left="0"/>
        <w:jc w:val="both"/>
        <w:rPr>
          <w:rFonts w:ascii="Times New Roman" w:hAnsi="Times New Roman" w:cs="Times New Roman"/>
          <w:color w:val="000000" w:themeColor="text1"/>
        </w:rPr>
      </w:pPr>
      <w:r w:rsidRPr="004A5029">
        <w:rPr>
          <w:rFonts w:ascii="Times New Roman" w:hAnsi="Times New Roman" w:cs="Times New Roman"/>
          <w:color w:val="000000" w:themeColor="text1"/>
        </w:rPr>
        <w:t>a) qualificazione base o di primo livello, per servizi e forniture fino alla soglia di 750.000 euro e per lavori fino a 1 milione di euro;</w:t>
      </w:r>
    </w:p>
    <w:p w14:paraId="62679CF0" w14:textId="5376C69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qualificazione intermedia o di secondo livello, per servizi e forniture fino a </w:t>
      </w:r>
      <w:r w:rsidR="00546338" w:rsidRPr="004A5029">
        <w:rPr>
          <w:rFonts w:ascii="Times New Roman" w:hAnsi="Times New Roman" w:cs="Times New Roman"/>
          <w:color w:val="000000" w:themeColor="text1"/>
        </w:rPr>
        <w:t>5</w:t>
      </w:r>
      <w:r w:rsidRPr="004A5029">
        <w:rPr>
          <w:rFonts w:ascii="Times New Roman" w:hAnsi="Times New Roman" w:cs="Times New Roman"/>
          <w:color w:val="000000" w:themeColor="text1"/>
        </w:rPr>
        <w:t xml:space="preserve"> milioni di euro e per lavori fino alla soglia di cui all’articolo 14;</w:t>
      </w:r>
    </w:p>
    <w:p w14:paraId="0210965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qualificazione avanzata o di terzo livello, senza limiti di importo.</w:t>
      </w:r>
    </w:p>
    <w:p w14:paraId="4D7EA13C"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3. Ogni stazione appaltante o centrale di committenza può effettuare le procedure corrispondenti al livello di qualificazione posseduto e a quelli inferiori. Per i livelli superiori si applica il comma 6 dell’articolo 62.</w:t>
      </w:r>
    </w:p>
    <w:p w14:paraId="34554036" w14:textId="7929AD0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 xml:space="preserve">Sono iscritti di diritto nell'elenco di cui al comma 1 il Ministero delle infrastrutture e dei trasporti, compresi i Provveditorati interregionali per le opere pubbliche, Consip S.p.a., Invitalia - Agenzia nazionale per l'attrazione degli investimenti e lo sviluppo d'impresa S.p.a., Difesa servizi S.p.A., l'Agenzia del demanio, i soggetti aggregatori di cui all'articolo </w:t>
      </w:r>
      <w:hyperlink r:id="rId15" w:anchor="id=10LX0000798625ART39,__m=document">
        <w:r w:rsidRPr="004A5029">
          <w:rPr>
            <w:rFonts w:ascii="Times New Roman" w:hAnsi="Times New Roman" w:cs="Times New Roman"/>
            <w:color w:val="000000" w:themeColor="text1"/>
          </w:rPr>
          <w:t>9</w:t>
        </w:r>
      </w:hyperlink>
      <w:r w:rsidRPr="004A5029">
        <w:rPr>
          <w:rFonts w:ascii="Times New Roman" w:hAnsi="Times New Roman" w:cs="Times New Roman"/>
          <w:color w:val="000000" w:themeColor="text1"/>
        </w:rPr>
        <w:t xml:space="preserve"> del decreto-legge 24 aprile 2014, n. 66, convertito, con modificazioni, dalla </w:t>
      </w:r>
      <w:hyperlink r:id="rId16" w:anchor="id=10LX0000800921ART0,__m=document">
        <w:r w:rsidRPr="004A5029">
          <w:rPr>
            <w:rFonts w:ascii="Times New Roman" w:hAnsi="Times New Roman" w:cs="Times New Roman"/>
            <w:color w:val="000000" w:themeColor="text1"/>
          </w:rPr>
          <w:t>legge 23 giugno 2014, n. 89</w:t>
        </w:r>
      </w:hyperlink>
      <w:r w:rsidRPr="004A5029">
        <w:rPr>
          <w:rFonts w:ascii="Times New Roman" w:hAnsi="Times New Roman" w:cs="Times New Roman"/>
          <w:color w:val="000000" w:themeColor="text1"/>
        </w:rPr>
        <w:t>, Sport e salute S</w:t>
      </w:r>
      <w:r w:rsidR="00546338"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p</w:t>
      </w:r>
      <w:r w:rsidR="00546338"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a. In sede di prima applicazione </w:t>
      </w:r>
      <w:r w:rsidRPr="004A5029">
        <w:rPr>
          <w:rFonts w:ascii="Times New Roman" w:hAnsi="Times New Roman" w:cs="Times New Roman"/>
          <w:b/>
          <w:bCs/>
          <w:color w:val="000000" w:themeColor="text1"/>
        </w:rPr>
        <w:t xml:space="preserve">le </w:t>
      </w:r>
      <w:r w:rsidR="007B7A43" w:rsidRPr="004A5029">
        <w:rPr>
          <w:rFonts w:ascii="Times New Roman" w:hAnsi="Times New Roman" w:cs="Times New Roman"/>
          <w:b/>
          <w:bCs/>
          <w:color w:val="000000" w:themeColor="text1"/>
        </w:rPr>
        <w:t xml:space="preserve">stazioni appaltanti </w:t>
      </w:r>
      <w:r w:rsidRPr="004A5029">
        <w:rPr>
          <w:rFonts w:ascii="Times New Roman" w:hAnsi="Times New Roman" w:cs="Times New Roman"/>
          <w:b/>
          <w:bCs/>
          <w:strike/>
          <w:color w:val="000000" w:themeColor="text1"/>
        </w:rPr>
        <w:t>centrali di committenza</w:t>
      </w:r>
      <w:r w:rsidR="00D95D0C" w:rsidRPr="004A5029">
        <w:rPr>
          <w:rFonts w:ascii="Times New Roman" w:hAnsi="Times New Roman" w:cs="Times New Roman"/>
          <w:b/>
          <w:bCs/>
          <w:color w:val="000000" w:themeColor="text1"/>
        </w:rPr>
        <w:t xml:space="preserve"> delle unioni di comuni,</w:t>
      </w:r>
      <w:r w:rsidRPr="004A5029">
        <w:rPr>
          <w:rFonts w:ascii="Times New Roman" w:hAnsi="Times New Roman" w:cs="Times New Roman"/>
          <w:color w:val="000000" w:themeColor="text1"/>
        </w:rPr>
        <w:t xml:space="preserve"> </w:t>
      </w:r>
      <w:r w:rsidR="007B7A43" w:rsidRPr="004A5029">
        <w:rPr>
          <w:rFonts w:ascii="Times New Roman" w:hAnsi="Times New Roman" w:cs="Times New Roman"/>
          <w:b/>
          <w:bCs/>
          <w:color w:val="000000" w:themeColor="text1"/>
        </w:rPr>
        <w:t>costituite nelle forme prevista dall’ordinamento,</w:t>
      </w:r>
      <w:r w:rsidR="007B7A43"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delle </w:t>
      </w:r>
      <w:r w:rsidR="00546338" w:rsidRPr="004A5029">
        <w:rPr>
          <w:rFonts w:ascii="Times New Roman" w:hAnsi="Times New Roman" w:cs="Times New Roman"/>
          <w:color w:val="000000" w:themeColor="text1"/>
        </w:rPr>
        <w:t>p</w:t>
      </w:r>
      <w:r w:rsidRPr="004A5029">
        <w:rPr>
          <w:rFonts w:ascii="Times New Roman" w:hAnsi="Times New Roman" w:cs="Times New Roman"/>
          <w:color w:val="000000" w:themeColor="text1"/>
        </w:rPr>
        <w:t xml:space="preserve">rovincie e delle </w:t>
      </w:r>
      <w:r w:rsidR="00546338" w:rsidRPr="004A5029">
        <w:rPr>
          <w:rFonts w:ascii="Times New Roman" w:hAnsi="Times New Roman" w:cs="Times New Roman"/>
          <w:color w:val="000000" w:themeColor="text1"/>
        </w:rPr>
        <w:t>c</w:t>
      </w:r>
      <w:r w:rsidRPr="004A5029">
        <w:rPr>
          <w:rFonts w:ascii="Times New Roman" w:hAnsi="Times New Roman" w:cs="Times New Roman"/>
          <w:color w:val="000000" w:themeColor="text1"/>
        </w:rPr>
        <w:t>ittà metropolitane</w:t>
      </w:r>
      <w:r w:rsidR="00D95D0C" w:rsidRPr="004A5029">
        <w:rPr>
          <w:rFonts w:ascii="Times New Roman" w:hAnsi="Times New Roman" w:cs="Times New Roman"/>
          <w:b/>
          <w:bCs/>
          <w:color w:val="000000" w:themeColor="text1"/>
        </w:rPr>
        <w:t>, dei comuni capoluogo di provincia e delle regioni</w:t>
      </w:r>
      <w:r w:rsidRPr="004A5029">
        <w:rPr>
          <w:rFonts w:ascii="Times New Roman" w:hAnsi="Times New Roman" w:cs="Times New Roman"/>
          <w:color w:val="000000" w:themeColor="text1"/>
        </w:rPr>
        <w:t xml:space="preserve"> sono iscritte con riserva nell’elenco </w:t>
      </w:r>
      <w:r w:rsidR="007B7A43" w:rsidRPr="004A5029">
        <w:rPr>
          <w:rFonts w:ascii="Times New Roman" w:hAnsi="Times New Roman" w:cs="Times New Roman"/>
          <w:b/>
          <w:bCs/>
          <w:color w:val="000000" w:themeColor="text1"/>
        </w:rPr>
        <w:t xml:space="preserve">di cui all’articolo 63, comma 1, primo periodo </w:t>
      </w:r>
      <w:r w:rsidRPr="004A5029">
        <w:rPr>
          <w:rFonts w:ascii="Times New Roman" w:hAnsi="Times New Roman" w:cs="Times New Roman"/>
          <w:b/>
          <w:bCs/>
          <w:strike/>
          <w:color w:val="000000" w:themeColor="text1"/>
        </w:rPr>
        <w:t>delle centrali di committenza qualificate</w:t>
      </w:r>
      <w:r w:rsidRPr="004A5029">
        <w:rPr>
          <w:rFonts w:ascii="Times New Roman" w:hAnsi="Times New Roman" w:cs="Times New Roman"/>
          <w:color w:val="000000" w:themeColor="text1"/>
        </w:rPr>
        <w:t xml:space="preserve">. Eventuali ulteriori iscrizioni di </w:t>
      </w:r>
      <w:r w:rsidRPr="004A5029">
        <w:rPr>
          <w:rFonts w:ascii="Times New Roman" w:hAnsi="Times New Roman" w:cs="Times New Roman"/>
          <w:b/>
          <w:bCs/>
          <w:color w:val="000000" w:themeColor="text1"/>
        </w:rPr>
        <w:t xml:space="preserve">diritto </w:t>
      </w:r>
      <w:r w:rsidRPr="004A5029">
        <w:rPr>
          <w:rFonts w:ascii="Times New Roman" w:hAnsi="Times New Roman" w:cs="Times New Roman"/>
          <w:b/>
          <w:bCs/>
          <w:strike/>
          <w:color w:val="000000" w:themeColor="text1"/>
        </w:rPr>
        <w:t>potranno</w:t>
      </w:r>
      <w:r w:rsidRPr="004A5029">
        <w:rPr>
          <w:rFonts w:ascii="Times New Roman" w:hAnsi="Times New Roman" w:cs="Times New Roman"/>
          <w:b/>
          <w:bCs/>
          <w:color w:val="000000" w:themeColor="text1"/>
        </w:rPr>
        <w:t xml:space="preserve"> </w:t>
      </w:r>
      <w:r w:rsidR="005908D4" w:rsidRPr="004A5029">
        <w:rPr>
          <w:rFonts w:ascii="Times New Roman" w:hAnsi="Times New Roman" w:cs="Times New Roman"/>
          <w:b/>
          <w:bCs/>
          <w:color w:val="000000" w:themeColor="text1"/>
        </w:rPr>
        <w:t>possono</w:t>
      </w:r>
      <w:r w:rsidR="005908D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essere disposte con decreto del Presidente del Consiglio dei ministri, sentita l’ANAC, previa intesa in sede d</w:t>
      </w:r>
      <w:r w:rsidR="00945B63" w:rsidRPr="004A5029">
        <w:rPr>
          <w:rFonts w:ascii="Times New Roman" w:hAnsi="Times New Roman" w:cs="Times New Roman"/>
          <w:color w:val="000000" w:themeColor="text1"/>
        </w:rPr>
        <w:t>ella</w:t>
      </w:r>
      <w:r w:rsidRPr="004A5029">
        <w:rPr>
          <w:rFonts w:ascii="Times New Roman" w:hAnsi="Times New Roman" w:cs="Times New Roman"/>
          <w:color w:val="000000" w:themeColor="text1"/>
        </w:rPr>
        <w:t xml:space="preserve"> Conferenza unificata.</w:t>
      </w:r>
    </w:p>
    <w:p w14:paraId="13DA2E6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 qualificazione ha ad oggetto le attività che caratterizzano il processo di acquisizione di un bene, servizio o lavoro in relazione ai seguenti ambiti e riguarda:</w:t>
      </w:r>
    </w:p>
    <w:p w14:paraId="6ED1DB2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 capacità di progettazione tecnico-amministrativa delle procedure;</w:t>
      </w:r>
    </w:p>
    <w:p w14:paraId="6E5C4C2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 capacità di affidamento e controllo dell'intera procedura; </w:t>
      </w:r>
    </w:p>
    <w:p w14:paraId="051A532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la capacità di verifica sull'esecuzione contrattuale, ivi incluso il collaudo e la messa in opera.</w:t>
      </w:r>
    </w:p>
    <w:p w14:paraId="720434C5" w14:textId="462F5B2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Le </w:t>
      </w:r>
      <w:r w:rsidR="00381DDD" w:rsidRPr="004A5029">
        <w:rPr>
          <w:rFonts w:ascii="Times New Roman" w:hAnsi="Times New Roman" w:cs="Times New Roman"/>
          <w:b/>
          <w:bCs/>
          <w:color w:val="000000" w:themeColor="text1"/>
        </w:rPr>
        <w:t xml:space="preserve">stazioni appaltanti e le </w:t>
      </w:r>
      <w:r w:rsidRPr="004A5029">
        <w:rPr>
          <w:rFonts w:ascii="Times New Roman" w:hAnsi="Times New Roman" w:cs="Times New Roman"/>
          <w:color w:val="000000" w:themeColor="text1"/>
        </w:rPr>
        <w:t xml:space="preserve">centrali di committenza </w:t>
      </w:r>
      <w:r w:rsidRPr="004A5029">
        <w:rPr>
          <w:rFonts w:ascii="Times New Roman" w:hAnsi="Times New Roman" w:cs="Times New Roman"/>
          <w:b/>
          <w:bCs/>
          <w:strike/>
          <w:color w:val="000000" w:themeColor="text1"/>
        </w:rPr>
        <w:t>e i soggetti aggregatori</w:t>
      </w:r>
      <w:r w:rsidRPr="004A5029">
        <w:rPr>
          <w:rFonts w:ascii="Times New Roman" w:hAnsi="Times New Roman" w:cs="Times New Roman"/>
          <w:color w:val="000000" w:themeColor="text1"/>
        </w:rPr>
        <w:t xml:space="preserve"> possono essere qualificat</w:t>
      </w:r>
      <w:r w:rsidR="002A7DB5" w:rsidRPr="004A5029">
        <w:rPr>
          <w:rFonts w:ascii="Times New Roman" w:hAnsi="Times New Roman" w:cs="Times New Roman"/>
          <w:b/>
          <w:bCs/>
          <w:color w:val="000000" w:themeColor="text1"/>
        </w:rPr>
        <w:t>e</w:t>
      </w:r>
      <w:r w:rsidRPr="004A5029">
        <w:rPr>
          <w:rFonts w:ascii="Times New Roman" w:hAnsi="Times New Roman" w:cs="Times New Roman"/>
          <w:color w:val="000000" w:themeColor="text1"/>
        </w:rPr>
        <w:t xml:space="preserve"> anche solo per l’acquisizione di lavori oppure di servizi e forniture. Le </w:t>
      </w:r>
      <w:r w:rsidR="00381DDD" w:rsidRPr="004A5029">
        <w:rPr>
          <w:rFonts w:ascii="Times New Roman" w:hAnsi="Times New Roman" w:cs="Times New Roman"/>
          <w:b/>
          <w:bCs/>
          <w:color w:val="000000" w:themeColor="text1"/>
        </w:rPr>
        <w:t>stazioni appaltanti e le</w:t>
      </w:r>
      <w:r w:rsidR="00381DDD"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centrali di committenza </w:t>
      </w:r>
      <w:r w:rsidRPr="004A5029">
        <w:rPr>
          <w:rFonts w:ascii="Times New Roman" w:hAnsi="Times New Roman" w:cs="Times New Roman"/>
          <w:b/>
          <w:bCs/>
          <w:strike/>
          <w:color w:val="000000" w:themeColor="text1"/>
        </w:rPr>
        <w:t>e i soggetti aggregatori</w:t>
      </w:r>
      <w:r w:rsidRPr="004A5029">
        <w:rPr>
          <w:rFonts w:ascii="Times New Roman" w:hAnsi="Times New Roman" w:cs="Times New Roman"/>
          <w:color w:val="000000" w:themeColor="text1"/>
        </w:rPr>
        <w:t xml:space="preserve"> per svolgere attività di progettazione e affidamento devono essere qualificat</w:t>
      </w:r>
      <w:r w:rsidRPr="004A5029">
        <w:rPr>
          <w:rFonts w:ascii="Times New Roman" w:hAnsi="Times New Roman" w:cs="Times New Roman"/>
          <w:b/>
          <w:bCs/>
          <w:strike/>
          <w:color w:val="000000" w:themeColor="text1"/>
        </w:rPr>
        <w:t>i</w:t>
      </w:r>
      <w:r w:rsidR="00847A15" w:rsidRPr="004A5029">
        <w:rPr>
          <w:rFonts w:ascii="Times New Roman" w:hAnsi="Times New Roman" w:cs="Times New Roman"/>
          <w:b/>
          <w:bCs/>
          <w:color w:val="000000" w:themeColor="text1"/>
        </w:rPr>
        <w:t>e</w:t>
      </w:r>
      <w:r w:rsidRPr="004A5029">
        <w:rPr>
          <w:rFonts w:ascii="Times New Roman" w:hAnsi="Times New Roman" w:cs="Times New Roman"/>
          <w:color w:val="000000" w:themeColor="text1"/>
        </w:rPr>
        <w:t xml:space="preserve"> almeno nella seconda fascia. Ess</w:t>
      </w:r>
      <w:r w:rsidR="000C6B86" w:rsidRPr="004A5029">
        <w:rPr>
          <w:rFonts w:ascii="Times New Roman" w:hAnsi="Times New Roman" w:cs="Times New Roman"/>
          <w:b/>
          <w:bCs/>
          <w:strike/>
          <w:color w:val="000000" w:themeColor="text1"/>
        </w:rPr>
        <w:t>i</w:t>
      </w:r>
      <w:r w:rsidR="000C6B86" w:rsidRPr="004A5029">
        <w:rPr>
          <w:rFonts w:ascii="Times New Roman" w:hAnsi="Times New Roman" w:cs="Times New Roman"/>
          <w:b/>
          <w:bCs/>
          <w:color w:val="000000" w:themeColor="text1"/>
        </w:rPr>
        <w:t>e</w:t>
      </w:r>
      <w:r w:rsidRPr="004A5029">
        <w:rPr>
          <w:rFonts w:ascii="Times New Roman" w:hAnsi="Times New Roman" w:cs="Times New Roman"/>
          <w:color w:val="000000" w:themeColor="text1"/>
        </w:rPr>
        <w:t xml:space="preserve"> programmano la loro attività coordinandosi nel rispetto del principio di leale collaborazione.</w:t>
      </w:r>
    </w:p>
    <w:p w14:paraId="02817E0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7.</w:t>
      </w:r>
      <w:r w:rsidRPr="004A5029">
        <w:rPr>
          <w:rFonts w:ascii="Times New Roman" w:hAnsi="Times New Roman" w:cs="Times New Roman"/>
          <w:color w:val="000000" w:themeColor="text1"/>
        </w:rPr>
        <w:t xml:space="preserve"> I requisiti di qualificazione per la progettazione e l’affidamento sono disciplinati dall’allegato II.4 e attengono:</w:t>
      </w:r>
    </w:p>
    <w:p w14:paraId="0027F5F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all’organizzazione della funzione di spesa e ai processi;</w:t>
      </w:r>
    </w:p>
    <w:p w14:paraId="68A8729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alla consistenza, esperienza e competenza delle risorse umane, ivi incluso il sistema di reclutamento e la adeguata formazione del personale;</w:t>
      </w:r>
    </w:p>
    <w:p w14:paraId="45D577C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all’esperienza maturata nell’attività di progettazione, affidamento ed esecuzione di contratti, ivi compreso l’eventuale utilizzo di metodi e strumenti di gestione informativa delle costruzioni.</w:t>
      </w:r>
    </w:p>
    <w:p w14:paraId="613E42A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I requisiti di qualificazione per l’esecuzione sono indicati separatamente nell’allegato II.4, che dispone altresì una disciplina transitoria specifica relativa a tale fase. </w:t>
      </w:r>
      <w:r w:rsidRPr="004A5029">
        <w:rPr>
          <w:rFonts w:ascii="Times New Roman" w:eastAsia="Times New Roman" w:hAnsi="Times New Roman" w:cs="Times New Roman"/>
          <w:color w:val="000000" w:themeColor="text1"/>
        </w:rPr>
        <w:t>Con modifiche e integrazioni all’allegato II.4. possono essere disciplinati dall’ANAC specifici requisiti di qualificazione per i contratti di partenariato pubblico-privato.</w:t>
      </w:r>
    </w:p>
    <w:p w14:paraId="260874A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Le amministrazioni la cui organizzazione prevede articolazioni, anche territoriali, verificano la sussistenza dei requisiti di cui al comma 7 in capo alle medesime strutture e ne danno comunicazione all’ANAC per la qualificazione.</w:t>
      </w:r>
    </w:p>
    <w:p w14:paraId="098F881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In relazione al parametro di cui alla lettera b) del comma 7, la Scuola Nazionale dell'Amministrazione definisce i requisiti per l'accreditamento delle istituzioni pubbliche o private, senza finalità di lucro, che svolgono attività formative, procedendo alla verifica, anche a campione, della sussistenza dei requisiti stessi e provvede alle conseguenti attività di accreditamento nonché alla revoca dello stesso nei casi di accertata carenza dei requisiti.</w:t>
      </w:r>
    </w:p>
    <w:p w14:paraId="35742D18" w14:textId="4DF3FE8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11. In nessun caso i soggetti interessati possono comprovare il possesso dei requisiti di qualificazione ricorrendo ad artifizi tali da eluderne la funzione. L’ANAC, per accertati casi di gravi violazioni delle disposizioni di cui al presente </w:t>
      </w:r>
      <w:r w:rsidRPr="009C7A1A">
        <w:rPr>
          <w:rFonts w:ascii="Times New Roman" w:hAnsi="Times New Roman" w:cs="Times New Roman"/>
        </w:rPr>
        <w:t xml:space="preserve">articolo, può irrogare una sanzione </w:t>
      </w:r>
      <w:r w:rsidR="009C7A1A" w:rsidRPr="00BD54D8">
        <w:rPr>
          <w:rFonts w:ascii="Times New Roman" w:hAnsi="Times New Roman" w:cs="Times New Roman"/>
          <w:b/>
          <w:bCs/>
          <w:strike/>
        </w:rPr>
        <w:t>di</w:t>
      </w:r>
      <w:r w:rsidR="009C7A1A" w:rsidRPr="00BD54D8">
        <w:rPr>
          <w:rFonts w:ascii="Times New Roman" w:hAnsi="Times New Roman" w:cs="Times New Roman"/>
          <w:strike/>
        </w:rPr>
        <w:t xml:space="preserve"> </w:t>
      </w:r>
      <w:r w:rsidR="009C7A1A" w:rsidRPr="00BD54D8">
        <w:rPr>
          <w:rFonts w:ascii="Times New Roman" w:hAnsi="Times New Roman" w:cs="Times New Roman"/>
          <w:b/>
          <w:bCs/>
          <w:strike/>
        </w:rPr>
        <w:t>importo</w:t>
      </w:r>
      <w:r w:rsidR="009C7A1A" w:rsidRPr="00BD54D8">
        <w:rPr>
          <w:rFonts w:ascii="Times New Roman" w:hAnsi="Times New Roman" w:cs="Times New Roman"/>
        </w:rPr>
        <w:t xml:space="preserve"> </w:t>
      </w:r>
      <w:r w:rsidR="009C7A1A" w:rsidRPr="00BD54D8">
        <w:rPr>
          <w:rFonts w:ascii="Times New Roman" w:hAnsi="Times New Roman" w:cs="Times New Roman"/>
          <w:b/>
          <w:bCs/>
        </w:rPr>
        <w:t xml:space="preserve">entro il limite </w:t>
      </w:r>
      <w:r w:rsidR="009C7A1A" w:rsidRPr="00BD54D8">
        <w:rPr>
          <w:rFonts w:ascii="Times New Roman" w:hAnsi="Times New Roman" w:cs="Times New Roman"/>
        </w:rPr>
        <w:t xml:space="preserve">minimo </w:t>
      </w:r>
      <w:r w:rsidR="009C7A1A" w:rsidRPr="00BD54D8">
        <w:rPr>
          <w:rFonts w:ascii="Times New Roman" w:hAnsi="Times New Roman" w:cs="Times New Roman"/>
          <w:b/>
          <w:bCs/>
          <w:strike/>
        </w:rPr>
        <w:t>pari a</w:t>
      </w:r>
      <w:r w:rsidR="009C7A1A" w:rsidRPr="00BD54D8">
        <w:rPr>
          <w:rFonts w:ascii="Times New Roman" w:hAnsi="Times New Roman" w:cs="Times New Roman"/>
        </w:rPr>
        <w:t xml:space="preserve"> </w:t>
      </w:r>
      <w:r w:rsidR="009C7A1A" w:rsidRPr="00BD54D8">
        <w:rPr>
          <w:rFonts w:ascii="Times New Roman" w:hAnsi="Times New Roman" w:cs="Times New Roman"/>
          <w:b/>
          <w:bCs/>
        </w:rPr>
        <w:t>di</w:t>
      </w:r>
      <w:r w:rsidR="009C7A1A" w:rsidRPr="00BD54D8">
        <w:rPr>
          <w:rFonts w:ascii="Times New Roman" w:hAnsi="Times New Roman" w:cs="Times New Roman"/>
        </w:rPr>
        <w:t xml:space="preserve"> 500 euro e </w:t>
      </w:r>
      <w:r w:rsidR="009C7A1A" w:rsidRPr="00BD54D8">
        <w:rPr>
          <w:rFonts w:ascii="Times New Roman" w:hAnsi="Times New Roman" w:cs="Times New Roman"/>
          <w:b/>
          <w:bCs/>
          <w:strike/>
        </w:rPr>
        <w:t>di importo</w:t>
      </w:r>
      <w:r w:rsidR="009C7A1A" w:rsidRPr="00BD54D8">
        <w:rPr>
          <w:rFonts w:ascii="Times New Roman" w:hAnsi="Times New Roman" w:cs="Times New Roman"/>
        </w:rPr>
        <w:t xml:space="preserve"> </w:t>
      </w:r>
      <w:r w:rsidR="009C7A1A" w:rsidRPr="00BD54D8">
        <w:rPr>
          <w:rFonts w:ascii="Times New Roman" w:hAnsi="Times New Roman" w:cs="Times New Roman"/>
          <w:b/>
          <w:bCs/>
        </w:rPr>
        <w:t xml:space="preserve">il limite </w:t>
      </w:r>
      <w:r w:rsidR="009C7A1A" w:rsidRPr="00BD54D8">
        <w:rPr>
          <w:rFonts w:ascii="Times New Roman" w:hAnsi="Times New Roman" w:cs="Times New Roman"/>
        </w:rPr>
        <w:t>m</w:t>
      </w:r>
      <w:r w:rsidR="009C7A1A" w:rsidRPr="00BD54D8">
        <w:rPr>
          <w:rFonts w:ascii="Times New Roman" w:hAnsi="Times New Roman" w:cs="Times New Roman"/>
          <w:color w:val="000000" w:themeColor="text1"/>
        </w:rPr>
        <w:t>assimo</w:t>
      </w:r>
      <w:r w:rsidR="009C7A1A" w:rsidRPr="00BD54D8">
        <w:rPr>
          <w:rFonts w:ascii="Times New Roman" w:hAnsi="Times New Roman" w:cs="Times New Roman"/>
          <w:b/>
          <w:bCs/>
          <w:color w:val="000000" w:themeColor="text1"/>
        </w:rPr>
        <w:t xml:space="preserve"> </w:t>
      </w:r>
      <w:r w:rsidR="008042CC" w:rsidRPr="00BD54D8">
        <w:rPr>
          <w:rFonts w:ascii="Times New Roman" w:hAnsi="Times New Roman" w:cs="Times New Roman"/>
          <w:b/>
          <w:bCs/>
          <w:color w:val="000000" w:themeColor="text1"/>
        </w:rPr>
        <w:t>di</w:t>
      </w:r>
      <w:r w:rsidR="008042CC" w:rsidRPr="00BD54D8">
        <w:rPr>
          <w:rFonts w:ascii="Times New Roman" w:hAnsi="Times New Roman" w:cs="Times New Roman"/>
          <w:color w:val="000000" w:themeColor="text1"/>
        </w:rPr>
        <w:t xml:space="preserve"> </w:t>
      </w:r>
      <w:r w:rsidRPr="00BD54D8">
        <w:rPr>
          <w:rFonts w:ascii="Times New Roman" w:hAnsi="Times New Roman" w:cs="Times New Roman"/>
          <w:b/>
          <w:bCs/>
          <w:strike/>
          <w:color w:val="000000" w:themeColor="text1"/>
        </w:rPr>
        <w:t>pari a euro</w:t>
      </w:r>
      <w:r w:rsidR="00357E09" w:rsidRPr="00BD54D8">
        <w:rPr>
          <w:rFonts w:ascii="Times New Roman" w:hAnsi="Times New Roman" w:cs="Times New Roman"/>
          <w:b/>
          <w:bCs/>
          <w:strike/>
          <w:color w:val="000000" w:themeColor="text1"/>
        </w:rPr>
        <w:t xml:space="preserve"> 5 milioni</w:t>
      </w:r>
      <w:r w:rsidR="005B22E9" w:rsidRPr="00BD54D8">
        <w:rPr>
          <w:rFonts w:ascii="Times New Roman" w:hAnsi="Times New Roman" w:cs="Times New Roman"/>
          <w:b/>
          <w:bCs/>
          <w:color w:val="000000" w:themeColor="text1"/>
        </w:rPr>
        <w:t xml:space="preserve"> 1 milione</w:t>
      </w:r>
      <w:r w:rsidR="008042CC" w:rsidRPr="00BD54D8">
        <w:rPr>
          <w:rFonts w:ascii="Times New Roman" w:hAnsi="Times New Roman" w:cs="Times New Roman"/>
          <w:b/>
          <w:bCs/>
          <w:color w:val="000000" w:themeColor="text1"/>
        </w:rPr>
        <w:t xml:space="preserve"> di euro </w:t>
      </w:r>
      <w:r w:rsidR="008042CC" w:rsidRPr="00BD54D8">
        <w:rPr>
          <w:rFonts w:ascii="Times New Roman" w:hAnsi="Times New Roman" w:cs="Times New Roman"/>
          <w:color w:val="000000" w:themeColor="text1"/>
        </w:rPr>
        <w:t>e</w:t>
      </w:r>
      <w:r w:rsidRPr="00BD54D8">
        <w:rPr>
          <w:rFonts w:ascii="Times New Roman" w:hAnsi="Times New Roman" w:cs="Times New Roman"/>
          <w:color w:val="000000" w:themeColor="text1"/>
        </w:rPr>
        <w:t>, nei casi più gravi, disporre la sospensione della qualificazione precedentemente ottenuta. Costituiscono</w:t>
      </w:r>
      <w:r w:rsidRPr="004A5029">
        <w:rPr>
          <w:rFonts w:ascii="Times New Roman" w:hAnsi="Times New Roman" w:cs="Times New Roman"/>
          <w:color w:val="000000" w:themeColor="text1"/>
        </w:rPr>
        <w:t xml:space="preserve"> gravi violazioni le dichiarazioni dolosamente tese a dimostrare il possesso di requisiti di qualificazione non sussistenti, ivi comprese, in particolare:</w:t>
      </w:r>
    </w:p>
    <w:p w14:paraId="51677DA4" w14:textId="77777777" w:rsidR="00446F27" w:rsidRPr="004A5029" w:rsidRDefault="00446F27" w:rsidP="00446F27">
      <w:pPr>
        <w:pStyle w:val="Paragrafoelenco"/>
        <w:tabs>
          <w:tab w:val="left" w:pos="319"/>
        </w:tabs>
        <w:ind w:left="36"/>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 per le centrali di committenza, la dichiarata presenza di un’organizzazione stabile nella quale il personale continui di fatto a operare per l’amministrazione di provenienza;</w:t>
      </w:r>
    </w:p>
    <w:p w14:paraId="1B6EAA4C" w14:textId="77777777" w:rsidR="00446F27" w:rsidRPr="004A5029" w:rsidRDefault="00446F27" w:rsidP="00446F27">
      <w:pPr>
        <w:pStyle w:val="Paragrafoelenco"/>
        <w:tabs>
          <w:tab w:val="left" w:pos="319"/>
        </w:tabs>
        <w:ind w:left="36"/>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b) per le stazioni appaltanti e le centrali di committenza, la dichiarata presenza di personale addetto alla struttura organizzativa stabile, che sia di fatto impegnato in altre attività;</w:t>
      </w:r>
    </w:p>
    <w:p w14:paraId="22CA08BC" w14:textId="77777777" w:rsidR="00446F27" w:rsidRPr="004A5029" w:rsidRDefault="00446F27" w:rsidP="00446F27">
      <w:pPr>
        <w:pStyle w:val="Paragrafoelenco"/>
        <w:tabs>
          <w:tab w:val="left" w:pos="319"/>
        </w:tabs>
        <w:ind w:left="36"/>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c) la mancata comunicazione all’ANAC della perdita dei requisiti.</w:t>
      </w:r>
    </w:p>
    <w:p w14:paraId="5752C1A2"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color w:val="000000" w:themeColor="text1"/>
        </w:rPr>
        <w:t>12. Se la qualificazione viene meno o è sospesa, le procedure in corso sono comunque portate a compimento.</w:t>
      </w:r>
    </w:p>
    <w:p w14:paraId="66276982" w14:textId="776A3A7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13. L’ANAC stabilisce </w:t>
      </w:r>
      <w:r w:rsidR="005B22E9" w:rsidRPr="004A5029">
        <w:rPr>
          <w:rFonts w:ascii="Times New Roman" w:hAnsi="Times New Roman" w:cs="Times New Roman"/>
          <w:b/>
          <w:bCs/>
          <w:color w:val="000000" w:themeColor="text1"/>
        </w:rPr>
        <w:t xml:space="preserve">i requisiti e </w:t>
      </w:r>
      <w:r w:rsidRPr="004A5029">
        <w:rPr>
          <w:rFonts w:ascii="Times New Roman" w:hAnsi="Times New Roman" w:cs="Times New Roman"/>
          <w:color w:val="000000" w:themeColor="text1"/>
        </w:rPr>
        <w:t>le modalità attuative del sistema di qualificazione di cui all’allegato II.4, rilasciando la qualificazione medesima. L'ANAC</w:t>
      </w:r>
      <w:r w:rsidR="00381DDD" w:rsidRPr="004A5029">
        <w:rPr>
          <w:rFonts w:ascii="Times New Roman" w:hAnsi="Times New Roman" w:cs="Times New Roman"/>
          <w:color w:val="000000" w:themeColor="text1"/>
        </w:rPr>
        <w:t xml:space="preserve"> </w:t>
      </w:r>
      <w:r w:rsidR="00381DDD" w:rsidRPr="004A5029">
        <w:rPr>
          <w:rFonts w:ascii="Times New Roman" w:hAnsi="Times New Roman" w:cs="Times New Roman"/>
          <w:b/>
          <w:bCs/>
          <w:color w:val="000000" w:themeColor="text1"/>
        </w:rPr>
        <w:t>può stabilire ulteriori</w:t>
      </w:r>
      <w:r w:rsidRPr="004A5029">
        <w:rPr>
          <w:rFonts w:ascii="Times New Roman" w:hAnsi="Times New Roman" w:cs="Times New Roman"/>
          <w:color w:val="000000" w:themeColor="text1"/>
        </w:rPr>
        <w:t xml:space="preserve"> </w:t>
      </w:r>
      <w:r w:rsidRPr="004A5029">
        <w:rPr>
          <w:rFonts w:ascii="Times New Roman" w:hAnsi="Times New Roman" w:cs="Times New Roman"/>
          <w:b/>
          <w:bCs/>
          <w:strike/>
          <w:color w:val="000000" w:themeColor="text1"/>
        </w:rPr>
        <w:t>stabilisce, inoltre, i</w:t>
      </w:r>
      <w:r w:rsidRPr="004A5029">
        <w:rPr>
          <w:rFonts w:ascii="Times New Roman" w:hAnsi="Times New Roman" w:cs="Times New Roman"/>
          <w:color w:val="000000" w:themeColor="text1"/>
        </w:rPr>
        <w:t xml:space="preserve"> casi in cui può essere disposta la qualificazione con riserva, finalizzata a consentire alla stazione appaltante e alla centrale di committenza, anche per le attività ausiliarie, di acquisire la capacità tecnica ed organizzativa richiesta.</w:t>
      </w:r>
    </w:p>
    <w:p w14:paraId="69E2BB2B" w14:textId="77777777" w:rsidR="00446F27" w:rsidRPr="004A5029" w:rsidRDefault="00446F27" w:rsidP="00446F27">
      <w:pPr>
        <w:jc w:val="both"/>
        <w:rPr>
          <w:rFonts w:ascii="Times New Roman" w:hAnsi="Times New Roman" w:cs="Times New Roman"/>
          <w:b/>
          <w:color w:val="000000" w:themeColor="text1"/>
        </w:rPr>
      </w:pPr>
    </w:p>
    <w:p w14:paraId="28BB5DE4" w14:textId="77777777"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hAnsi="Times New Roman" w:cs="Times New Roman"/>
          <w:b/>
          <w:color w:val="000000" w:themeColor="text1"/>
        </w:rPr>
        <w:t>Articolo</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
          <w:color w:val="000000" w:themeColor="text1"/>
        </w:rPr>
        <w:t xml:space="preserve">64. </w:t>
      </w:r>
    </w:p>
    <w:p w14:paraId="2FD7A6F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
          <w:iCs/>
          <w:color w:val="000000" w:themeColor="text1"/>
        </w:rPr>
        <w:t xml:space="preserve">Appalti che coinvolgono stazioni appaltanti di Stati membri diversi. </w:t>
      </w:r>
    </w:p>
    <w:p w14:paraId="40957518"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 Le stazioni appaltanti possono rivolgersi a centrali di committenza ubicate in un altro Stato membro dell’Unione europea che svolgono la propria attività in conformità alle disposizioni nazionali dello Stato membro in cui sono ubicate.</w:t>
      </w:r>
    </w:p>
    <w:p w14:paraId="5BE5989F"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2. Amministrazioni ed enti di diversi Stati membri possono congiuntamente aggiudicare un appalto pubblico, concludere un accordo quadro o gestire un sistema dinamico di acquisizione tramite accordi che determinino: </w:t>
      </w:r>
    </w:p>
    <w:p w14:paraId="1DF5D000"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la disciplina nazionale applicabile;</w:t>
      </w:r>
    </w:p>
    <w:p w14:paraId="01CF144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le responsabilità delle parti;</w:t>
      </w:r>
    </w:p>
    <w:p w14:paraId="39857B54"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c) le modalità di gestione della procedura e i termini di stipulazione dei contratti e di esecuzione dei lavori, delle forniture o dei servizi.</w:t>
      </w:r>
    </w:p>
    <w:p w14:paraId="5D66903A" w14:textId="0F62AF9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3. Se più amministrazioni di diversi Stati membri hanno istituito un soggetto congiunto comprendendo i gruppi europei di cooperazione territoriale di cui al regolamento (CE) n. 1082/2006 del Parlamento europeo e del Consiglio, del 5 luglio 2006 o altri soggetti istituiti in base al diritto dell’Unione</w:t>
      </w:r>
      <w:r w:rsidR="00353AF9" w:rsidRPr="004A5029">
        <w:rPr>
          <w:rFonts w:ascii="Times New Roman" w:eastAsia="Calibri" w:hAnsi="Times New Roman" w:cs="Times New Roman"/>
          <w:color w:val="000000" w:themeColor="text1"/>
        </w:rPr>
        <w:t xml:space="preserve"> </w:t>
      </w:r>
      <w:r w:rsidR="00353AF9" w:rsidRPr="004A5029">
        <w:rPr>
          <w:rFonts w:ascii="Times New Roman" w:eastAsia="Calibri" w:hAnsi="Times New Roman" w:cs="Times New Roman"/>
          <w:b/>
          <w:bCs/>
          <w:color w:val="000000" w:themeColor="text1"/>
        </w:rPr>
        <w:t>europea</w:t>
      </w:r>
      <w:r w:rsidRPr="004A5029">
        <w:rPr>
          <w:rFonts w:ascii="Times New Roman" w:eastAsia="Calibri" w:hAnsi="Times New Roman" w:cs="Times New Roman"/>
          <w:color w:val="000000" w:themeColor="text1"/>
        </w:rPr>
        <w:t>, stabiliscono con apposito accordo che alle relative procedure di appalto si applichino, in alternativa:</w:t>
      </w:r>
    </w:p>
    <w:p w14:paraId="2336AE13"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le disposizioni nazionali dello Stato membro nel quale il soggetto congiunto ha la sua sede sociale;</w:t>
      </w:r>
    </w:p>
    <w:p w14:paraId="73BC76F7"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Times New Roman" w:hAnsi="Times New Roman" w:cs="Times New Roman"/>
          <w:color w:val="000000" w:themeColor="text1"/>
          <w:lang w:eastAsia="it-IT"/>
        </w:rPr>
        <w:t>b) le disposizioni nazionali dello Stato membro in cui il soggetto congiunto esercita le sue attività.</w:t>
      </w:r>
    </w:p>
    <w:p w14:paraId="3EBC8B51"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In base a quanto stabilito nell’atto costitutivo del soggetto congiunto, gli accordi del presente articolo possono applicarsi per un periodo indeterminato o a una generalità di appalti, oppure essere limitati a un periodo determinato, ad alcuni tipi di appalti o ad una o più aggiudicazioni di singoli appalti.</w:t>
      </w:r>
    </w:p>
    <w:p w14:paraId="6A7BB631" w14:textId="47C81029" w:rsidR="00B922F7" w:rsidRPr="004A5029" w:rsidRDefault="00B922F7" w:rsidP="00446F27">
      <w:pPr>
        <w:rPr>
          <w:rFonts w:ascii="Times New Roman" w:hAnsi="Times New Roman" w:cs="Times New Roman"/>
          <w:color w:val="000000" w:themeColor="text1"/>
        </w:rPr>
      </w:pPr>
    </w:p>
    <w:p w14:paraId="6120DC12" w14:textId="77777777" w:rsidR="00B922F7" w:rsidRPr="004A5029" w:rsidRDefault="00B922F7" w:rsidP="00446F27">
      <w:pPr>
        <w:rPr>
          <w:rFonts w:ascii="Times New Roman" w:hAnsi="Times New Roman" w:cs="Times New Roman"/>
          <w:color w:val="000000" w:themeColor="text1"/>
        </w:rPr>
      </w:pPr>
    </w:p>
    <w:p w14:paraId="4ED793ED" w14:textId="77777777" w:rsidR="00CE0BF3" w:rsidRDefault="00CE0BF3">
      <w:pPr>
        <w:rPr>
          <w:rFonts w:ascii="Times New Roman" w:hAnsi="Times New Roman" w:cs="Times New Roman"/>
          <w:b/>
          <w:color w:val="000000" w:themeColor="text1"/>
          <w:bdr w:val="none" w:sz="0" w:space="0" w:color="auto" w:frame="1"/>
        </w:rPr>
      </w:pPr>
      <w:r>
        <w:rPr>
          <w:rFonts w:ascii="Times New Roman" w:hAnsi="Times New Roman" w:cs="Times New Roman"/>
          <w:b/>
          <w:color w:val="000000" w:themeColor="text1"/>
          <w:bdr w:val="none" w:sz="0" w:space="0" w:color="auto" w:frame="1"/>
        </w:rPr>
        <w:br w:type="page"/>
      </w:r>
    </w:p>
    <w:p w14:paraId="14475EAC" w14:textId="2AC47C0C" w:rsidR="00446F27" w:rsidRPr="004A5029" w:rsidRDefault="00446F27" w:rsidP="00446F27">
      <w:pPr>
        <w:jc w:val="center"/>
        <w:rPr>
          <w:rFonts w:ascii="Times New Roman" w:hAnsi="Times New Roman" w:cs="Times New Roman"/>
          <w:b/>
          <w:color w:val="000000" w:themeColor="text1"/>
          <w:bdr w:val="none" w:sz="0" w:space="0" w:color="auto" w:frame="1"/>
        </w:rPr>
      </w:pPr>
      <w:r w:rsidRPr="004A5029">
        <w:rPr>
          <w:rFonts w:ascii="Times New Roman" w:hAnsi="Times New Roman" w:cs="Times New Roman"/>
          <w:b/>
          <w:color w:val="000000" w:themeColor="text1"/>
          <w:bdr w:val="none" w:sz="0" w:space="0" w:color="auto" w:frame="1"/>
        </w:rPr>
        <w:t>Titolo II</w:t>
      </w:r>
    </w:p>
    <w:p w14:paraId="2D0D887B" w14:textId="77777777" w:rsidR="00446F27" w:rsidRPr="004A5029" w:rsidRDefault="00446F27" w:rsidP="00446F27">
      <w:pPr>
        <w:jc w:val="center"/>
        <w:rPr>
          <w:rFonts w:ascii="Times New Roman" w:hAnsi="Times New Roman" w:cs="Times New Roman"/>
          <w:b/>
          <w:color w:val="000000" w:themeColor="text1"/>
          <w:bdr w:val="none" w:sz="0" w:space="0" w:color="auto" w:frame="1"/>
        </w:rPr>
      </w:pPr>
      <w:r w:rsidRPr="004A5029">
        <w:rPr>
          <w:rFonts w:ascii="Times New Roman" w:hAnsi="Times New Roman" w:cs="Times New Roman"/>
          <w:b/>
          <w:color w:val="000000" w:themeColor="text1"/>
          <w:bdr w:val="none" w:sz="0" w:space="0" w:color="auto" w:frame="1"/>
        </w:rPr>
        <w:t>Gli operatori economici</w:t>
      </w:r>
    </w:p>
    <w:p w14:paraId="0D142F6F" w14:textId="77777777" w:rsidR="00446F27" w:rsidRPr="004A5029" w:rsidRDefault="00446F27" w:rsidP="00446F27">
      <w:pPr>
        <w:jc w:val="both"/>
        <w:rPr>
          <w:rFonts w:ascii="Times New Roman" w:eastAsia="Calibri" w:hAnsi="Times New Roman" w:cs="Times New Roman"/>
          <w:color w:val="000000" w:themeColor="text1"/>
        </w:rPr>
      </w:pPr>
    </w:p>
    <w:p w14:paraId="748B7442" w14:textId="77777777"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eastAsia="Calibri" w:hAnsi="Times New Roman" w:cs="Times New Roman"/>
          <w:b/>
          <w:color w:val="000000" w:themeColor="text1"/>
        </w:rPr>
        <w:t>Articolo 65.</w:t>
      </w:r>
    </w:p>
    <w:p w14:paraId="5600F611"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Calibri" w:hAnsi="Times New Roman" w:cs="Times New Roman"/>
          <w:i/>
          <w:color w:val="000000" w:themeColor="text1"/>
        </w:rPr>
        <w:t xml:space="preserve">Operatori economici. </w:t>
      </w:r>
    </w:p>
    <w:p w14:paraId="609386F5" w14:textId="619A10D4"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Sono ammessi a partecipare alle procedure di affidamento dei contratti pubblici gli operatori economici di cui all’articolo 1, lettera l)</w:t>
      </w:r>
      <w:r w:rsidR="00F74DE8" w:rsidRPr="004A5029">
        <w:rPr>
          <w:rFonts w:ascii="Times New Roman" w:eastAsia="Times New Roman" w:hAnsi="Times New Roman" w:cs="Times New Roman"/>
          <w:color w:val="000000" w:themeColor="text1"/>
          <w:lang w:eastAsia="it-IT"/>
        </w:rPr>
        <w:t>,</w:t>
      </w:r>
      <w:r w:rsidRPr="004A5029">
        <w:rPr>
          <w:rFonts w:ascii="Times New Roman" w:eastAsia="Times New Roman" w:hAnsi="Times New Roman" w:cs="Times New Roman"/>
          <w:color w:val="000000" w:themeColor="text1"/>
          <w:lang w:eastAsia="it-IT"/>
        </w:rPr>
        <w:t xml:space="preserve"> dell’allegato I.1, nonché gli operatori economici stabiliti in altri Stati membri, costituiti conformemente alla legislazione vigente nei rispettivi Paesi.</w:t>
      </w:r>
    </w:p>
    <w:p w14:paraId="4FD5EB83" w14:textId="77777777" w:rsidR="00446F27" w:rsidRPr="004A5029" w:rsidRDefault="00446F27" w:rsidP="00446F27">
      <w:pPr>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Rientrano nella definizione di operatori economici:</w:t>
      </w:r>
    </w:p>
    <w:p w14:paraId="5CCB1EE2"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gli imprenditori individuali, anche artigiani, e le società, anche cooperative; </w:t>
      </w:r>
    </w:p>
    <w:p w14:paraId="152AB840" w14:textId="7536D17C"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i consorzi fra società cooperative di produzione e lavoro costituiti a norma della legge 25 giugno 1909, n. 422 e del decreto legislativo del Capo provvisorio dello Stato 14 dicembre 1947, n. 1577; </w:t>
      </w:r>
    </w:p>
    <w:p w14:paraId="54512900"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c) i consorzi tra imprese artigiane di cui alla legge 8 agosto 1985, n. 443; </w:t>
      </w:r>
    </w:p>
    <w:p w14:paraId="53A4E0AD"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d) i consorzi stabili, costituiti anche in forma di società consortili ai sensi dell'articolo 2615-</w:t>
      </w:r>
      <w:r w:rsidRPr="004A5029">
        <w:rPr>
          <w:rFonts w:ascii="Times New Roman" w:eastAsia="Times New Roman" w:hAnsi="Times New Roman" w:cs="Times New Roman"/>
          <w:i/>
          <w:color w:val="000000" w:themeColor="text1"/>
          <w:lang w:eastAsia="it-IT"/>
        </w:rPr>
        <w:t>ter</w:t>
      </w:r>
      <w:r w:rsidRPr="004A5029">
        <w:rPr>
          <w:rFonts w:ascii="Times New Roman" w:eastAsia="Times New Roman" w:hAnsi="Times New Roman" w:cs="Times New Roman"/>
          <w:color w:val="000000" w:themeColor="text1"/>
          <w:lang w:eastAsia="it-IT"/>
        </w:rPr>
        <w:t xml:space="preserve"> del codice civile, tra imprenditori individuali, anche artigiani, società commerciali, società cooperative di produzione e lavoro; i consorzi stabili sono formati da non meno di tre consorziati che, con decisione assunta dai rispettivi organi deliberativi, abbiano stabilito di operare in modo congiunto nel settore dei contratti pubblici di lavori, servizi e forniture per un periodo di tempo non inferiore a cinque anni, istituendo a tal fine una comune struttura di impresa;</w:t>
      </w:r>
    </w:p>
    <w:p w14:paraId="5D3B4010" w14:textId="18381013"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e)</w:t>
      </w:r>
      <w:r w:rsidRPr="004A5029">
        <w:rPr>
          <w:rFonts w:ascii="Times New Roman" w:eastAsia="Times New Roman" w:hAnsi="Times New Roman" w:cs="Times New Roman"/>
          <w:color w:val="000000" w:themeColor="text1"/>
          <w:lang w:eastAsia="it-IT"/>
        </w:rPr>
        <w:t xml:space="preserve"> i raggruppamenti temporanei di concorrenti, costituiti </w:t>
      </w:r>
      <w:r w:rsidRPr="004A5029">
        <w:rPr>
          <w:rFonts w:ascii="Times New Roman" w:eastAsia="Times New Roman" w:hAnsi="Times New Roman" w:cs="Times New Roman"/>
          <w:bCs/>
          <w:color w:val="000000" w:themeColor="text1"/>
          <w:lang w:eastAsia="it-IT"/>
        </w:rPr>
        <w:t xml:space="preserve">o costituendi </w:t>
      </w:r>
      <w:r w:rsidRPr="004A5029">
        <w:rPr>
          <w:rFonts w:ascii="Times New Roman" w:eastAsia="Times New Roman" w:hAnsi="Times New Roman" w:cs="Times New Roman"/>
          <w:color w:val="000000" w:themeColor="text1"/>
          <w:lang w:eastAsia="it-IT"/>
        </w:rPr>
        <w:t xml:space="preserve">dai soggetti di cui alle </w:t>
      </w:r>
      <w:bookmarkStart w:id="30" w:name="_Hlk123643537"/>
      <w:r w:rsidRPr="004A5029">
        <w:rPr>
          <w:rFonts w:ascii="Times New Roman" w:eastAsia="Times New Roman" w:hAnsi="Times New Roman" w:cs="Times New Roman"/>
          <w:color w:val="000000" w:themeColor="text1"/>
          <w:lang w:eastAsia="it-IT"/>
        </w:rPr>
        <w:t>lettere a), b)</w:t>
      </w:r>
      <w:r w:rsidR="00B96F1C" w:rsidRPr="004A5029">
        <w:rPr>
          <w:rFonts w:ascii="Times New Roman" w:eastAsia="Times New Roman" w:hAnsi="Times New Roman" w:cs="Times New Roman"/>
          <w:color w:val="000000" w:themeColor="text1"/>
          <w:lang w:eastAsia="it-IT"/>
        </w:rPr>
        <w:t>,</w:t>
      </w:r>
      <w:r w:rsidRPr="004A5029">
        <w:rPr>
          <w:rFonts w:ascii="Times New Roman" w:eastAsia="Times New Roman" w:hAnsi="Times New Roman" w:cs="Times New Roman"/>
          <w:color w:val="000000" w:themeColor="text1"/>
          <w:lang w:eastAsia="it-IT"/>
        </w:rPr>
        <w:t xml:space="preserve"> c)</w:t>
      </w:r>
      <w:r w:rsidR="00B96F1C" w:rsidRPr="004A5029">
        <w:rPr>
          <w:rFonts w:ascii="Times New Roman" w:eastAsia="Times New Roman" w:hAnsi="Times New Roman" w:cs="Times New Roman"/>
          <w:color w:val="000000" w:themeColor="text1"/>
          <w:lang w:eastAsia="it-IT"/>
        </w:rPr>
        <w:t xml:space="preserve"> e d)</w:t>
      </w:r>
      <w:r w:rsidRPr="004A5029">
        <w:rPr>
          <w:rFonts w:ascii="Times New Roman" w:eastAsia="Times New Roman" w:hAnsi="Times New Roman" w:cs="Times New Roman"/>
          <w:color w:val="000000" w:themeColor="text1"/>
          <w:lang w:eastAsia="it-IT"/>
        </w:rPr>
        <w:t xml:space="preserve">, </w:t>
      </w:r>
      <w:bookmarkEnd w:id="30"/>
      <w:r w:rsidRPr="004A5029">
        <w:rPr>
          <w:rFonts w:ascii="Times New Roman" w:eastAsia="Times New Roman" w:hAnsi="Times New Roman" w:cs="Times New Roman"/>
          <w:color w:val="000000" w:themeColor="text1"/>
          <w:lang w:eastAsia="it-IT"/>
        </w:rPr>
        <w:t xml:space="preserve">i quali, prima della presentazione dell'offerta, abbiano conferito mandato collettivo speciale con rappresentanza ad uno di essi, qualificato mandatario, il quale esprime l'offerta in nome e per conto proprio e dei mandanti; </w:t>
      </w:r>
    </w:p>
    <w:p w14:paraId="5BB77546" w14:textId="62CBEDC1"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f)</w:t>
      </w:r>
      <w:r w:rsidRPr="004A5029">
        <w:rPr>
          <w:rFonts w:ascii="Times New Roman" w:eastAsia="Times New Roman" w:hAnsi="Times New Roman" w:cs="Times New Roman"/>
          <w:color w:val="000000" w:themeColor="text1"/>
          <w:lang w:eastAsia="it-IT"/>
        </w:rPr>
        <w:t xml:space="preserve"> i consorzi ordinari di concorrenti di cui all'articolo 2602 del codice civile, costituiti</w:t>
      </w:r>
      <w:r w:rsidRPr="004A5029">
        <w:rPr>
          <w:rFonts w:ascii="Times New Roman" w:eastAsia="Times New Roman" w:hAnsi="Times New Roman" w:cs="Times New Roman"/>
          <w:bCs/>
          <w:color w:val="000000" w:themeColor="text1"/>
          <w:lang w:eastAsia="it-IT"/>
        </w:rPr>
        <w:t xml:space="preserve"> o costituendi </w:t>
      </w:r>
      <w:r w:rsidRPr="004A5029">
        <w:rPr>
          <w:rFonts w:ascii="Times New Roman" w:eastAsia="Times New Roman" w:hAnsi="Times New Roman" w:cs="Times New Roman"/>
          <w:color w:val="000000" w:themeColor="text1"/>
          <w:lang w:eastAsia="it-IT"/>
        </w:rPr>
        <w:t xml:space="preserve">tra i soggetti di cui alle lettere </w:t>
      </w:r>
      <w:r w:rsidR="00B96F1C" w:rsidRPr="004A5029">
        <w:rPr>
          <w:rFonts w:ascii="Times New Roman" w:eastAsia="Times New Roman" w:hAnsi="Times New Roman" w:cs="Times New Roman"/>
          <w:color w:val="000000" w:themeColor="text1"/>
          <w:lang w:eastAsia="it-IT"/>
        </w:rPr>
        <w:t>a), b), c) e d)</w:t>
      </w:r>
      <w:r w:rsidRPr="004A5029">
        <w:rPr>
          <w:rFonts w:ascii="Times New Roman" w:eastAsia="Times New Roman" w:hAnsi="Times New Roman" w:cs="Times New Roman"/>
          <w:color w:val="000000" w:themeColor="text1"/>
          <w:lang w:eastAsia="it-IT"/>
        </w:rPr>
        <w:t xml:space="preserve"> del presente comma, anche in forma di società ai sensi dell'articolo 2615-</w:t>
      </w:r>
      <w:r w:rsidRPr="004A5029">
        <w:rPr>
          <w:rFonts w:ascii="Times New Roman" w:eastAsia="Times New Roman" w:hAnsi="Times New Roman" w:cs="Times New Roman"/>
          <w:i/>
          <w:iCs/>
          <w:color w:val="000000" w:themeColor="text1"/>
          <w:lang w:eastAsia="it-IT"/>
        </w:rPr>
        <w:t>ter</w:t>
      </w:r>
      <w:r w:rsidRPr="004A5029">
        <w:rPr>
          <w:rFonts w:ascii="Times New Roman" w:eastAsia="Times New Roman" w:hAnsi="Times New Roman" w:cs="Times New Roman"/>
          <w:color w:val="000000" w:themeColor="text1"/>
          <w:lang w:eastAsia="it-IT"/>
        </w:rPr>
        <w:t xml:space="preserve"> del codice civile; </w:t>
      </w:r>
    </w:p>
    <w:p w14:paraId="0AF4AA5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g)</w:t>
      </w:r>
      <w:r w:rsidRPr="004A5029">
        <w:rPr>
          <w:rFonts w:ascii="Times New Roman" w:eastAsia="Times New Roman" w:hAnsi="Times New Roman" w:cs="Times New Roman"/>
          <w:color w:val="000000" w:themeColor="text1"/>
          <w:lang w:eastAsia="it-IT"/>
        </w:rPr>
        <w:t xml:space="preserve"> le aggregazioni tra le imprese aderenti al contratto di rete ai sensi dell'articolo 3, comma 4-</w:t>
      </w:r>
      <w:r w:rsidRPr="004A5029">
        <w:rPr>
          <w:rFonts w:ascii="Times New Roman" w:eastAsia="Times New Roman" w:hAnsi="Times New Roman" w:cs="Times New Roman"/>
          <w:i/>
          <w:color w:val="000000" w:themeColor="text1"/>
          <w:lang w:eastAsia="it-IT"/>
        </w:rPr>
        <w:t>ter</w:t>
      </w:r>
      <w:r w:rsidRPr="004A5029">
        <w:rPr>
          <w:rFonts w:ascii="Times New Roman" w:eastAsia="Times New Roman" w:hAnsi="Times New Roman" w:cs="Times New Roman"/>
          <w:color w:val="000000" w:themeColor="text1"/>
          <w:lang w:eastAsia="it-IT"/>
        </w:rPr>
        <w:t xml:space="preserve">, del decreto-legge 10 febbraio 2009, n. 5, convertito, con modificazioni, dalla legge 9 aprile 2009, n. 33; </w:t>
      </w:r>
    </w:p>
    <w:p w14:paraId="3658752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h) i soggetti che abbiano stipulato il contratto di gruppo europeo di interesse economico (GEIE) ai sensi del decreto legislativo 23 luglio 1991, n. 240.</w:t>
      </w:r>
    </w:p>
    <w:p w14:paraId="1C290A74" w14:textId="77777777" w:rsidR="00446F27" w:rsidRPr="004A5029" w:rsidRDefault="00446F27" w:rsidP="00446F27">
      <w:pPr>
        <w:jc w:val="both"/>
        <w:rPr>
          <w:rFonts w:ascii="Times New Roman" w:eastAsia="Times New Roman" w:hAnsi="Times New Roman" w:cs="Times New Roman"/>
          <w:strike/>
          <w:color w:val="000000" w:themeColor="text1"/>
          <w:highlight w:val="yellow"/>
          <w:lang w:eastAsia="it-IT"/>
        </w:rPr>
      </w:pPr>
      <w:r w:rsidRPr="004A5029">
        <w:rPr>
          <w:rFonts w:ascii="Times New Roman" w:eastAsia="Times New Roman" w:hAnsi="Times New Roman" w:cs="Times New Roman"/>
          <w:color w:val="000000" w:themeColor="text1"/>
          <w:lang w:eastAsia="it-IT"/>
        </w:rPr>
        <w:t>3. Le stazioni appaltanti possono imporre alle persone giuridiche di indicare, nell'offerta o nella domanda di partecipazione a procedure per l’affidamento di appalti che comportino esecuzione di servizi o lavori nonché di forniture che comportano anche servizi o lavori di posa in opera e di installazione, il nome e le qualifiche professionali delle persone fisiche incaricate di fornire la prestazione e possono esigere che taluni compiti essenziali siano direttamente svolti dall'offerente.</w:t>
      </w:r>
    </w:p>
    <w:p w14:paraId="4475AD14" w14:textId="77777777" w:rsidR="00446F27" w:rsidRPr="004A5029" w:rsidRDefault="00446F27" w:rsidP="00446F27">
      <w:pPr>
        <w:jc w:val="both"/>
        <w:rPr>
          <w:rFonts w:ascii="Times New Roman" w:eastAsia="Times New Roman" w:hAnsi="Times New Roman" w:cs="Times New Roman"/>
          <w:i/>
          <w:color w:val="000000" w:themeColor="text1"/>
          <w:lang w:eastAsia="it-IT"/>
        </w:rPr>
      </w:pPr>
    </w:p>
    <w:p w14:paraId="62C6571D" w14:textId="77777777"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eastAsia="Calibri" w:hAnsi="Times New Roman" w:cs="Times New Roman"/>
          <w:b/>
          <w:color w:val="000000" w:themeColor="text1"/>
        </w:rPr>
        <w:t>Articolo 66.</w:t>
      </w:r>
    </w:p>
    <w:p w14:paraId="2DD785E1"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
          <w:color w:val="000000" w:themeColor="text1"/>
          <w:lang w:eastAsia="it-IT"/>
        </w:rPr>
        <w:t>Operatori economici per l’affidamento dei servizi di architettura e di ingegneria.</w:t>
      </w:r>
    </w:p>
    <w:p w14:paraId="1F39B726"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Sono ammessi a partecipare alle procedure di affidamento dei servizi attinenti all'architettura e all'ingegneria nel rispetto del principio di non discriminazione fra i diversi soggetti sulla base della forma giuridica assunta:</w:t>
      </w:r>
    </w:p>
    <w:p w14:paraId="5EA816B2"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i prestatori di servizi di ingegneria e architettura: i professionisti singoli, associati, le società tra professionisti di cui alla lettera b), le società di ingegneria di cui alla lettera c), i consorzi, i GEIE, i raggruppamenti temporanei fra i predetti soggetti che rendono a committenti pubblici e privati, operando sul mercato, servizi di ingegneria e di architettura, nonché attività tecnico-amministrative e studi di fattibilità economico-finanziaria ad esse connesse, ivi compresi, con riferimento agli interventi inerenti al restauro e alla manutenzione di beni mobili e delle superfici decorate di beni architettonici, i soggetti con qualifica di restauratore di beni culturali ai sensi della vigente normativa, gli archeologi professionisti, singoli e associati, e le società da essi costituite; </w:t>
      </w:r>
    </w:p>
    <w:p w14:paraId="4062F155"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le società di professionisti: le società costituite esclusivamente tra professionisti iscritti negli appositi albi previsti dai vigenti ordinamenti professionali, nelle forme delle società di persone di cui ai Capi II, III e IV del Titolo V del Libro V del codice civile, oppure nella forma di società cooperativa di cui al Capo I del Titolo VI del Libro V del codice civile, che svolgono per committenti privati e pubblici servizi di ingegneria e architettura quali studi di fattibilità, ricerche, consulenze, progettazioni o direzioni dei lavori, valutazioni di congruità tecnico economica o studi di impatto ambientale; </w:t>
      </w:r>
    </w:p>
    <w:p w14:paraId="20A19AC7"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c) società di ingegneria: le società di capitali di cui ai Capi V, VI e VII del Titolo V del Libro V del codice civile, oppure nella forma di società cooperative di cui al Capo I del Titolo VI del Libro V del codice civile che non abbiano i requisiti delle società tra professionisti, che eseguono studi di fattibilità, ricerche, consulenze, progettazioni o direzioni dei lavori, valutazioni di congruità tecnico-economica o studi di impatto, nonché eventuali attività di produzione di beni connesse allo svolgimento di detti servizi; </w:t>
      </w:r>
    </w:p>
    <w:p w14:paraId="3C9FBB76"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d) i prestatori di servizi di ingegneria e architettura identificati con i codici CPV da 74200000-1 a 74276400-8 e da 74310000-5 a 74323100-0 e 74874000-6 stabiliti in altri Stati membri, costituiti conformemente alla legislazione vigente nei rispettivi Paesi; </w:t>
      </w:r>
    </w:p>
    <w:p w14:paraId="1436586F"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e) altri soggetti abilitati in forza del diritto nazionale a offrire sul mercato servizi di ingegneria e di architettura, nel rispetto dei princìpi di non discriminazione e </w:t>
      </w:r>
      <w:r w:rsidRPr="004A5029">
        <w:rPr>
          <w:rFonts w:ascii="Times New Roman" w:eastAsia="Times New Roman" w:hAnsi="Times New Roman" w:cs="Times New Roman"/>
          <w:i/>
          <w:color w:val="000000" w:themeColor="text1"/>
          <w:lang w:eastAsia="it-IT"/>
        </w:rPr>
        <w:t>par condicio</w:t>
      </w:r>
      <w:r w:rsidRPr="004A5029">
        <w:rPr>
          <w:rFonts w:ascii="Times New Roman" w:eastAsia="Times New Roman" w:hAnsi="Times New Roman" w:cs="Times New Roman"/>
          <w:color w:val="000000" w:themeColor="text1"/>
          <w:lang w:eastAsia="it-IT"/>
        </w:rPr>
        <w:t xml:space="preserve"> fra i diversi soggetti abilitati; </w:t>
      </w:r>
    </w:p>
    <w:p w14:paraId="19F43583" w14:textId="77777777" w:rsidR="00446F27" w:rsidRPr="004A5029" w:rsidDel="00B8619A"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f) i raggruppamenti temporanei costituiti dai soggetti di cui alle lettere da a) a e);</w:t>
      </w:r>
    </w:p>
    <w:p w14:paraId="2DE1E551"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g) i consorzi stabili di società di professionisti e di società di ingegneria, anche in forma mista, formati da non meno di tre consorziati che abbiano operato nei settori dei servizi di ingegneria e architettura.</w:t>
      </w:r>
    </w:p>
    <w:p w14:paraId="0AF5EA02"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Per la partecipazione alle procedure di affidamento di cui al comma 1 </w:t>
      </w:r>
      <w:r w:rsidRPr="004A5029">
        <w:rPr>
          <w:rFonts w:ascii="Times New Roman" w:eastAsia="Times New Roman" w:hAnsi="Times New Roman" w:cs="Times New Roman"/>
          <w:color w:val="000000" w:themeColor="text1"/>
        </w:rPr>
        <w:t>i soggetti ivi indicati devono possedere i requisiti minimi stabiliti nella Parte V dell’allegato II.12. L</w:t>
      </w:r>
      <w:r w:rsidRPr="004A5029">
        <w:rPr>
          <w:rFonts w:ascii="Times New Roman" w:eastAsia="Times New Roman" w:hAnsi="Times New Roman" w:cs="Times New Roman"/>
          <w:color w:val="000000" w:themeColor="text1"/>
          <w:lang w:eastAsia="it-IT"/>
        </w:rPr>
        <w:t>e società, per un periodo di cinque anni dalla loro costituzione, possono documentare il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nonché dei soggetti di cui alla lettera e) del comma 1, i cui requisiti minimi sono stabiliti nel predetto allegato.</w:t>
      </w:r>
    </w:p>
    <w:p w14:paraId="120C4E94" w14:textId="77777777" w:rsidR="00446F27" w:rsidRPr="004A5029" w:rsidRDefault="00446F27" w:rsidP="00446F27">
      <w:pPr>
        <w:jc w:val="both"/>
        <w:rPr>
          <w:rFonts w:ascii="Times New Roman" w:eastAsia="Times New Roman" w:hAnsi="Times New Roman" w:cs="Times New Roman"/>
          <w:color w:val="000000" w:themeColor="text1"/>
          <w:lang w:eastAsia="it-IT"/>
        </w:rPr>
      </w:pPr>
    </w:p>
    <w:p w14:paraId="6DBB3CDB" w14:textId="77777777" w:rsidR="00C62766" w:rsidRPr="004A5029" w:rsidRDefault="00C62766" w:rsidP="00C62766">
      <w:pPr>
        <w:jc w:val="both"/>
        <w:rPr>
          <w:rFonts w:ascii="Times New Roman" w:eastAsia="Calibri" w:hAnsi="Times New Roman" w:cs="Times New Roman"/>
          <w:b/>
          <w:color w:val="000000" w:themeColor="text1"/>
        </w:rPr>
      </w:pPr>
      <w:r w:rsidRPr="004A5029">
        <w:rPr>
          <w:rFonts w:ascii="Times New Roman" w:eastAsia="Calibri" w:hAnsi="Times New Roman" w:cs="Times New Roman"/>
          <w:b/>
          <w:color w:val="000000" w:themeColor="text1"/>
        </w:rPr>
        <w:t>Articolo 67.</w:t>
      </w:r>
    </w:p>
    <w:p w14:paraId="431A8B7B" w14:textId="77777777" w:rsidR="00C62766" w:rsidRPr="004A5029" w:rsidRDefault="00C62766" w:rsidP="00C62766">
      <w:pPr>
        <w:jc w:val="both"/>
        <w:rPr>
          <w:rFonts w:ascii="Times New Roman" w:eastAsia="Calibri" w:hAnsi="Times New Roman" w:cs="Times New Roman"/>
          <w:i/>
          <w:iCs/>
          <w:color w:val="000000" w:themeColor="text1"/>
        </w:rPr>
      </w:pPr>
      <w:r w:rsidRPr="004A5029">
        <w:rPr>
          <w:rFonts w:ascii="Times New Roman" w:eastAsia="Calibri" w:hAnsi="Times New Roman" w:cs="Times New Roman"/>
          <w:i/>
          <w:iCs/>
          <w:color w:val="000000" w:themeColor="text1"/>
        </w:rPr>
        <w:t>Consorzi non necessari.</w:t>
      </w:r>
    </w:p>
    <w:p w14:paraId="6C65B324" w14:textId="4C4A1AB4" w:rsidR="00C62766" w:rsidRPr="004A5029" w:rsidRDefault="00C62766" w:rsidP="00C62766">
      <w:pPr>
        <w:jc w:val="both"/>
        <w:rPr>
          <w:rFonts w:ascii="Times New Roman" w:eastAsia="Times New Roman" w:hAnsi="Times New Roman" w:cs="Times New Roman"/>
          <w:strike/>
          <w:color w:val="000000" w:themeColor="text1"/>
          <w:lang w:eastAsia="it-IT"/>
        </w:rPr>
      </w:pPr>
      <w:r w:rsidRPr="004A5029">
        <w:rPr>
          <w:rFonts w:ascii="Times New Roman" w:hAnsi="Times New Roman" w:cs="Times New Roman"/>
          <w:color w:val="000000" w:themeColor="text1"/>
        </w:rPr>
        <w:t xml:space="preserve">1. I requisiti di capacità tecnica e finanziaria per l’ammissione alle procedure di affidamento dei soggetti di cui agli articoli 65, comma 2, lettere </w:t>
      </w:r>
      <w:r w:rsidRPr="004A5029">
        <w:rPr>
          <w:rFonts w:ascii="Times New Roman" w:hAnsi="Times New Roman" w:cs="Times New Roman"/>
          <w:b/>
          <w:bCs/>
          <w:color w:val="000000" w:themeColor="text1"/>
        </w:rPr>
        <w:t>b),</w:t>
      </w:r>
      <w:r w:rsidRPr="004A5029">
        <w:rPr>
          <w:rFonts w:ascii="Times New Roman" w:hAnsi="Times New Roman" w:cs="Times New Roman"/>
          <w:color w:val="000000" w:themeColor="text1"/>
        </w:rPr>
        <w:t xml:space="preserve"> c) e d), e 66, comma 1, lettera g), sono disciplinati dal regolamento di cui all’articolo 100, comma 4.</w:t>
      </w:r>
    </w:p>
    <w:p w14:paraId="14965488" w14:textId="77777777" w:rsidR="00C62766" w:rsidRPr="004A5029" w:rsidRDefault="00C62766" w:rsidP="00C6276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2. L’allegato II.12 disciplina, nelle more dell’adozione del regolamento di cui all’articolo 100, comma 4, la qualificazione degli operatori economici, fermo restando che:</w:t>
      </w:r>
    </w:p>
    <w:p w14:paraId="6635A0F9" w14:textId="77777777" w:rsidR="00C62766" w:rsidRPr="004A5029" w:rsidRDefault="00C62766" w:rsidP="00C62766">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per gli appalti di servizi e forniture</w:t>
      </w:r>
      <w:r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i requisiti di capacità tecnica e finanziaria sono computati cumulativamente in capo al consorzio ancorché posseduti dalle singole imprese consorziate;</w:t>
      </w:r>
    </w:p>
    <w:p w14:paraId="326D59CF" w14:textId="77777777" w:rsidR="00C62766" w:rsidRPr="004A5029" w:rsidRDefault="00C62766" w:rsidP="00C62766">
      <w:pPr>
        <w:jc w:val="both"/>
        <w:rPr>
          <w:rFonts w:ascii="Times New Roman" w:eastAsia="Times New Roman" w:hAnsi="Times New Roman" w:cs="Times New Roman"/>
          <w:b/>
          <w:bCs/>
          <w:strike/>
          <w:color w:val="000000" w:themeColor="text1"/>
          <w:lang w:eastAsia="it-IT"/>
        </w:rPr>
      </w:pPr>
      <w:r w:rsidRPr="004A5029">
        <w:rPr>
          <w:rFonts w:ascii="Times New Roman" w:hAnsi="Times New Roman" w:cs="Times New Roman"/>
          <w:color w:val="000000" w:themeColor="text1"/>
        </w:rPr>
        <w:t xml:space="preserve">b) per gli appalti di lavori, i requisiti di capacità tecnica e finanziaria per l'ammissione alle procedure di affidamento sono posseduti e comprovati dagli stessi sulla base delle qualificazioni possedute dalle singole imprese consorziate. </w:t>
      </w:r>
      <w:r w:rsidRPr="004A5029">
        <w:rPr>
          <w:rFonts w:ascii="Times New Roman" w:hAnsi="Times New Roman" w:cs="Times New Roman"/>
          <w:b/>
          <w:bCs/>
          <w:strike/>
          <w:color w:val="000000" w:themeColor="text1"/>
        </w:rPr>
        <w:t>Per i lavori, la qualificazione è acquisita con riferimento a una determinata categoria di opere generali o specialistiche per la classifica corrispondente alla somma di quelle possedute dalle imprese consorziate. Per la qualificazione alla classifica di importo illimitato è in ogni caso necessario che almeno una tra le imprese consorziate già possieda tale qualificazione ovvero che tra le imprese consorziate ve ne siano almeno una con qualificazione per classifica VII e almeno due con classifica V o superiore, ovvero che tra le imprese consorziate ve ne siano almeno tre con qualificazione per classifica VI. Per la qualificazione per prestazioni di progettazione e costruzione, nonché per la fruizione dei meccanismi premiali di cui all'articolo 106, comma 8, è in ogni caso sufficiente che i corrispondenti requisiti siano posseduti da almeno una delle imprese consorziate. Qualora la somma delle classifiche delle imprese consorziate non coincida con una delle classifiche di cui</w:t>
      </w:r>
      <w:r w:rsidRPr="004A5029">
        <w:rPr>
          <w:rFonts w:ascii="Times New Roman" w:eastAsia="Times New Roman" w:hAnsi="Times New Roman" w:cs="Times New Roman"/>
          <w:b/>
          <w:bCs/>
          <w:strike/>
          <w:color w:val="000000" w:themeColor="text1"/>
        </w:rPr>
        <w:t xml:space="preserve"> all’allegato II.12, </w:t>
      </w:r>
      <w:r w:rsidRPr="004A5029">
        <w:rPr>
          <w:rFonts w:ascii="Times New Roman" w:hAnsi="Times New Roman" w:cs="Times New Roman"/>
          <w:b/>
          <w:bCs/>
          <w:strike/>
          <w:color w:val="000000" w:themeColor="text1"/>
        </w:rPr>
        <w:t>la qualificazione è acquisita nella classifica immediatamente inferiore o in quella immediatamente superiore alla somma delle classifiche possedute dalle imprese consorziate, a seconda che tale somma si collochi rispettivamente al di sotto, ovvero al di sopra o alla pari della metà dell'intervallo tra le due classifiche. Gli atti adottati dall’ANAC restano efficaci fino alla data di entrata in vigore del regolamento di cui al comma 2</w:t>
      </w:r>
      <w:r w:rsidRPr="004A5029">
        <w:rPr>
          <w:rFonts w:ascii="Times New Roman" w:eastAsia="Calibri" w:hAnsi="Times New Roman" w:cs="Times New Roman"/>
          <w:b/>
          <w:bCs/>
          <w:strike/>
          <w:color w:val="000000" w:themeColor="text1"/>
        </w:rPr>
        <w:t>.</w:t>
      </w:r>
    </w:p>
    <w:p w14:paraId="281B1C83" w14:textId="21D11F04" w:rsidR="00C62766" w:rsidRPr="004A5029" w:rsidRDefault="00C62766" w:rsidP="00C62766">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3. </w:t>
      </w:r>
      <w:r w:rsidRPr="004A5029">
        <w:rPr>
          <w:rFonts w:ascii="Times New Roman" w:eastAsia="Times New Roman" w:hAnsi="Times New Roman" w:cs="Times New Roman"/>
          <w:color w:val="000000" w:themeColor="text1"/>
          <w:lang w:eastAsia="it-IT"/>
        </w:rPr>
        <w:t xml:space="preserve">Per gli operatori di cui agli </w:t>
      </w:r>
      <w:r w:rsidRPr="004A5029">
        <w:rPr>
          <w:rFonts w:ascii="Times New Roman" w:hAnsi="Times New Roman" w:cs="Times New Roman"/>
          <w:color w:val="000000" w:themeColor="text1"/>
        </w:rPr>
        <w:t xml:space="preserve">articoli 65, comma 2, lettere c) e d) e 66, comma 1, lettera g), </w:t>
      </w:r>
      <w:r w:rsidRPr="004A5029">
        <w:rPr>
          <w:rFonts w:ascii="Times New Roman" w:eastAsia="Times New Roman" w:hAnsi="Times New Roman" w:cs="Times New Roman"/>
          <w:color w:val="000000" w:themeColor="text1"/>
          <w:lang w:eastAsia="it-IT"/>
        </w:rPr>
        <w:t>i requisiti generali di cui agli articoli 94 e 95 sono posseduti sia dalle consorziate esecutrici che dalle consorziate che prestano i requisiti. Le autorizzazioni e gli altri titoli abilitativi per la partecipazione alla procedura di aggiudicazione ai sensi del comma 3 dell’articolo 100 sono posseduti, in caso di lavori o di servizi, dal consorziato esecutore.</w:t>
      </w:r>
    </w:p>
    <w:p w14:paraId="33219DEA" w14:textId="2B3C550A" w:rsidR="00C62766" w:rsidRPr="004A5029" w:rsidRDefault="00C62766" w:rsidP="00C62766">
      <w:pPr>
        <w:jc w:val="both"/>
        <w:rPr>
          <w:rFonts w:ascii="Times New Roman" w:eastAsia="Times New Roman" w:hAnsi="Times New Roman" w:cs="Times New Roman"/>
          <w:bCs/>
          <w:color w:val="000000" w:themeColor="text1"/>
          <w:highlight w:val="red"/>
          <w:lang w:eastAsia="it-IT"/>
        </w:rPr>
      </w:pPr>
      <w:r w:rsidRPr="004A5029">
        <w:rPr>
          <w:rFonts w:ascii="Times New Roman" w:eastAsia="Times New Roman" w:hAnsi="Times New Roman" w:cs="Times New Roman"/>
          <w:bCs/>
          <w:color w:val="000000" w:themeColor="text1"/>
          <w:lang w:eastAsia="it-IT"/>
        </w:rPr>
        <w:t xml:space="preserve">4. </w:t>
      </w:r>
      <w:r w:rsidRPr="004A5029">
        <w:rPr>
          <w:rFonts w:ascii="Times New Roman" w:eastAsia="Times New Roman" w:hAnsi="Times New Roman" w:cs="Times New Roman"/>
          <w:color w:val="000000" w:themeColor="text1"/>
          <w:lang w:eastAsia="it-IT"/>
        </w:rPr>
        <w:t xml:space="preserve">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w:t>
      </w:r>
      <w:r w:rsidR="009803AF" w:rsidRPr="00E1106A">
        <w:rPr>
          <w:rFonts w:ascii="Times New Roman" w:eastAsia="Times New Roman" w:hAnsi="Times New Roman" w:cs="Times New Roman"/>
          <w:lang w:eastAsia="it-IT"/>
        </w:rPr>
        <w:t>lettere</w:t>
      </w:r>
      <w:r w:rsidR="009803AF" w:rsidRPr="00E1106A">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c) e d)</w:t>
      </w:r>
      <w:r w:rsidRPr="004A5029">
        <w:rPr>
          <w:rFonts w:ascii="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lang w:eastAsia="it-IT"/>
        </w:rPr>
        <w:t>e 66</w:t>
      </w:r>
      <w:r w:rsidRPr="004A5029">
        <w:rPr>
          <w:rFonts w:ascii="Times New Roman" w:eastAsia="Times New Roman" w:hAnsi="Times New Roman" w:cs="Times New Roman"/>
          <w:b/>
          <w:bCs/>
          <w:color w:val="000000" w:themeColor="text1"/>
          <w:lang w:eastAsia="it-IT"/>
        </w:rPr>
        <w:t>,</w:t>
      </w:r>
      <w:r w:rsidRPr="004A5029">
        <w:rPr>
          <w:rFonts w:ascii="Times New Roman" w:eastAsia="Times New Roman" w:hAnsi="Times New Roman" w:cs="Times New Roman"/>
          <w:color w:val="000000" w:themeColor="text1"/>
          <w:lang w:eastAsia="it-IT"/>
        </w:rPr>
        <w:t xml:space="preserve"> comma 1, lettera g), indicano in sede di offerta per quali consorziati il consorzio concorre.</w:t>
      </w:r>
      <w:r w:rsidRPr="004A5029">
        <w:rPr>
          <w:rFonts w:ascii="Times New Roman" w:eastAsia="Times New Roman" w:hAnsi="Times New Roman" w:cs="Times New Roman"/>
          <w:bCs/>
          <w:color w:val="000000" w:themeColor="text1"/>
          <w:lang w:eastAsia="it-IT"/>
        </w:rPr>
        <w:t xml:space="preserve"> Qualora il consorziato designato sia, a sua volta, un consorzio di cui all'articolo 65, comma 2, </w:t>
      </w:r>
      <w:r w:rsidRPr="00B318E1">
        <w:rPr>
          <w:rFonts w:ascii="Times New Roman" w:eastAsia="Times New Roman" w:hAnsi="Times New Roman" w:cs="Times New Roman"/>
          <w:bCs/>
          <w:color w:val="000000" w:themeColor="text1"/>
          <w:lang w:eastAsia="it-IT"/>
        </w:rPr>
        <w:t>lettera c),</w:t>
      </w:r>
      <w:r w:rsidRPr="004A5029">
        <w:rPr>
          <w:rFonts w:ascii="Times New Roman" w:eastAsia="Times New Roman" w:hAnsi="Times New Roman" w:cs="Times New Roman"/>
          <w:bCs/>
          <w:color w:val="000000" w:themeColor="text1"/>
          <w:lang w:eastAsia="it-IT"/>
        </w:rPr>
        <w:t xml:space="preserve">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p w14:paraId="2BB3E90F" w14:textId="77777777" w:rsidR="00C62766" w:rsidRPr="004A5029" w:rsidRDefault="00C62766" w:rsidP="00C62766">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5. I consorzi di cooperative possono partecipare alla procedura di gara, fermo restando il disposto degli articoli 94 e 95, utilizzando requisiti propri e, nel novero di questi, facendo valere i mezzi nella disponibilità delle cooperative che li costituiscono.</w:t>
      </w:r>
    </w:p>
    <w:p w14:paraId="3000B021" w14:textId="77777777" w:rsidR="00C62766" w:rsidRPr="004A5029" w:rsidRDefault="00C62766" w:rsidP="00C62766">
      <w:pPr>
        <w:jc w:val="both"/>
        <w:rPr>
          <w:rFonts w:ascii="Times New Roman" w:eastAsia="Times New Roman" w:hAnsi="Times New Roman" w:cs="Times New Roman"/>
          <w:bCs/>
          <w:color w:val="000000" w:themeColor="text1"/>
          <w:lang w:eastAsia="it-IT"/>
        </w:rPr>
      </w:pPr>
      <w:bookmarkStart w:id="31" w:name="336up"/>
      <w:bookmarkEnd w:id="31"/>
      <w:r w:rsidRPr="004A5029">
        <w:rPr>
          <w:rFonts w:ascii="Times New Roman" w:eastAsia="Times New Roman" w:hAnsi="Times New Roman" w:cs="Times New Roman"/>
          <w:bCs/>
          <w:color w:val="000000" w:themeColor="text1"/>
          <w:lang w:eastAsia="it-IT"/>
        </w:rPr>
        <w:t xml:space="preserve">6. </w:t>
      </w:r>
      <w:r w:rsidRPr="004A5029">
        <w:rPr>
          <w:rFonts w:ascii="Times New Roman" w:eastAsia="Times New Roman" w:hAnsi="Times New Roman" w:cs="Times New Roman"/>
          <w:color w:val="000000" w:themeColor="text1"/>
          <w:lang w:eastAsia="it-IT"/>
        </w:rPr>
        <w:t>Per i lavori, ai fini della qualificazione di cui all'articolo</w:t>
      </w:r>
      <w:r w:rsidRPr="004A5029">
        <w:rPr>
          <w:rFonts w:ascii="Times New Roman" w:eastAsia="Times New Roman" w:hAnsi="Times New Roman" w:cs="Times New Roman"/>
          <w:bCs/>
          <w:color w:val="000000" w:themeColor="text1"/>
          <w:lang w:eastAsia="it-IT"/>
        </w:rPr>
        <w:t xml:space="preserve"> 100, </w:t>
      </w:r>
      <w:r w:rsidRPr="004A5029">
        <w:rPr>
          <w:rFonts w:ascii="Times New Roman" w:eastAsia="Times New Roman" w:hAnsi="Times New Roman" w:cs="Times New Roman"/>
          <w:color w:val="000000" w:themeColor="text1"/>
        </w:rPr>
        <w:t xml:space="preserve">nell’allegato II.12 </w:t>
      </w:r>
      <w:r w:rsidRPr="004A5029">
        <w:rPr>
          <w:rFonts w:ascii="Times New Roman" w:eastAsia="Times New Roman" w:hAnsi="Times New Roman" w:cs="Times New Roman"/>
          <w:color w:val="000000" w:themeColor="text1"/>
          <w:lang w:eastAsia="it-IT"/>
        </w:rPr>
        <w:t xml:space="preserve">sono stabiliti i criteri per l'imputazione delle prestazioni eseguite al consorzio </w:t>
      </w:r>
      <w:r w:rsidRPr="004A5029">
        <w:rPr>
          <w:rFonts w:ascii="Times New Roman" w:eastAsia="Times New Roman" w:hAnsi="Times New Roman" w:cs="Times New Roman"/>
          <w:bCs/>
          <w:color w:val="000000" w:themeColor="text1"/>
          <w:lang w:eastAsia="it-IT"/>
        </w:rPr>
        <w:t>stabile</w:t>
      </w:r>
      <w:r w:rsidRPr="004A5029">
        <w:rPr>
          <w:rFonts w:ascii="Times New Roman" w:eastAsia="Times New Roman" w:hAnsi="Times New Roman" w:cs="Times New Roman"/>
          <w:color w:val="000000" w:themeColor="text1"/>
          <w:lang w:eastAsia="it-IT"/>
        </w:rPr>
        <w:t xml:space="preserve"> o ai singoli consorziati che le eseguono. In caso di scioglimento del consorzio stabile per servizi e forniture ai consorziati sono attribuiti </w:t>
      </w:r>
      <w:r w:rsidRPr="004A5029">
        <w:rPr>
          <w:rFonts w:ascii="Times New Roman" w:eastAsia="Times New Roman" w:hAnsi="Times New Roman" w:cs="Times New Roman"/>
          <w:i/>
          <w:iCs/>
          <w:color w:val="000000" w:themeColor="text1"/>
          <w:lang w:eastAsia="it-IT"/>
        </w:rPr>
        <w:t>pro quota</w:t>
      </w:r>
      <w:r w:rsidRPr="004A5029">
        <w:rPr>
          <w:rFonts w:ascii="Times New Roman" w:eastAsia="Times New Roman" w:hAnsi="Times New Roman" w:cs="Times New Roman"/>
          <w:color w:val="000000" w:themeColor="text1"/>
          <w:lang w:eastAsia="it-IT"/>
        </w:rPr>
        <w:t xml:space="preserve">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14:paraId="2571A700" w14:textId="79D2F361" w:rsidR="00C62766" w:rsidRPr="004A5029" w:rsidRDefault="00C62766" w:rsidP="00C62766">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7. Possono essere oggetto di avvalimento solo i requisiti maturati dallo stesso consorzio.</w:t>
      </w:r>
    </w:p>
    <w:p w14:paraId="42AFC42D" w14:textId="50B8BD08" w:rsidR="00446F27" w:rsidRPr="00CE0BF3" w:rsidRDefault="00C62766" w:rsidP="00446F27">
      <w:pPr>
        <w:jc w:val="both"/>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color w:val="000000" w:themeColor="text1"/>
          <w:lang w:eastAsia="it-IT"/>
        </w:rPr>
        <w:t xml:space="preserve">8. </w:t>
      </w:r>
      <w:r w:rsidR="00B318E1">
        <w:rPr>
          <w:rFonts w:ascii="Times New Roman" w:eastAsia="Times New Roman" w:hAnsi="Times New Roman" w:cs="Times New Roman"/>
          <w:b/>
          <w:color w:val="000000" w:themeColor="text1"/>
          <w:lang w:eastAsia="it-IT"/>
        </w:rPr>
        <w:t>Ai fini del rilascio o del rinnovo dell’attestazione di qualificazione SOA, i requisiti di capacità tecnica e finanziaria sono posseduti e comprovati dai consorzi sulla base delle qualificazioni possedute dalle singole imprese consorziate. L</w:t>
      </w:r>
      <w:r w:rsidRPr="00324968">
        <w:rPr>
          <w:rFonts w:ascii="Times New Roman" w:eastAsia="Calibri" w:hAnsi="Times New Roman" w:cs="Times New Roman"/>
          <w:b/>
          <w:color w:val="000000" w:themeColor="text1"/>
        </w:rPr>
        <w:t>a qualificazione è acquisita con riferimento a una determinata categoria di opere generali o specialistiche per la classifica corrispondente alla somma di quelle possedute dalle imprese consorziate. Per la qualificazione alla classifica di importo illimitato è in ogni caso necessario che almeno una tra le imprese consorziate già</w:t>
      </w:r>
      <w:r w:rsidRPr="004A5029">
        <w:rPr>
          <w:rFonts w:ascii="Times New Roman" w:eastAsia="Calibri" w:hAnsi="Times New Roman" w:cs="Times New Roman"/>
          <w:b/>
          <w:color w:val="000000" w:themeColor="text1"/>
        </w:rPr>
        <w:t xml:space="preserve"> possieda tale qualificazione ovvero che tra le imprese consorziate ve ne siano almeno una con qualificazione per classifica VII e almeno due con classifica V o superiore, ovvero che tra le imprese consorziate ve ne siano almeno tre con qualificazione per classifica VI. Per la qualificazione per prestazioni di progettazione e costruzione, nonché per la fruizione dei meccanismi premiali di cui all'articolo 106, comma 8, è in ogni caso sufficiente che i corrispondenti requisiti siano posseduti da almeno una delle imprese consorziate. Qualora la somma delle classifiche delle imprese consorziate non coincida con una delle classifiche di cui</w:t>
      </w:r>
      <w:r w:rsidRPr="004A5029">
        <w:rPr>
          <w:rFonts w:ascii="Times New Roman" w:eastAsia="Times New Roman" w:hAnsi="Times New Roman" w:cs="Times New Roman"/>
          <w:b/>
          <w:color w:val="000000" w:themeColor="text1"/>
        </w:rPr>
        <w:t xml:space="preserve"> all’allegato II.12, </w:t>
      </w:r>
      <w:r w:rsidRPr="004A5029">
        <w:rPr>
          <w:rFonts w:ascii="Times New Roman" w:eastAsia="Calibri" w:hAnsi="Times New Roman" w:cs="Times New Roman"/>
          <w:b/>
          <w:color w:val="000000" w:themeColor="text1"/>
        </w:rPr>
        <w:t>la qualificazione è acquisita nella classifica immediatamente inferiore o in quella immediatamente superiore alla somma delle classifiche possedute dalle imprese consorziate, a seconda che tale somma si collochi rispettivamente al di sotto, ovvero al di sopra o alla pari della metà dell'intervallo tra le due classifiche. Gli atti adottati dall’ANAC restano efficaci fino alla data di entrata in vigore del regolamento di cui al comma</w:t>
      </w:r>
      <w:r w:rsidR="00CE0BF3">
        <w:rPr>
          <w:rFonts w:ascii="Times New Roman" w:eastAsia="Calibri" w:hAnsi="Times New Roman" w:cs="Times New Roman"/>
          <w:b/>
          <w:color w:val="000000" w:themeColor="text1"/>
        </w:rPr>
        <w:t xml:space="preserve"> 2. </w:t>
      </w:r>
    </w:p>
    <w:p w14:paraId="2B9E0E52" w14:textId="77777777" w:rsidR="00C62766" w:rsidRPr="004A5029" w:rsidRDefault="00C62766" w:rsidP="00446F27">
      <w:pPr>
        <w:jc w:val="both"/>
        <w:rPr>
          <w:rFonts w:ascii="Times New Roman" w:eastAsia="Times New Roman" w:hAnsi="Times New Roman" w:cs="Times New Roman"/>
          <w:b/>
          <w:bCs/>
          <w:color w:val="000000" w:themeColor="text1"/>
          <w:lang w:eastAsia="it-IT"/>
        </w:rPr>
      </w:pPr>
    </w:p>
    <w:p w14:paraId="55DFA22F"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68.</w:t>
      </w:r>
    </w:p>
    <w:p w14:paraId="2A9265AB" w14:textId="69904E35"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
          <w:color w:val="000000" w:themeColor="text1"/>
        </w:rPr>
        <w:t>Raggruppamenti temporanei e consorzi ordinari di operatori economici</w:t>
      </w:r>
      <w:r w:rsidRPr="004A5029">
        <w:rPr>
          <w:rFonts w:ascii="Times New Roman" w:eastAsia="Calibri" w:hAnsi="Times New Roman" w:cs="Times New Roman"/>
          <w:color w:val="000000" w:themeColor="text1"/>
        </w:rPr>
        <w:t>.</w:t>
      </w:r>
    </w:p>
    <w:p w14:paraId="1429A3CA"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1. È consentita la presentazione di offerte da parte dei soggetti di cui all'articolo 65, comma 2, lettera e) e lettera f), anche se non ancora costituiti. In tal caso l'offerta deve essere sottoscritta da tutti gli operatori economici che costituiranno i raggruppamenti temporanei o i consorzi ordinari di concorrenti e deve contenere l'impegno che, in caso di aggiudicazione della gara, gli stessi operatori conferiranno mandato collettivo speciale con rappresentanza ad uno di essi, da indicare in sede di offerta e qualificato come mandatario, il quale stipulerà il contratto in nome e per conto proprio e dei mandanti.</w:t>
      </w:r>
    </w:p>
    <w:p w14:paraId="48B7D733" w14:textId="0C634E03"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Fatto salvo quanto previsto </w:t>
      </w:r>
      <w:r w:rsidR="00546338" w:rsidRPr="004A5029">
        <w:rPr>
          <w:rFonts w:ascii="Times New Roman" w:eastAsia="Times New Roman" w:hAnsi="Times New Roman" w:cs="Times New Roman"/>
          <w:color w:val="000000" w:themeColor="text1"/>
          <w:lang w:eastAsia="it-IT"/>
        </w:rPr>
        <w:t>d</w:t>
      </w:r>
      <w:r w:rsidRPr="004A5029">
        <w:rPr>
          <w:rFonts w:ascii="Times New Roman" w:eastAsia="Times New Roman" w:hAnsi="Times New Roman" w:cs="Times New Roman"/>
          <w:color w:val="000000" w:themeColor="text1"/>
          <w:lang w:eastAsia="it-IT"/>
        </w:rPr>
        <w:t>al comma 4, in sede di offerta sono specificate le categorie di lavori o le parti del servizio o della fornitura che saranno eseguite dai singoli operatori economici riuniti o consorziati, con l’impegno di questi a realizzarle.</w:t>
      </w:r>
    </w:p>
    <w:p w14:paraId="0CF041E2"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I raggruppamenti temporanei non possono essere obbligati ad avere una forma giuridica specifica ai fini della presentazione di un'offerta o di una domanda di partecipazione.</w:t>
      </w:r>
    </w:p>
    <w:p w14:paraId="5F84532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4. Le stazioni appaltanti possono:</w:t>
      </w:r>
    </w:p>
    <w:p w14:paraId="6DB1DCB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imporre ai raggruppamenti di operatori economici di assumere una forma giuridica specifica dopo l'aggiudicazione del contratto, nel caso in cui tale trasformazione sia necessaria per la buona esecuzione del contratto;</w:t>
      </w:r>
    </w:p>
    <w:p w14:paraId="63742DB1"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specificare nei documenti di gara le modalità con cui i raggruppamenti di operatori economici ottemperano ai requisiti in materia di capacità economica e finanziaria o di capacità tecniche e professionali, purché ciò sia proporzionato e giustificato da motivazioni obiettive.</w:t>
      </w:r>
    </w:p>
    <w:p w14:paraId="5ACD2372"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5. Per la costituzione del raggruppamento temporaneo gli operatori economici devono conferire, con un unico atto, mandato collettivo speciale con rappresentanza ad uno di essi, detto mandatario.</w:t>
      </w:r>
    </w:p>
    <w:p w14:paraId="4ABADCCB"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6. Il mandato deve risultare da scrittura privata autenticata. La relativa procura è conferita al legale rappresentante dell'operatore economico mandatario. Il mandato è gratuito e irrevocabile e la sua revoca, anche per giusta causa, non ha effetto nei confronti della stazione appaltante. In caso di inadempimento dell'impresa mandataria è ammessa la revoca del mandato collettivo speciale di cui al comma 5 al fine di consentire alla stazione appaltante il pagamento diretto nei confronti delle altre imprese del raggruppamento.</w:t>
      </w:r>
    </w:p>
    <w:p w14:paraId="295B45BD"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7. Al mandatario spetta la rappresentanza esclusiva, anche processuale, dei mandanti nei confronti della stazione appaltante per tutte le operazioni e gli atti di qualsiasi natura dipendenti dall'appalto, anche dopo il collaudo, o atto equivalente, fino all’estinzione di ogni rapporto. La stazione appaltante, tuttavia, può far valere direttamente le responsabilità facenti capo ai mandanti.</w:t>
      </w:r>
    </w:p>
    <w:p w14:paraId="5569F275"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8. Il rapporto di mandato non determina di per sé organizzazione o associazione degli operatori economici riuniti, ognuno dei quali conserva la propria autonomia ai fini della gestione, degli adempimenti fiscali e degli oneri sociali.</w:t>
      </w:r>
    </w:p>
    <w:p w14:paraId="4D581142" w14:textId="163FF618"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9. L'offerta degli operatori economici raggruppati o dei consorziati determina la loro responsabilità solidale nei confronti della stazione appaltante, nonché nei confronti del subappaltatore e dei fornitori. Nell’ipotesi di cui al comma 4, lettera a), la responsabilità solidale di cui al </w:t>
      </w:r>
      <w:r w:rsidR="00546338" w:rsidRPr="004A5029">
        <w:rPr>
          <w:rFonts w:ascii="Times New Roman" w:eastAsia="Times New Roman" w:hAnsi="Times New Roman" w:cs="Times New Roman"/>
          <w:color w:val="000000" w:themeColor="text1"/>
          <w:lang w:eastAsia="it-IT"/>
        </w:rPr>
        <w:t>primo</w:t>
      </w:r>
      <w:r w:rsidRPr="004A5029">
        <w:rPr>
          <w:rFonts w:ascii="Times New Roman" w:eastAsia="Times New Roman" w:hAnsi="Times New Roman" w:cs="Times New Roman"/>
          <w:color w:val="000000" w:themeColor="text1"/>
          <w:lang w:eastAsia="it-IT"/>
        </w:rPr>
        <w:t xml:space="preserve"> periodo concorre con quella del soggetto giuridico nel quale il raggruppamento temporaneo o il consorzio ordinario si sono trasformati. Nel caso di cui al comma 4, </w:t>
      </w:r>
      <w:r w:rsidRPr="00324968">
        <w:rPr>
          <w:rFonts w:ascii="Times New Roman" w:eastAsia="Times New Roman" w:hAnsi="Times New Roman" w:cs="Times New Roman"/>
          <w:color w:val="000000" w:themeColor="text1"/>
          <w:shd w:val="clear" w:color="auto" w:fill="FFFFFF" w:themeFill="background1"/>
          <w:lang w:eastAsia="it-IT"/>
        </w:rPr>
        <w:t>lettera a) e nell’ipotesi in cui i concorrenti riuniti o consorziati indicati dal consorzio come esecutori, anche in parte, dei lavori dopo l’aggiudicazione costituiscono tra loro una società anche consortile, ai sensi</w:t>
      </w:r>
      <w:r w:rsidR="004E4A27" w:rsidRPr="00324968">
        <w:rPr>
          <w:rFonts w:ascii="Times New Roman" w:eastAsia="Times New Roman" w:hAnsi="Times New Roman" w:cs="Times New Roman"/>
          <w:color w:val="000000" w:themeColor="text1"/>
          <w:shd w:val="clear" w:color="auto" w:fill="FFFFFF" w:themeFill="background1"/>
          <w:lang w:eastAsia="it-IT"/>
        </w:rPr>
        <w:t xml:space="preserve"> </w:t>
      </w:r>
      <w:r w:rsidRPr="00324968">
        <w:rPr>
          <w:rFonts w:ascii="Times New Roman" w:eastAsia="Times New Roman" w:hAnsi="Times New Roman" w:cs="Times New Roman"/>
          <w:color w:val="000000" w:themeColor="text1"/>
          <w:shd w:val="clear" w:color="auto" w:fill="FFFFFF" w:themeFill="background1"/>
          <w:lang w:eastAsia="it-IT"/>
        </w:rPr>
        <w:t>del Libro V del Titolo V, Capi III e seguenti del codice civil</w:t>
      </w:r>
      <w:r w:rsidR="00324968">
        <w:rPr>
          <w:rFonts w:ascii="Times New Roman" w:eastAsia="Times New Roman" w:hAnsi="Times New Roman" w:cs="Times New Roman"/>
          <w:color w:val="000000" w:themeColor="text1"/>
          <w:shd w:val="clear" w:color="auto" w:fill="FFFFFF" w:themeFill="background1"/>
          <w:lang w:eastAsia="it-IT"/>
        </w:rPr>
        <w:t>e,</w:t>
      </w:r>
      <w:r w:rsidRPr="00324968">
        <w:rPr>
          <w:rFonts w:ascii="Times New Roman" w:eastAsia="Times New Roman" w:hAnsi="Times New Roman" w:cs="Times New Roman"/>
          <w:color w:val="000000" w:themeColor="text1"/>
          <w:shd w:val="clear" w:color="auto" w:fill="FFFFFF" w:themeFill="background1"/>
          <w:lang w:eastAsia="it-IT"/>
        </w:rPr>
        <w:t xml:space="preserve"> per l'esecuzione unitaria, totale o parziale, dei lavori, la responsabilità solidale di cui al p</w:t>
      </w:r>
      <w:r w:rsidR="00546338" w:rsidRPr="00324968">
        <w:rPr>
          <w:rFonts w:ascii="Times New Roman" w:eastAsia="Times New Roman" w:hAnsi="Times New Roman" w:cs="Times New Roman"/>
          <w:color w:val="000000" w:themeColor="text1"/>
          <w:shd w:val="clear" w:color="auto" w:fill="FFFFFF" w:themeFill="background1"/>
          <w:lang w:eastAsia="it-IT"/>
        </w:rPr>
        <w:t>rimo</w:t>
      </w:r>
      <w:r w:rsidRPr="00324968">
        <w:rPr>
          <w:rFonts w:ascii="Times New Roman" w:eastAsia="Times New Roman" w:hAnsi="Times New Roman" w:cs="Times New Roman"/>
          <w:color w:val="000000" w:themeColor="text1"/>
          <w:shd w:val="clear" w:color="auto" w:fill="FFFFFF" w:themeFill="background1"/>
          <w:lang w:eastAsia="it-IT"/>
        </w:rPr>
        <w:t xml:space="preserve"> periodo concorre con quella del soggetto giuridico nel quale il raggruppamento temporaneo o il consorzio ordinario si sono trasformati a far data dalla notificazione dell'atto costitutivo alla stazione appaltante e, subordinatamente, alla iscrizione della società nel registro delle imprese. In tale ipotesi</w:t>
      </w:r>
      <w:r w:rsidRPr="004A5029">
        <w:rPr>
          <w:rFonts w:ascii="Times New Roman" w:eastAsia="Times New Roman" w:hAnsi="Times New Roman" w:cs="Times New Roman"/>
          <w:color w:val="000000" w:themeColor="text1"/>
          <w:lang w:eastAsia="it-IT"/>
        </w:rPr>
        <w:t xml:space="preserve"> la società subentra, senza che ciò costituisca ad alcun effetto subappalto o cessione di contratto e senza necessità di autorizzazione o di approvazione, nell’esecuzione totale o parziale del contratto.</w:t>
      </w:r>
    </w:p>
    <w:p w14:paraId="36EBF754"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 xml:space="preserve">10. Le stazioni appaltanti possono richiedere ai raggruppamenti di operatori economici condizioni per l'esecuzione di un appalto diverse da quelle imposte ai singoli partecipanti, purché siano proporzionate e giustificate da ragioni oggettive. </w:t>
      </w:r>
    </w:p>
    <w:p w14:paraId="25F8D695" w14:textId="77777777" w:rsidR="00446F27" w:rsidRPr="004A5029" w:rsidRDefault="00446F27" w:rsidP="00446F27">
      <w:pPr>
        <w:jc w:val="both"/>
        <w:rPr>
          <w:rFonts w:ascii="Times New Roman" w:eastAsia="Times New Roman" w:hAnsi="Times New Roman" w:cs="Times New Roman"/>
          <w:bCs/>
          <w:color w:val="000000" w:themeColor="text1"/>
          <w:highlight w:val="cyan"/>
        </w:rPr>
      </w:pPr>
      <w:r w:rsidRPr="004A5029">
        <w:rPr>
          <w:rFonts w:ascii="Times New Roman" w:eastAsia="Times New Roman" w:hAnsi="Times New Roman" w:cs="Times New Roman"/>
          <w:bCs/>
          <w:color w:val="000000" w:themeColor="text1"/>
          <w:lang w:eastAsia="it-IT"/>
        </w:rPr>
        <w:t xml:space="preserve">11. I raggruppamenti e i consorzi ordinari di operatori economici sono ammessi alla gara se gli imprenditori o altro raggruppamento che vi partecipano, oppure gli imprenditori consorziati, abbiano complessivamente i requisiti relativi alla capacità economica e finanziaria e alle capacità tecniche e professionali, ferma restando la necessità che l’esecutore sia in possesso dei requisiti prescritti per la prestazione che lo stesso si è impegnato a realizzare ai sensi del comma 2. </w:t>
      </w:r>
      <w:r w:rsidRPr="004A5029">
        <w:rPr>
          <w:rFonts w:ascii="Times New Roman" w:eastAsia="Times New Roman" w:hAnsi="Times New Roman" w:cs="Times New Roman"/>
          <w:bCs/>
          <w:color w:val="000000" w:themeColor="text1"/>
        </w:rPr>
        <w:t>Si applicano in quanto compatibili le disposizioni contenute nell’allegato II.12.</w:t>
      </w:r>
    </w:p>
    <w:p w14:paraId="6FD37D1E" w14:textId="109FE465"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12. Se il singolo concorrente o i concorrenti che intendano riunirsi in raggruppamento temporaneo hanno i requisiti di cui al presente articolo, possono raggruppare altre imprese qualificate anche per categorie ed importi diversi da quelli richiesti nel bando, a condizione che i lavori eseguiti da queste ultime non superino il </w:t>
      </w:r>
      <w:r w:rsidR="00546338" w:rsidRPr="004A5029">
        <w:rPr>
          <w:rFonts w:ascii="Times New Roman" w:eastAsia="Times New Roman" w:hAnsi="Times New Roman" w:cs="Times New Roman"/>
          <w:bCs/>
          <w:color w:val="000000" w:themeColor="text1"/>
          <w:lang w:eastAsia="it-IT"/>
        </w:rPr>
        <w:t>20</w:t>
      </w:r>
      <w:r w:rsidRPr="004A5029">
        <w:rPr>
          <w:rFonts w:ascii="Times New Roman" w:eastAsia="Times New Roman" w:hAnsi="Times New Roman" w:cs="Times New Roman"/>
          <w:bCs/>
          <w:color w:val="000000" w:themeColor="text1"/>
          <w:lang w:eastAsia="it-IT"/>
        </w:rPr>
        <w:t xml:space="preserve"> per cento dell’importo complessivo dei lavori e che l’ammontare complessivo delle qualificazioni possedute da ciascuna sia almeno pari all’importo dei lavori che saranno ad essa affidati.</w:t>
      </w:r>
    </w:p>
    <w:p w14:paraId="6DCD10E1"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13. Tutti i partecipanti al raggruppamento e al consorzio ordinario possiedono i requisiti generali di cui agli articoli 94 e 95.</w:t>
      </w:r>
    </w:p>
    <w:p w14:paraId="03E82B2C" w14:textId="77777777" w:rsidR="00446F27" w:rsidRPr="004A5029" w:rsidRDefault="00446F27" w:rsidP="00446F27">
      <w:pPr>
        <w:jc w:val="both"/>
        <w:rPr>
          <w:rFonts w:ascii="Times New Roman" w:eastAsia="Times New Roman" w:hAnsi="Times New Roman" w:cs="Times New Roman"/>
          <w:bCs/>
          <w:color w:val="000000" w:themeColor="text1"/>
          <w:highlight w:val="cyan"/>
          <w:lang w:eastAsia="it-IT"/>
        </w:rPr>
      </w:pPr>
      <w:r w:rsidRPr="004A5029">
        <w:rPr>
          <w:rFonts w:ascii="Times New Roman" w:eastAsia="Times New Roman" w:hAnsi="Times New Roman" w:cs="Times New Roman"/>
          <w:bCs/>
          <w:color w:val="000000" w:themeColor="text1"/>
          <w:lang w:eastAsia="it-IT"/>
        </w:rPr>
        <w:t>14.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p>
    <w:p w14:paraId="0BFEFF10" w14:textId="466F0A60" w:rsidR="00446F27" w:rsidRPr="004A5029" w:rsidRDefault="00446F27" w:rsidP="00446F27">
      <w:pPr>
        <w:jc w:val="both"/>
        <w:rPr>
          <w:rFonts w:ascii="Times New Roman" w:eastAsia="Garamond" w:hAnsi="Times New Roman" w:cs="Times New Roman"/>
          <w:color w:val="000000" w:themeColor="text1"/>
        </w:rPr>
      </w:pPr>
      <w:r w:rsidRPr="004A5029">
        <w:rPr>
          <w:rFonts w:ascii="Times New Roman" w:eastAsia="Garamond" w:hAnsi="Times New Roman" w:cs="Times New Roman"/>
          <w:bCs/>
          <w:color w:val="000000" w:themeColor="text1"/>
        </w:rPr>
        <w:t>15.</w:t>
      </w:r>
      <w:r w:rsidRPr="004A5029">
        <w:rPr>
          <w:rFonts w:ascii="Times New Roman" w:eastAsia="Garamond" w:hAnsi="Times New Roman" w:cs="Times New Roman"/>
          <w:color w:val="000000" w:themeColor="text1"/>
        </w:rPr>
        <w:t xml:space="preserve"> È vietata l'associazione in partecipazione sia durante la procedura di gara sia successivamente all'aggiudicazione. La modifica dei consorzi e dei raggruppamenti è ammissibile nei termini indicati dall’articolo 97 e dal</w:t>
      </w:r>
      <w:r w:rsidRPr="004A5029">
        <w:rPr>
          <w:rFonts w:ascii="Times New Roman" w:eastAsia="Garamond" w:hAnsi="Times New Roman" w:cs="Times New Roman"/>
          <w:bCs/>
          <w:color w:val="000000" w:themeColor="text1"/>
        </w:rPr>
        <w:t xml:space="preserve"> comma 17</w:t>
      </w:r>
      <w:r w:rsidR="00546338" w:rsidRPr="004A5029">
        <w:rPr>
          <w:rFonts w:ascii="Times New Roman" w:eastAsia="Garamond" w:hAnsi="Times New Roman" w:cs="Times New Roman"/>
          <w:bCs/>
          <w:color w:val="000000" w:themeColor="text1"/>
        </w:rPr>
        <w:t xml:space="preserve"> del presente articolo</w:t>
      </w:r>
      <w:r w:rsidRPr="004A5029">
        <w:rPr>
          <w:rFonts w:ascii="Times New Roman" w:eastAsia="Garamond" w:hAnsi="Times New Roman" w:cs="Times New Roman"/>
          <w:color w:val="000000" w:themeColor="text1"/>
        </w:rPr>
        <w:t>.</w:t>
      </w:r>
    </w:p>
    <w:p w14:paraId="32C989BA" w14:textId="209C0E75" w:rsidR="00446F27" w:rsidRPr="004A5029" w:rsidRDefault="00446F27" w:rsidP="00446F27">
      <w:pPr>
        <w:jc w:val="both"/>
        <w:rPr>
          <w:rFonts w:ascii="Times New Roman" w:eastAsia="Garamond" w:hAnsi="Times New Roman" w:cs="Times New Roman"/>
          <w:color w:val="000000" w:themeColor="text1"/>
        </w:rPr>
      </w:pPr>
      <w:r w:rsidRPr="004A5029">
        <w:rPr>
          <w:rFonts w:ascii="Times New Roman" w:eastAsia="Garamond" w:hAnsi="Times New Roman" w:cs="Times New Roman"/>
          <w:bCs/>
          <w:color w:val="000000" w:themeColor="text1"/>
        </w:rPr>
        <w:t>16.</w:t>
      </w:r>
      <w:r w:rsidRPr="004A5029">
        <w:rPr>
          <w:rFonts w:ascii="Times New Roman" w:eastAsia="Garamond" w:hAnsi="Times New Roman" w:cs="Times New Roman"/>
          <w:color w:val="000000" w:themeColor="text1"/>
        </w:rPr>
        <w:t xml:space="preserve"> L'inosservanza di quanto prescritto al comma </w:t>
      </w:r>
      <w:r w:rsidR="008525B3" w:rsidRPr="004A5029">
        <w:rPr>
          <w:rFonts w:ascii="Times New Roman" w:eastAsia="Garamond" w:hAnsi="Times New Roman" w:cs="Times New Roman"/>
          <w:color w:val="000000" w:themeColor="text1"/>
        </w:rPr>
        <w:t>15</w:t>
      </w:r>
      <w:r w:rsidRPr="004A5029">
        <w:rPr>
          <w:rFonts w:ascii="Times New Roman" w:eastAsia="Garamond" w:hAnsi="Times New Roman" w:cs="Times New Roman"/>
          <w:color w:val="000000" w:themeColor="text1"/>
        </w:rPr>
        <w:t xml:space="preserve"> comporta l'esclusione dei concorrenti riuniti in raggruppamento o consorzio ordinario di concorrenti, nonché l'annullamento dell'aggiudicazione o la risoluzione del contratto.</w:t>
      </w:r>
    </w:p>
    <w:p w14:paraId="7871160B"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 xml:space="preserve">17. </w:t>
      </w:r>
      <w:r w:rsidRPr="004A5029">
        <w:rPr>
          <w:rFonts w:ascii="Times New Roman" w:eastAsia="Times New Roman" w:hAnsi="Times New Roman" w:cs="Times New Roman"/>
          <w:color w:val="000000" w:themeColor="text1"/>
          <w:lang w:eastAsia="it-IT"/>
        </w:rPr>
        <w:t xml:space="preserve">È ammesso il recesso di una o più imprese raggruppate, sempre che le imprese rimanenti abbiano i requisiti di qualificazione adeguati ai lavori o servizi o forniture ancora da eseguire. </w:t>
      </w:r>
      <w:r w:rsidRPr="004A5029">
        <w:rPr>
          <w:rFonts w:ascii="Times New Roman" w:eastAsia="Times New Roman" w:hAnsi="Times New Roman" w:cs="Times New Roman"/>
          <w:bCs/>
          <w:color w:val="000000" w:themeColor="text1"/>
          <w:lang w:eastAsia="it-IT"/>
        </w:rPr>
        <w:t>Il recesso è ammesso anche se il raggruppamento si riduce a un unico soggetto</w:t>
      </w:r>
      <w:r w:rsidRPr="004A5029">
        <w:rPr>
          <w:rFonts w:ascii="Times New Roman" w:eastAsia="Times New Roman" w:hAnsi="Times New Roman" w:cs="Times New Roman"/>
          <w:color w:val="000000" w:themeColor="text1"/>
          <w:lang w:eastAsia="it-IT"/>
        </w:rPr>
        <w:t>.</w:t>
      </w:r>
    </w:p>
    <w:p w14:paraId="5B65061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18.</w:t>
      </w:r>
      <w:r w:rsidRPr="004A5029">
        <w:rPr>
          <w:rFonts w:ascii="Times New Roman" w:eastAsia="Times New Roman" w:hAnsi="Times New Roman" w:cs="Times New Roman"/>
          <w:color w:val="000000" w:themeColor="text1"/>
          <w:lang w:eastAsia="it-IT"/>
        </w:rPr>
        <w:t xml:space="preserve"> Le previsioni di cui </w:t>
      </w:r>
      <w:r w:rsidRPr="004A5029">
        <w:rPr>
          <w:rFonts w:ascii="Times New Roman" w:eastAsia="Times New Roman" w:hAnsi="Times New Roman" w:cs="Times New Roman"/>
          <w:bCs/>
          <w:color w:val="000000" w:themeColor="text1"/>
          <w:lang w:eastAsia="it-IT"/>
        </w:rPr>
        <w:t>al comma 17</w:t>
      </w:r>
      <w:r w:rsidRPr="004A5029">
        <w:rPr>
          <w:rFonts w:ascii="Times New Roman" w:eastAsia="Times New Roman" w:hAnsi="Times New Roman" w:cs="Times New Roman"/>
          <w:color w:val="000000" w:themeColor="text1"/>
          <w:lang w:eastAsia="it-IT"/>
        </w:rPr>
        <w:t xml:space="preserve"> trovano applicazione anche con riferimento ai soggetti di cui all'articolo 65, comma 2, lettere b), c), d) e f).</w:t>
      </w:r>
    </w:p>
    <w:p w14:paraId="58A9CC5B"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19.</w:t>
      </w:r>
      <w:r w:rsidRPr="004A5029">
        <w:rPr>
          <w:rFonts w:ascii="Times New Roman" w:eastAsia="Times New Roman" w:hAnsi="Times New Roman" w:cs="Times New Roman"/>
          <w:color w:val="000000" w:themeColor="text1"/>
          <w:lang w:eastAsia="it-IT"/>
        </w:rPr>
        <w:t xml:space="preserve"> In caso di procedure ristrette o negoziate oppure di dialogo competitivo l'operatore economico invitato individualmente o il candidato ammesso individualmente nella procedura di dialogo competitivo può presentare offerta o trattare per sé o quale mandatario di operatori riuniti.</w:t>
      </w:r>
    </w:p>
    <w:p w14:paraId="660052BA"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20.</w:t>
      </w:r>
      <w:r w:rsidRPr="004A5029">
        <w:rPr>
          <w:rFonts w:ascii="Times New Roman" w:eastAsia="Times New Roman" w:hAnsi="Times New Roman" w:cs="Times New Roman"/>
          <w:color w:val="000000" w:themeColor="text1"/>
          <w:lang w:eastAsia="it-IT"/>
        </w:rPr>
        <w:t xml:space="preserve"> Il presente articolo trova applicazione, in quanto compatibile, nella partecipazione alle procedure di affidamento delle aggregazioni tra le imprese aderenti al contratto di rete, di cui all'articolo 65, comma 2, lettera g); queste ultime, nel caso in cui abbiano tutti i requisiti del consorzio stabile di cui all'articolo 65, comma 2, lettera d), sono ad esso equiparate ai fini della qualificazione SOA.</w:t>
      </w:r>
    </w:p>
    <w:p w14:paraId="271CA723" w14:textId="77777777" w:rsidR="00446F27" w:rsidRPr="004A5029" w:rsidRDefault="00446F27" w:rsidP="00446F27">
      <w:pPr>
        <w:jc w:val="both"/>
        <w:rPr>
          <w:rFonts w:ascii="Times New Roman" w:hAnsi="Times New Roman" w:cs="Times New Roman"/>
          <w:color w:val="000000" w:themeColor="text1"/>
        </w:rPr>
      </w:pPr>
    </w:p>
    <w:p w14:paraId="046CC59C"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69.</w:t>
      </w:r>
    </w:p>
    <w:p w14:paraId="260AEA0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
          <w:color w:val="000000" w:themeColor="text1"/>
        </w:rPr>
        <w:t>Accordo sugli Appalti Pubblici (AAP) e altri accordi internazionali.</w:t>
      </w:r>
    </w:p>
    <w:p w14:paraId="222D71DF"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Se sono contemplati dagli allegati 1, 2, 4 e 5 e dalle note generali dell'appendice 1 dell'Unione europea dell’</w:t>
      </w:r>
      <w:r w:rsidRPr="004A5029">
        <w:rPr>
          <w:rFonts w:ascii="Times New Roman" w:eastAsia="Calibri" w:hAnsi="Times New Roman" w:cs="Times New Roman"/>
          <w:color w:val="000000" w:themeColor="text1"/>
        </w:rPr>
        <w:t>Accordo sugli Appalti Pubblici</w:t>
      </w:r>
      <w:r w:rsidRPr="004A5029">
        <w:rPr>
          <w:rFonts w:ascii="Times New Roman" w:eastAsia="Times New Roman" w:hAnsi="Times New Roman" w:cs="Times New Roman"/>
          <w:color w:val="000000" w:themeColor="text1"/>
          <w:lang w:eastAsia="it-IT"/>
        </w:rPr>
        <w:t xml:space="preserve"> (AAP) e dagli altri accordi internazionali cui l'Unione è vincolata, le stazioni appaltanti applicano ai lavori, alle forniture, ai servizi e agli operatori economici dei Paesi terzi firmatari di tali accordi un trattamento non meno favorevole di quello concesso ai sensi del codice.</w:t>
      </w:r>
    </w:p>
    <w:p w14:paraId="75FBE423" w14:textId="77777777" w:rsidR="00446F27" w:rsidRPr="004A5029" w:rsidRDefault="00446F27" w:rsidP="00446F27">
      <w:pPr>
        <w:jc w:val="both"/>
        <w:rPr>
          <w:rFonts w:ascii="Times New Roman" w:hAnsi="Times New Roman" w:cs="Times New Roman"/>
          <w:color w:val="000000" w:themeColor="text1"/>
        </w:rPr>
      </w:pPr>
    </w:p>
    <w:p w14:paraId="2D3F0BEC" w14:textId="77777777" w:rsidR="00446F27" w:rsidRPr="004A5029" w:rsidRDefault="00446F27" w:rsidP="00446F27">
      <w:pPr>
        <w:rPr>
          <w:rFonts w:ascii="Times New Roman" w:eastAsiaTheme="majorEastAsia" w:hAnsi="Times New Roman" w:cs="Times New Roman"/>
          <w:color w:val="000000" w:themeColor="text1"/>
        </w:rPr>
      </w:pPr>
      <w:r w:rsidRPr="004A5029">
        <w:rPr>
          <w:rFonts w:ascii="Times New Roman" w:eastAsiaTheme="majorEastAsia" w:hAnsi="Times New Roman" w:cs="Times New Roman"/>
          <w:color w:val="000000" w:themeColor="text1"/>
        </w:rPr>
        <w:br w:type="page"/>
      </w:r>
    </w:p>
    <w:p w14:paraId="39150EB5"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IV</w:t>
      </w:r>
    </w:p>
    <w:p w14:paraId="09F4820F"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DELLE PROCEDURE DI SCELTA DEL CONTRAENTE</w:t>
      </w:r>
    </w:p>
    <w:p w14:paraId="75CF4315" w14:textId="77777777" w:rsidR="00446F27" w:rsidRPr="004A5029" w:rsidRDefault="00446F27" w:rsidP="00446F27">
      <w:pPr>
        <w:jc w:val="both"/>
        <w:rPr>
          <w:rFonts w:ascii="Times New Roman" w:hAnsi="Times New Roman" w:cs="Times New Roman"/>
          <w:b/>
          <w:bCs/>
          <w:i/>
          <w:iCs/>
          <w:color w:val="000000" w:themeColor="text1"/>
        </w:rPr>
      </w:pPr>
    </w:p>
    <w:p w14:paraId="6BB0A598"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70</w:t>
      </w:r>
      <w:r w:rsidRPr="004A5029">
        <w:rPr>
          <w:rFonts w:ascii="Times New Roman" w:hAnsi="Times New Roman" w:cs="Times New Roman"/>
          <w:color w:val="000000" w:themeColor="text1"/>
        </w:rPr>
        <w:t>.</w:t>
      </w:r>
    </w:p>
    <w:p w14:paraId="569B73B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Procedure di scelta e relativi presupposti.</w:t>
      </w:r>
    </w:p>
    <w:p w14:paraId="6713B87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Per l'aggiudicazione di appalti pubblici le stazioni appaltanti utilizzano la procedura aperta, la procedura ristretta, la procedura competitiva con negoziazione, il dialogo competitivo e il partenariato per l’innovazione.</w:t>
      </w:r>
    </w:p>
    <w:p w14:paraId="79A6F484" w14:textId="581B4764"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Nei soli casi previsti </w:t>
      </w:r>
      <w:r w:rsidR="001A5056" w:rsidRPr="004A5029">
        <w:rPr>
          <w:rFonts w:ascii="Times New Roman" w:hAnsi="Times New Roman" w:cs="Times New Roman"/>
          <w:b/>
          <w:bCs/>
          <w:color w:val="000000" w:themeColor="text1"/>
        </w:rPr>
        <w:t>d</w:t>
      </w:r>
      <w:r w:rsidRPr="004A5029">
        <w:rPr>
          <w:rFonts w:ascii="Times New Roman" w:hAnsi="Times New Roman" w:cs="Times New Roman"/>
          <w:bCs/>
          <w:color w:val="000000" w:themeColor="text1"/>
        </w:rPr>
        <w:t>all’articolo 76 le stazioni appaltanti possono utilizzare la procedura negoziata senza pubblicazione di un bando di gara.</w:t>
      </w:r>
    </w:p>
    <w:p w14:paraId="5D863D2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 stazioni appaltanti utilizzano la procedura competitiva con negoziazione o il dialogo competitivo:</w:t>
      </w:r>
    </w:p>
    <w:p w14:paraId="5E4A283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per l'aggiudicazione di contratti di lavori, forniture o servizi in presenza di una o più delle seguenti condizioni:</w:t>
      </w:r>
    </w:p>
    <w:p w14:paraId="2C011FB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quando le esigenze della stazione appaltante perseguite con l’appalto non possono essere soddisfatte con le altre procedure;</w:t>
      </w:r>
    </w:p>
    <w:p w14:paraId="6E42D07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quando le esigenze della stazione appaltante implicano soluzioni o progetti innovativi;</w:t>
      </w:r>
    </w:p>
    <w:p w14:paraId="568000D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quando l'appalto non può essere aggiudicato senza preventive negoziazioni a causa di circostanze particolari in relazione alla natura, complessità o impostazione finanziaria e giuridica dell’oggetto dell’appalto o a causa dei rischi a esso connessi;</w:t>
      </w:r>
    </w:p>
    <w:p w14:paraId="19753258" w14:textId="34712BA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quando le specifiche tecniche non possono essere stabilite con sufficiente precisione dalla </w:t>
      </w:r>
      <w:r w:rsidRPr="004A5029">
        <w:rPr>
          <w:rFonts w:ascii="Times New Roman" w:hAnsi="Times New Roman" w:cs="Times New Roman"/>
          <w:bCs/>
          <w:color w:val="000000" w:themeColor="text1"/>
        </w:rPr>
        <w:t>stazione appaltante</w:t>
      </w:r>
      <w:r w:rsidRPr="004A5029">
        <w:rPr>
          <w:rFonts w:ascii="Times New Roman" w:hAnsi="Times New Roman" w:cs="Times New Roman"/>
          <w:color w:val="000000" w:themeColor="text1"/>
        </w:rPr>
        <w:t xml:space="preserve"> con riferimento a una norma, una valutazione tecnica europea, una specifica tecnica comune o un riferimento tecnico ai sensi dei </w:t>
      </w:r>
      <w:r w:rsidRPr="004A5029">
        <w:rPr>
          <w:rFonts w:ascii="Times New Roman" w:hAnsi="Times New Roman" w:cs="Times New Roman"/>
          <w:b/>
          <w:bCs/>
          <w:strike/>
          <w:color w:val="000000" w:themeColor="text1"/>
        </w:rPr>
        <w:t>punti</w:t>
      </w:r>
      <w:r w:rsidRPr="004A5029">
        <w:rPr>
          <w:rFonts w:ascii="Times New Roman" w:hAnsi="Times New Roman" w:cs="Times New Roman"/>
          <w:b/>
          <w:bCs/>
          <w:color w:val="000000" w:themeColor="text1"/>
        </w:rPr>
        <w:t xml:space="preserve"> </w:t>
      </w:r>
      <w:r w:rsidR="00BF63EF" w:rsidRPr="004A5029">
        <w:rPr>
          <w:rFonts w:ascii="Times New Roman" w:hAnsi="Times New Roman" w:cs="Times New Roman"/>
          <w:b/>
          <w:bCs/>
          <w:color w:val="000000" w:themeColor="text1"/>
        </w:rPr>
        <w:t>numeri</w:t>
      </w:r>
      <w:r w:rsidR="00BF63EF"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da 2</w:t>
      </w:r>
      <w:r w:rsidR="00BF63EF" w:rsidRPr="004A5029">
        <w:rPr>
          <w:rFonts w:ascii="Times New Roman" w:hAnsi="Times New Roman" w:cs="Times New Roman"/>
          <w:b/>
          <w:bCs/>
          <w:color w:val="000000" w:themeColor="text1"/>
        </w:rPr>
        <w:t>)</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a 5</w:t>
      </w:r>
      <w:r w:rsidR="00BF63EF" w:rsidRPr="004A5029">
        <w:rPr>
          <w:rFonts w:ascii="Times New Roman" w:hAnsi="Times New Roman" w:cs="Times New Roman"/>
          <w:b/>
          <w:bCs/>
          <w:color w:val="000000" w:themeColor="text1"/>
        </w:rPr>
        <w:t>)</w:t>
      </w:r>
      <w:r w:rsidR="00E4613C" w:rsidRPr="004A5029">
        <w:rPr>
          <w:rFonts w:ascii="Times New Roman" w:hAnsi="Times New Roman" w:cs="Times New Roman"/>
          <w:b/>
          <w:bCs/>
          <w:color w:val="000000" w:themeColor="text1"/>
        </w:rPr>
        <w:t xml:space="preserve"> della Parte I</w:t>
      </w:r>
      <w:r w:rsidR="00092B56"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dell’allegato II.5. </w:t>
      </w:r>
      <w:r w:rsidRPr="004A5029">
        <w:rPr>
          <w:rFonts w:ascii="Times New Roman" w:eastAsia="Calibri" w:hAnsi="Times New Roman" w:cs="Times New Roman"/>
          <w:bCs/>
          <w:color w:val="000000" w:themeColor="text1"/>
        </w:rPr>
        <w:t xml:space="preserve">In sede di prima applicazione del codice, l’allegato </w:t>
      </w:r>
      <w:r w:rsidR="008525B3" w:rsidRPr="004A5029">
        <w:rPr>
          <w:rFonts w:ascii="Times New Roman" w:eastAsia="Calibri" w:hAnsi="Times New Roman" w:cs="Times New Roman"/>
          <w:bCs/>
          <w:color w:val="000000" w:themeColor="text1"/>
        </w:rPr>
        <w:t xml:space="preserve">II.5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w:t>
      </w:r>
      <w:r w:rsidRPr="004A5029">
        <w:rPr>
          <w:rFonts w:ascii="Times New Roman" w:hAnsi="Times New Roman" w:cs="Times New Roman"/>
          <w:bCs/>
          <w:color w:val="000000" w:themeColor="text1"/>
        </w:rPr>
        <w:t>del Ministro delle infrastrutture e dei trasporti</w:t>
      </w:r>
      <w:r w:rsidRPr="004A5029">
        <w:rPr>
          <w:rFonts w:ascii="Times New Roman" w:eastAsia="Calibri" w:hAnsi="Times New Roman" w:cs="Times New Roman"/>
          <w:bCs/>
          <w:color w:val="000000" w:themeColor="text1"/>
        </w:rPr>
        <w:t>, che lo sostituisce integralmente anche in qualità di allegato al codice</w:t>
      </w:r>
      <w:r w:rsidRPr="004A5029">
        <w:rPr>
          <w:rFonts w:ascii="Times New Roman" w:hAnsi="Times New Roman" w:cs="Times New Roman"/>
          <w:color w:val="000000" w:themeColor="text1"/>
        </w:rPr>
        <w:t>;</w:t>
      </w:r>
    </w:p>
    <w:p w14:paraId="7BCA6A5D" w14:textId="7098203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per l'aggiudicazione di contratti di lavori, forniture o servizi per i quali, in esito a una procedura aperta o ristretta, sono state presentate soltanto offerte ina</w:t>
      </w:r>
      <w:r w:rsidR="003809BD" w:rsidRPr="004A5029">
        <w:rPr>
          <w:rFonts w:ascii="Times New Roman" w:hAnsi="Times New Roman" w:cs="Times New Roman"/>
          <w:color w:val="000000" w:themeColor="text1"/>
        </w:rPr>
        <w:t>m</w:t>
      </w:r>
      <w:r w:rsidRPr="004A5029">
        <w:rPr>
          <w:rFonts w:ascii="Times New Roman" w:hAnsi="Times New Roman" w:cs="Times New Roman"/>
          <w:color w:val="000000" w:themeColor="text1"/>
        </w:rPr>
        <w:t xml:space="preserve">missibili ai sensi del comma 4. In </w:t>
      </w:r>
      <w:r w:rsidRPr="004A5029">
        <w:rPr>
          <w:rFonts w:ascii="Times New Roman" w:hAnsi="Times New Roman" w:cs="Times New Roman"/>
          <w:bCs/>
          <w:color w:val="000000" w:themeColor="text1"/>
        </w:rPr>
        <w:t>tal caso</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la stazione appaltante</w:t>
      </w:r>
      <w:r w:rsidRPr="004A5029">
        <w:rPr>
          <w:rFonts w:ascii="Times New Roman" w:hAnsi="Times New Roman" w:cs="Times New Roman"/>
          <w:color w:val="000000" w:themeColor="text1"/>
        </w:rPr>
        <w:t xml:space="preserve"> non è tenuta a pubblicare un bando di gara, se </w:t>
      </w:r>
      <w:r w:rsidRPr="004A5029">
        <w:rPr>
          <w:rFonts w:ascii="Times New Roman" w:hAnsi="Times New Roman" w:cs="Times New Roman"/>
          <w:bCs/>
          <w:color w:val="000000" w:themeColor="text1"/>
        </w:rPr>
        <w:t>ammette</w:t>
      </w:r>
      <w:r w:rsidRPr="004A5029">
        <w:rPr>
          <w:rFonts w:ascii="Times New Roman" w:hAnsi="Times New Roman" w:cs="Times New Roman"/>
          <w:color w:val="000000" w:themeColor="text1"/>
        </w:rPr>
        <w:t xml:space="preserve"> alla ulteriore procedura tutti, e soltanto, gli offerenti in possesso dei requisiti di cui agli articoli da 94 a 105 che, nella procedura aperta o ristretta precedente, hanno presentato offerte conformi ai requisiti formali della procedura di appalto.</w:t>
      </w:r>
    </w:p>
    <w:p w14:paraId="0518FAC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Sono inammissibili le offerte:</w:t>
      </w:r>
    </w:p>
    <w:p w14:paraId="08EF2AB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non conformi ai documenti di gara;</w:t>
      </w:r>
    </w:p>
    <w:p w14:paraId="672A780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ricevute oltre i termini indicati nel bando o nell'invito con cui si indice la gara;</w:t>
      </w:r>
    </w:p>
    <w:p w14:paraId="14008EB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in relazione alle quali vi sono prove di corruzione o collusione;</w:t>
      </w:r>
    </w:p>
    <w:p w14:paraId="36223A6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considerate anormalmente basse; </w:t>
      </w:r>
    </w:p>
    <w:p w14:paraId="6431D20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presentate da offerenti che non possiedono la qualificazione necessaria;</w:t>
      </w:r>
    </w:p>
    <w:p w14:paraId="10D7739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il cui prezzo supera l'importo posto a base di gara, stabilito e documentato prima dell'avvio della procedura di appalto.</w:t>
      </w:r>
    </w:p>
    <w:p w14:paraId="1EAA5735" w14:textId="7D483429"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Le stazioni appaltanti possono utilizzare il partenariato per l'innovazione quando l'esigenza di sviluppare prodotti, servizi o lavori innovativi e di acquistare successivamente le forniture, i servizi o i lavori che ne risultano non può essere soddisfatta ricorrendo a soluzioni già disponibili sul mercato, a condizione che le forniture, </w:t>
      </w:r>
      <w:r w:rsidR="001A5056" w:rsidRPr="004A5029">
        <w:rPr>
          <w:rFonts w:ascii="Times New Roman" w:hAnsi="Times New Roman" w:cs="Times New Roman"/>
          <w:bCs/>
          <w:color w:val="000000" w:themeColor="text1"/>
        </w:rPr>
        <w:t xml:space="preserve">i </w:t>
      </w:r>
      <w:r w:rsidRPr="004A5029">
        <w:rPr>
          <w:rFonts w:ascii="Times New Roman" w:hAnsi="Times New Roman" w:cs="Times New Roman"/>
          <w:bCs/>
          <w:color w:val="000000" w:themeColor="text1"/>
        </w:rPr>
        <w:t xml:space="preserve">servizi o </w:t>
      </w:r>
      <w:r w:rsidR="001A5056" w:rsidRPr="004A5029">
        <w:rPr>
          <w:rFonts w:ascii="Times New Roman" w:hAnsi="Times New Roman" w:cs="Times New Roman"/>
          <w:bCs/>
          <w:color w:val="000000" w:themeColor="text1"/>
        </w:rPr>
        <w:t xml:space="preserve">i </w:t>
      </w:r>
      <w:r w:rsidRPr="004A5029">
        <w:rPr>
          <w:rFonts w:ascii="Times New Roman" w:hAnsi="Times New Roman" w:cs="Times New Roman"/>
          <w:bCs/>
          <w:color w:val="000000" w:themeColor="text1"/>
        </w:rPr>
        <w:t>lavori che ne risultano corrispondano ai livelli di prestazioni e ai costi massimi concordati tra le stazioni appaltanti e i partecipanti.</w:t>
      </w:r>
    </w:p>
    <w:p w14:paraId="355D9C2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6</w:t>
      </w:r>
      <w:r w:rsidRPr="004A5029">
        <w:rPr>
          <w:rFonts w:ascii="Times New Roman" w:hAnsi="Times New Roman" w:cs="Times New Roman"/>
          <w:color w:val="000000" w:themeColor="text1"/>
        </w:rPr>
        <w:t>. Nelle procedure ristrette, nelle procedure competitive con negoziazione, nelle procedure di dialogo competitivo e di partenariato per l'innovazione le stazioni appaltanti, applicando i criteri o le regole obiettive e non discriminatorie indicate nel bando di gara o nell’invito a confermare l’interesse, possono limitare il numero di candidati, che soddisfano i criteri di selezione, da invitare a presentare un'offerta, a negoziare o a partecipare al dialogo, nel rispetto del principio di concorrenza e del numero minimo di candidati da invitare indicato nel bando di gara o nell’invito a confermare l’interesse. In ogni caso, il numero minimo di candidati non può essere inferiore a cinque nelle procedure ristrette e a tre nelle altre procedure. La stazione appaltante non può ammettere alla stessa procedura altri operatori economici che non abbiano chiesto di partecipare o candidati che non abbiano le capacità richieste.</w:t>
      </w:r>
    </w:p>
    <w:p w14:paraId="06D0831C"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7. Nella procedura competitiva con negoziazione, nel dialogo competitivo e nel partenariato per l’innovazione, nel corso delle negoziazioni e durante il dialogo, le stazioni appaltanti garantiscono la parità di trattamento di tutti i partecipanti; non forniscono in maniera discriminatoria informazioni che possano avvantaggiare determinati partecipanti rispetto ad altri; conformemente all'articolo 35, non rivelano le soluzioni proposte o altre informazioni riservate comunicate da un candidato o da un offerente partecipante alle negoziazioni o al dialogo, salvo espresso consenso di quest'ultimo e in relazione alle sole informazioni specifiche espressamente indicate. Relativamente al partenariato per l’innovazione, le stazioni appaltanti definiscono nei documenti di gara il regime applicabile ai diritti di proprietà intellettuale e, in caso di partenariato con più operatori economici, non rivelano agli altri operatori economici, conformemente all’articolo 35, le soluzioni proposte o altre informazioni riservate comunicate da un operatore economico, nel quadro del partenariato, salvo espresso consenso di quest’ultimo e in relazione alle sole informazioni specifiche espressamente indicate.</w:t>
      </w:r>
    </w:p>
    <w:p w14:paraId="3CB648E9" w14:textId="77777777" w:rsidR="00446F27" w:rsidRPr="004A5029" w:rsidRDefault="00446F27" w:rsidP="00446F27">
      <w:pPr>
        <w:jc w:val="both"/>
        <w:rPr>
          <w:rFonts w:ascii="Times New Roman" w:hAnsi="Times New Roman" w:cs="Times New Roman"/>
          <w:b/>
          <w:bCs/>
          <w:color w:val="000000" w:themeColor="text1"/>
        </w:rPr>
      </w:pPr>
    </w:p>
    <w:p w14:paraId="2FF40107"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color w:val="000000" w:themeColor="text1"/>
        </w:rPr>
        <w:t>Articolo 71.</w:t>
      </w:r>
    </w:p>
    <w:p w14:paraId="24BBF20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i/>
          <w:color w:val="000000" w:themeColor="text1"/>
        </w:rPr>
        <w:t>Procedura aperta</w:t>
      </w:r>
      <w:r w:rsidRPr="004A5029">
        <w:rPr>
          <w:rFonts w:ascii="Times New Roman" w:hAnsi="Times New Roman" w:cs="Times New Roman"/>
          <w:color w:val="000000" w:themeColor="text1"/>
        </w:rPr>
        <w:t>.</w:t>
      </w:r>
    </w:p>
    <w:p w14:paraId="1DBF409A"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Nelle procedure aperte qualsiasi operatore economico interessato può presentare un'offerta in risposta a un avviso di indizione di gara.</w:t>
      </w:r>
    </w:p>
    <w:p w14:paraId="7B44BCA1" w14:textId="47744B2D"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Il termine minimo per la ricezione delle offerte è di </w:t>
      </w:r>
      <w:r w:rsidRPr="004A5029">
        <w:rPr>
          <w:rFonts w:ascii="Times New Roman" w:hAnsi="Times New Roman" w:cs="Times New Roman"/>
          <w:b/>
          <w:strike/>
          <w:color w:val="000000" w:themeColor="text1"/>
        </w:rPr>
        <w:t>30</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trenta </w:t>
      </w:r>
      <w:r w:rsidRPr="004A5029">
        <w:rPr>
          <w:rFonts w:ascii="Times New Roman" w:hAnsi="Times New Roman" w:cs="Times New Roman"/>
          <w:bCs/>
          <w:color w:val="000000" w:themeColor="text1"/>
        </w:rPr>
        <w:t>giorni dalla data di trasmissione del bando di gara ai sensi dell’articolo 84. Le offerte sono accompagnate dalle informazioni richieste dalla stazione appaltante.</w:t>
      </w:r>
    </w:p>
    <w:p w14:paraId="0B0BE3FC" w14:textId="493E5B8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Le stazioni appaltanti possono fissare un termine non inferiore a </w:t>
      </w:r>
      <w:r w:rsidRPr="004A5029">
        <w:rPr>
          <w:rFonts w:ascii="Times New Roman" w:hAnsi="Times New Roman" w:cs="Times New Roman"/>
          <w:b/>
          <w:strike/>
          <w:color w:val="000000" w:themeColor="text1"/>
        </w:rPr>
        <w:t>15</w:t>
      </w:r>
      <w:r w:rsidRPr="004A5029">
        <w:rPr>
          <w:rFonts w:ascii="Times New Roman" w:hAnsi="Times New Roman" w:cs="Times New Roman"/>
          <w:b/>
          <w:color w:val="000000" w:themeColor="text1"/>
        </w:rPr>
        <w:t xml:space="preserve"> </w:t>
      </w:r>
      <w:r w:rsidR="00407103" w:rsidRPr="004A5029">
        <w:rPr>
          <w:rFonts w:ascii="Times New Roman" w:hAnsi="Times New Roman" w:cs="Times New Roman"/>
          <w:b/>
          <w:color w:val="000000" w:themeColor="text1"/>
        </w:rPr>
        <w:t xml:space="preserve">quindici </w:t>
      </w:r>
      <w:r w:rsidRPr="004A5029">
        <w:rPr>
          <w:rFonts w:ascii="Times New Roman" w:hAnsi="Times New Roman" w:cs="Times New Roman"/>
          <w:bCs/>
          <w:color w:val="000000" w:themeColor="text1"/>
        </w:rPr>
        <w:t xml:space="preserve">giorni a decorrere dalla data di trasmissione del bando di gara ai sensi dell’articolo 84, se per ragioni di urgenza, specificamente motivate, il termine minimo stabilito </w:t>
      </w:r>
      <w:r w:rsidR="008525B3" w:rsidRPr="004A5029">
        <w:rPr>
          <w:rFonts w:ascii="Times New Roman" w:hAnsi="Times New Roman" w:cs="Times New Roman"/>
          <w:bCs/>
          <w:color w:val="000000" w:themeColor="text1"/>
        </w:rPr>
        <w:t>d</w:t>
      </w:r>
      <w:r w:rsidRPr="004A5029">
        <w:rPr>
          <w:rFonts w:ascii="Times New Roman" w:hAnsi="Times New Roman" w:cs="Times New Roman"/>
          <w:bCs/>
          <w:color w:val="000000" w:themeColor="text1"/>
        </w:rPr>
        <w:t>al comma 2 del presente articolo non può essere rispettato.</w:t>
      </w:r>
    </w:p>
    <w:p w14:paraId="04CC02A0" w14:textId="70D635E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Nel caso in cui le </w:t>
      </w:r>
      <w:r w:rsidRPr="004A5029">
        <w:rPr>
          <w:rFonts w:ascii="Times New Roman" w:hAnsi="Times New Roman" w:cs="Times New Roman"/>
          <w:bCs/>
          <w:color w:val="000000" w:themeColor="text1"/>
        </w:rPr>
        <w:t>stazioni appaltanti</w:t>
      </w:r>
      <w:r w:rsidRPr="004A5029">
        <w:rPr>
          <w:rFonts w:ascii="Times New Roman" w:hAnsi="Times New Roman" w:cs="Times New Roman"/>
          <w:color w:val="000000" w:themeColor="text1"/>
        </w:rPr>
        <w:t xml:space="preserve"> abbiano pubblicato un avviso di pre-informazione </w:t>
      </w:r>
      <w:r w:rsidRPr="004A5029">
        <w:rPr>
          <w:rFonts w:ascii="Times New Roman" w:hAnsi="Times New Roman" w:cs="Times New Roman"/>
          <w:bCs/>
          <w:color w:val="000000" w:themeColor="text1"/>
        </w:rPr>
        <w:t xml:space="preserve">di cui all’articolo 81 </w:t>
      </w:r>
      <w:r w:rsidRPr="004A5029">
        <w:rPr>
          <w:rFonts w:ascii="Times New Roman" w:hAnsi="Times New Roman" w:cs="Times New Roman"/>
          <w:color w:val="000000" w:themeColor="text1"/>
        </w:rPr>
        <w:t xml:space="preserve">che non sia stato usato come mezzo di indizione di una gara, il termine minimo di cui al comma 2 del presente articolo può essere ridotto a </w:t>
      </w:r>
      <w:r w:rsidR="00407103" w:rsidRPr="004A5029">
        <w:rPr>
          <w:rFonts w:ascii="Times New Roman" w:hAnsi="Times New Roman" w:cs="Times New Roman"/>
          <w:b/>
          <w:strike/>
          <w:color w:val="000000" w:themeColor="text1"/>
        </w:rPr>
        <w:t>15</w:t>
      </w:r>
      <w:r w:rsidR="00407103" w:rsidRPr="004A5029">
        <w:rPr>
          <w:rFonts w:ascii="Times New Roman" w:hAnsi="Times New Roman" w:cs="Times New Roman"/>
          <w:b/>
          <w:color w:val="000000" w:themeColor="text1"/>
        </w:rPr>
        <w:t xml:space="preserve"> quindici</w:t>
      </w:r>
      <w:r w:rsidRPr="004A5029">
        <w:rPr>
          <w:rFonts w:ascii="Times New Roman" w:hAnsi="Times New Roman" w:cs="Times New Roman"/>
          <w:color w:val="000000" w:themeColor="text1"/>
        </w:rPr>
        <w:t xml:space="preserve"> giorni purché </w:t>
      </w:r>
      <w:r w:rsidRPr="004A5029">
        <w:rPr>
          <w:rFonts w:ascii="Times New Roman" w:hAnsi="Times New Roman" w:cs="Times New Roman"/>
          <w:bCs/>
          <w:color w:val="000000" w:themeColor="text1"/>
        </w:rPr>
        <w:t>concorrano</w:t>
      </w:r>
      <w:r w:rsidRPr="004A5029">
        <w:rPr>
          <w:rFonts w:ascii="Times New Roman" w:hAnsi="Times New Roman" w:cs="Times New Roman"/>
          <w:color w:val="000000" w:themeColor="text1"/>
        </w:rPr>
        <w:t xml:space="preserve"> le seguenti condizioni:</w:t>
      </w:r>
    </w:p>
    <w:p w14:paraId="1092DFC7" w14:textId="5F89B38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l'avviso di pre-informazione contenga tutte le informazioni richieste per il bando di gara di cui all'allegato II.6, </w:t>
      </w:r>
      <w:bookmarkStart w:id="32" w:name="_Hlk125386131"/>
      <w:r w:rsidR="00C059E9" w:rsidRPr="004A5029">
        <w:rPr>
          <w:rFonts w:ascii="Times New Roman" w:hAnsi="Times New Roman" w:cs="Times New Roman"/>
          <w:b/>
          <w:bCs/>
          <w:color w:val="000000" w:themeColor="text1"/>
        </w:rPr>
        <w:t>P</w:t>
      </w:r>
      <w:bookmarkEnd w:id="32"/>
      <w:r w:rsidRPr="004A5029">
        <w:rPr>
          <w:rFonts w:ascii="Times New Roman" w:hAnsi="Times New Roman" w:cs="Times New Roman"/>
          <w:color w:val="000000" w:themeColor="text1"/>
        </w:rPr>
        <w:t>arte I, lettera B, sezione B</w:t>
      </w:r>
      <w:bookmarkStart w:id="33" w:name="_Hlk127894100"/>
      <w:r w:rsidR="007B2A52" w:rsidRPr="004A5029">
        <w:rPr>
          <w:rFonts w:ascii="Times New Roman" w:hAnsi="Times New Roman" w:cs="Times New Roman"/>
          <w:b/>
          <w:bCs/>
          <w:color w:val="000000" w:themeColor="text1"/>
        </w:rPr>
        <w:t>.</w:t>
      </w:r>
      <w:bookmarkEnd w:id="33"/>
      <w:r w:rsidRPr="004A5029">
        <w:rPr>
          <w:rFonts w:ascii="Times New Roman" w:hAnsi="Times New Roman" w:cs="Times New Roman"/>
          <w:color w:val="000000" w:themeColor="text1"/>
        </w:rPr>
        <w:t>1, sempreché queste siano disponibili al momento della pubblicazione dell'avviso di pre-informazione;</w:t>
      </w:r>
    </w:p>
    <w:p w14:paraId="536CA755" w14:textId="63A1F1D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l'avviso di pre-informazione sia stato inviato alla pubblicazione da non meno di </w:t>
      </w:r>
      <w:r w:rsidR="00407103" w:rsidRPr="004A5029">
        <w:rPr>
          <w:rFonts w:ascii="Times New Roman" w:hAnsi="Times New Roman" w:cs="Times New Roman"/>
          <w:b/>
          <w:strike/>
          <w:color w:val="000000" w:themeColor="text1"/>
        </w:rPr>
        <w:t>35</w:t>
      </w:r>
      <w:r w:rsidR="00407103" w:rsidRPr="004A5029">
        <w:rPr>
          <w:rFonts w:ascii="Times New Roman" w:hAnsi="Times New Roman" w:cs="Times New Roman"/>
          <w:b/>
          <w:color w:val="000000" w:themeColor="text1"/>
        </w:rPr>
        <w:t xml:space="preserve"> trentacinque</w:t>
      </w:r>
      <w:r w:rsidRPr="004A5029">
        <w:rPr>
          <w:rFonts w:ascii="Times New Roman" w:hAnsi="Times New Roman" w:cs="Times New Roman"/>
          <w:color w:val="000000" w:themeColor="text1"/>
        </w:rPr>
        <w:t xml:space="preserve"> giorni e non oltre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hAnsi="Times New Roman" w:cs="Times New Roman"/>
          <w:color w:val="000000" w:themeColor="text1"/>
        </w:rPr>
        <w:t xml:space="preserve"> mesi prima della data di trasmissione del bando di gara. </w:t>
      </w:r>
    </w:p>
    <w:p w14:paraId="168E7471" w14:textId="7CC3D7AA"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 xml:space="preserve">5. </w:t>
      </w:r>
      <w:r w:rsidRPr="004A5029">
        <w:rPr>
          <w:rFonts w:ascii="Times New Roman" w:eastAsia="Calibri" w:hAnsi="Times New Roman" w:cs="Times New Roman"/>
          <w:color w:val="000000" w:themeColor="text1"/>
        </w:rPr>
        <w:t xml:space="preserve">In sede di prima applicazione del codice, l’allegato II.6 è abrogato a decorrere dalla data di entrata in vigore di un corrispondente regolamento </w:t>
      </w:r>
      <w:r w:rsidR="00364325" w:rsidRPr="004A5029">
        <w:rPr>
          <w:rFonts w:ascii="Times New Roman" w:eastAsia="Calibri" w:hAnsi="Times New Roman" w:cs="Times New Roman"/>
          <w:color w:val="000000" w:themeColor="text1"/>
        </w:rPr>
        <w:t>adottato</w:t>
      </w:r>
      <w:r w:rsidRPr="004A5029">
        <w:rPr>
          <w:rFonts w:ascii="Times New Roman" w:eastAsia="Calibri" w:hAnsi="Times New Roman" w:cs="Times New Roman"/>
          <w:color w:val="000000" w:themeColor="text1"/>
        </w:rPr>
        <w:t xml:space="preserve"> ai sensi dell’articolo 17, comma </w:t>
      </w:r>
      <w:r w:rsidR="00F6070C" w:rsidRPr="004A5029">
        <w:rPr>
          <w:rFonts w:ascii="Times New Roman" w:eastAsia="Calibri" w:hAnsi="Times New Roman" w:cs="Times New Roman"/>
          <w:color w:val="000000" w:themeColor="text1"/>
        </w:rPr>
        <w:t>3,</w:t>
      </w:r>
      <w:r w:rsidRPr="004A5029">
        <w:rPr>
          <w:rFonts w:ascii="Times New Roman" w:eastAsia="Calibri" w:hAnsi="Times New Roman" w:cs="Times New Roman"/>
          <w:color w:val="000000" w:themeColor="text1"/>
        </w:rPr>
        <w:t xml:space="preserve"> della legge 23 agosto 1988, n. 400, con decreto </w:t>
      </w:r>
      <w:r w:rsidR="00F6070C" w:rsidRPr="004A5029">
        <w:rPr>
          <w:rFonts w:ascii="Times New Roman" w:hAnsi="Times New Roman" w:cs="Times New Roman"/>
          <w:color w:val="000000" w:themeColor="text1"/>
        </w:rPr>
        <w:t>del Ministro delle infrastrutture e dei trasporti</w:t>
      </w:r>
      <w:r w:rsidRPr="004A5029">
        <w:rPr>
          <w:rFonts w:ascii="Times New Roman" w:eastAsia="Calibri" w:hAnsi="Times New Roman" w:cs="Times New Roman"/>
          <w:color w:val="000000" w:themeColor="text1"/>
        </w:rPr>
        <w:t>, che lo sostituisce integralmente anche in qualità di allegato al codice</w:t>
      </w:r>
      <w:r w:rsidRPr="004A5029">
        <w:rPr>
          <w:rFonts w:ascii="Times New Roman" w:hAnsi="Times New Roman" w:cs="Times New Roman"/>
          <w:color w:val="000000" w:themeColor="text1"/>
        </w:rPr>
        <w:t>.</w:t>
      </w:r>
    </w:p>
    <w:p w14:paraId="0C178E9E" w14:textId="77777777" w:rsidR="00446F27" w:rsidRPr="004A5029" w:rsidRDefault="00446F27" w:rsidP="00446F27">
      <w:pPr>
        <w:jc w:val="both"/>
        <w:rPr>
          <w:rFonts w:ascii="Times New Roman" w:hAnsi="Times New Roman" w:cs="Times New Roman"/>
          <w:color w:val="000000" w:themeColor="text1"/>
        </w:rPr>
      </w:pPr>
    </w:p>
    <w:p w14:paraId="6E0F0CA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
          <w:color w:val="000000" w:themeColor="text1"/>
        </w:rPr>
        <w:t xml:space="preserve">Articolo 72. </w:t>
      </w:r>
    </w:p>
    <w:p w14:paraId="1961EE6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Procedura ristretta.</w:t>
      </w:r>
    </w:p>
    <w:p w14:paraId="4969F615" w14:textId="597D262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Nelle procedure ristrette qualsiasi operatore economico può presentare una domanda di partecipazione in risposta a un avviso di indizione di gara contenente i dati di cui all'allegato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 lettera B o C a seconda del caso, fornendo le informazioni richieste dalla </w:t>
      </w:r>
      <w:r w:rsidRPr="004A5029">
        <w:rPr>
          <w:rFonts w:ascii="Times New Roman" w:hAnsi="Times New Roman" w:cs="Times New Roman"/>
          <w:bCs/>
          <w:color w:val="000000" w:themeColor="text1"/>
        </w:rPr>
        <w:t>stazione appaltante</w:t>
      </w:r>
      <w:r w:rsidRPr="004A5029">
        <w:rPr>
          <w:rFonts w:ascii="Times New Roman" w:hAnsi="Times New Roman" w:cs="Times New Roman"/>
          <w:color w:val="000000" w:themeColor="text1"/>
        </w:rPr>
        <w:t>.</w:t>
      </w:r>
    </w:p>
    <w:p w14:paraId="06BA58E8" w14:textId="29CE60D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Il termine minimo per la ricezione delle domande di partecipazione è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data di trasmissione del bando di gara </w:t>
      </w:r>
      <w:r w:rsidRPr="004A5029">
        <w:rPr>
          <w:rFonts w:ascii="Times New Roman" w:hAnsi="Times New Roman" w:cs="Times New Roman"/>
          <w:bCs/>
          <w:color w:val="000000" w:themeColor="text1"/>
        </w:rPr>
        <w:t>ai sensi dell’articolo 84 o</w:t>
      </w:r>
      <w:r w:rsidRPr="004A5029">
        <w:rPr>
          <w:rFonts w:ascii="Times New Roman" w:hAnsi="Times New Roman" w:cs="Times New Roman"/>
          <w:color w:val="000000" w:themeColor="text1"/>
        </w:rPr>
        <w:t>, se è utilizzato l’avviso di pre-informazione come mezzo di indizione di una gara, dalla data d'invio dell'invito a confermare il proprio interesse.</w:t>
      </w:r>
    </w:p>
    <w:p w14:paraId="5F6A569B" w14:textId="7151D21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A seguito della valutazione da parte delle </w:t>
      </w:r>
      <w:r w:rsidRPr="004A5029">
        <w:rPr>
          <w:rFonts w:ascii="Times New Roman" w:hAnsi="Times New Roman" w:cs="Times New Roman"/>
          <w:bCs/>
          <w:color w:val="000000" w:themeColor="text1"/>
        </w:rPr>
        <w:t>stazioni appaltanti</w:t>
      </w:r>
      <w:r w:rsidRPr="004A5029">
        <w:rPr>
          <w:rFonts w:ascii="Times New Roman" w:hAnsi="Times New Roman" w:cs="Times New Roman"/>
          <w:color w:val="000000" w:themeColor="text1"/>
        </w:rPr>
        <w:t xml:space="preserve"> delle informazioni fornite, soltanto gli operatori economici invitati possono presentare un'offerta. Il termine minimo per la ricezione delle offerte è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data dell’invito a presentare offerte</w:t>
      </w:r>
      <w:r w:rsidRPr="004A5029">
        <w:rPr>
          <w:rFonts w:ascii="Times New Roman" w:hAnsi="Times New Roman" w:cs="Times New Roman"/>
          <w:bCs/>
          <w:color w:val="000000" w:themeColor="text1"/>
        </w:rPr>
        <w:t>.</w:t>
      </w:r>
    </w:p>
    <w:p w14:paraId="58661606" w14:textId="37E17E4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w:t>
      </w:r>
      <w:r w:rsidRPr="004A5029">
        <w:rPr>
          <w:rFonts w:ascii="Times New Roman" w:hAnsi="Times New Roman" w:cs="Times New Roman"/>
          <w:bCs/>
          <w:color w:val="000000" w:themeColor="text1"/>
        </w:rPr>
        <w:t>Se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le stazioni appaltanti</w:t>
      </w:r>
      <w:r w:rsidRPr="004A5029">
        <w:rPr>
          <w:rFonts w:ascii="Times New Roman" w:hAnsi="Times New Roman" w:cs="Times New Roman"/>
          <w:color w:val="000000" w:themeColor="text1"/>
        </w:rPr>
        <w:t xml:space="preserve"> hanno pubblicato l’avviso di pre-informazione non utilizzato per l'indizione di una gara, il termine minimo per la presentazione delle offerte può essere ridotto a </w:t>
      </w:r>
      <w:r w:rsidRPr="004A5029">
        <w:rPr>
          <w:rFonts w:ascii="Times New Roman" w:hAnsi="Times New Roman" w:cs="Times New Roman"/>
          <w:b/>
          <w:bCs/>
          <w:strike/>
          <w:color w:val="000000" w:themeColor="text1"/>
        </w:rPr>
        <w:t>10</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dieci </w:t>
      </w:r>
      <w:r w:rsidRPr="004A5029">
        <w:rPr>
          <w:rFonts w:ascii="Times New Roman" w:hAnsi="Times New Roman" w:cs="Times New Roman"/>
          <w:color w:val="000000" w:themeColor="text1"/>
        </w:rPr>
        <w:t xml:space="preserve">giorni purché </w:t>
      </w:r>
      <w:r w:rsidRPr="004A5029">
        <w:rPr>
          <w:rFonts w:ascii="Times New Roman" w:hAnsi="Times New Roman" w:cs="Times New Roman"/>
          <w:bCs/>
          <w:color w:val="000000" w:themeColor="text1"/>
        </w:rPr>
        <w:t>concorrano</w:t>
      </w:r>
      <w:r w:rsidRPr="004A5029">
        <w:rPr>
          <w:rFonts w:ascii="Times New Roman" w:hAnsi="Times New Roman" w:cs="Times New Roman"/>
          <w:color w:val="000000" w:themeColor="text1"/>
        </w:rPr>
        <w:t xml:space="preserve"> le seguenti circostanze:</w:t>
      </w:r>
    </w:p>
    <w:p w14:paraId="6265B6C7" w14:textId="3D6E872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l'avviso di pre-informazione contenga tutte le informazioni richieste nel</w:t>
      </w:r>
      <w:r w:rsidR="008525B3" w:rsidRPr="004A5029">
        <w:rPr>
          <w:rFonts w:ascii="Times New Roman" w:hAnsi="Times New Roman" w:cs="Times New Roman"/>
          <w:color w:val="000000" w:themeColor="text1"/>
        </w:rPr>
        <w:t>l’</w:t>
      </w:r>
      <w:r w:rsidRPr="004A5029">
        <w:rPr>
          <w:rFonts w:ascii="Times New Roman" w:hAnsi="Times New Roman" w:cs="Times New Roman"/>
          <w:color w:val="000000" w:themeColor="text1"/>
        </w:rPr>
        <w:t xml:space="preserve">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arte I, lettera B, sezione B</w:t>
      </w:r>
      <w:r w:rsidR="007B2A52"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1, purché dette informazioni siano disponibili al momento della pubblicazione dell'avviso di pre-informazione;</w:t>
      </w:r>
    </w:p>
    <w:p w14:paraId="6087A114" w14:textId="236E291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l'avviso di pre-informazione sia stato </w:t>
      </w:r>
      <w:r w:rsidRPr="004A5029">
        <w:rPr>
          <w:rFonts w:ascii="Times New Roman" w:hAnsi="Times New Roman" w:cs="Times New Roman"/>
          <w:bCs/>
          <w:color w:val="000000" w:themeColor="text1"/>
        </w:rPr>
        <w:t>trasmesso</w:t>
      </w:r>
      <w:r w:rsidRPr="004A5029">
        <w:rPr>
          <w:rFonts w:ascii="Times New Roman" w:hAnsi="Times New Roman" w:cs="Times New Roman"/>
          <w:color w:val="000000" w:themeColor="text1"/>
        </w:rPr>
        <w:t xml:space="preserve"> da non meno di </w:t>
      </w:r>
      <w:r w:rsidR="00EF254E" w:rsidRPr="004A5029">
        <w:rPr>
          <w:rFonts w:ascii="Times New Roman" w:hAnsi="Times New Roman" w:cs="Times New Roman"/>
          <w:b/>
          <w:strike/>
          <w:color w:val="000000" w:themeColor="text1"/>
        </w:rPr>
        <w:t>35</w:t>
      </w:r>
      <w:r w:rsidR="00EF254E" w:rsidRPr="004A5029">
        <w:rPr>
          <w:rFonts w:ascii="Times New Roman" w:hAnsi="Times New Roman" w:cs="Times New Roman"/>
          <w:b/>
          <w:color w:val="000000" w:themeColor="text1"/>
        </w:rPr>
        <w:t xml:space="preserve"> trentacinque</w:t>
      </w:r>
      <w:r w:rsidRPr="004A5029">
        <w:rPr>
          <w:rFonts w:ascii="Times New Roman" w:hAnsi="Times New Roman" w:cs="Times New Roman"/>
          <w:color w:val="000000" w:themeColor="text1"/>
        </w:rPr>
        <w:t xml:space="preserve"> giorni e non oltre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mesi prima della data di trasmissione del bando di gara.</w:t>
      </w:r>
    </w:p>
    <w:p w14:paraId="5AB7B827" w14:textId="656B9DA1" w:rsidR="00446F27" w:rsidRPr="004A5029" w:rsidRDefault="00446F27" w:rsidP="00446F27">
      <w:pPr>
        <w:jc w:val="both"/>
        <w:rPr>
          <w:rFonts w:ascii="Times New Roman" w:hAnsi="Times New Roman" w:cs="Times New Roman"/>
          <w:strike/>
          <w:color w:val="000000" w:themeColor="text1"/>
        </w:rPr>
      </w:pPr>
      <w:r w:rsidRPr="004A5029">
        <w:rPr>
          <w:rFonts w:ascii="Times New Roman" w:hAnsi="Times New Roman" w:cs="Times New Roman"/>
          <w:color w:val="000000" w:themeColor="text1"/>
        </w:rPr>
        <w:t xml:space="preserve">5. Le </w:t>
      </w:r>
      <w:r w:rsidRPr="004A5029">
        <w:rPr>
          <w:rFonts w:ascii="Times New Roman" w:hAnsi="Times New Roman" w:cs="Times New Roman"/>
          <w:bCs/>
          <w:color w:val="000000" w:themeColor="text1"/>
        </w:rPr>
        <w:t>stazioni appaltanti</w:t>
      </w:r>
      <w:r w:rsidRPr="004A5029">
        <w:rPr>
          <w:rFonts w:ascii="Times New Roman" w:hAnsi="Times New Roman" w:cs="Times New Roman"/>
          <w:color w:val="000000" w:themeColor="text1"/>
        </w:rPr>
        <w:t xml:space="preserve"> di cui all'articolo 1, comma 1, lettera d), dell’allegato I.1 possono fissare il termine per la ricezione delle offerte di concerto con i candidati selezionati, purché questi ultimi dispongano di un termine identico per redigere e presentare le loro offerte. In </w:t>
      </w:r>
      <w:r w:rsidRPr="004A5029">
        <w:rPr>
          <w:rFonts w:ascii="Times New Roman" w:hAnsi="Times New Roman" w:cs="Times New Roman"/>
          <w:bCs/>
          <w:color w:val="000000" w:themeColor="text1"/>
        </w:rPr>
        <w:t>mancanza</w:t>
      </w:r>
      <w:r w:rsidRPr="004A5029">
        <w:rPr>
          <w:rFonts w:ascii="Times New Roman" w:hAnsi="Times New Roman" w:cs="Times New Roman"/>
          <w:color w:val="000000" w:themeColor="text1"/>
        </w:rPr>
        <w:t xml:space="preserve"> di accordo, il termine non può essere</w:t>
      </w:r>
      <w:r w:rsidR="00F85D86" w:rsidRPr="004A5029">
        <w:rPr>
          <w:rFonts w:ascii="Times New Roman" w:hAnsi="Times New Roman" w:cs="Times New Roman"/>
          <w:color w:val="000000" w:themeColor="text1"/>
        </w:rPr>
        <w:t xml:space="preserve"> inferiore a </w:t>
      </w:r>
      <w:r w:rsidR="00F85D86" w:rsidRPr="004A5029">
        <w:rPr>
          <w:rFonts w:ascii="Times New Roman" w:hAnsi="Times New Roman" w:cs="Times New Roman"/>
          <w:b/>
          <w:bCs/>
          <w:strike/>
          <w:color w:val="000000" w:themeColor="text1"/>
        </w:rPr>
        <w:t>10</w:t>
      </w:r>
      <w:r w:rsidR="00F85D86" w:rsidRPr="004A5029">
        <w:rPr>
          <w:rFonts w:ascii="Times New Roman" w:hAnsi="Times New Roman" w:cs="Times New Roman"/>
          <w:b/>
          <w:bCs/>
          <w:color w:val="000000" w:themeColor="text1"/>
        </w:rPr>
        <w:t xml:space="preserve"> dieci</w:t>
      </w:r>
      <w:r w:rsidR="00F85D86" w:rsidRPr="004A5029">
        <w:rPr>
          <w:rFonts w:ascii="Times New Roman" w:hAnsi="Times New Roman" w:cs="Times New Roman"/>
          <w:color w:val="000000" w:themeColor="text1"/>
        </w:rPr>
        <w:t xml:space="preserve"> giorni dalla data di invio dell'invito a presentare offerte</w:t>
      </w:r>
      <w:r w:rsidR="008042CC" w:rsidRPr="004A5029">
        <w:rPr>
          <w:rFonts w:ascii="Times New Roman" w:hAnsi="Times New Roman" w:cs="Times New Roman"/>
          <w:b/>
          <w:bCs/>
          <w:color w:val="000000" w:themeColor="text1"/>
        </w:rPr>
        <w:t>.</w:t>
      </w:r>
    </w:p>
    <w:p w14:paraId="76A27EEB" w14:textId="72B2AEB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Quando per motivate ragioni di urgenza è impossibile rispettare i termini minimi previsti </w:t>
      </w:r>
      <w:r w:rsidR="008525B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presente articolo, la stazione appaltante può fissare:</w:t>
      </w:r>
    </w:p>
    <w:p w14:paraId="63DE47A3" w14:textId="5E62FDB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per la ricezione delle domande di partecipazione, un termine non inferiore a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 dalla data di pubblicazione del bando di gara;</w:t>
      </w:r>
    </w:p>
    <w:p w14:paraId="0E978C55" w14:textId="1D52D4D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per la ricezione delle offerte, un termine non inferiore a </w:t>
      </w:r>
      <w:r w:rsidR="00EF254E" w:rsidRPr="004A5029">
        <w:rPr>
          <w:rFonts w:ascii="Times New Roman" w:hAnsi="Times New Roman" w:cs="Times New Roman"/>
          <w:b/>
          <w:bCs/>
          <w:strike/>
          <w:color w:val="000000" w:themeColor="text1"/>
        </w:rPr>
        <w:t>10</w:t>
      </w:r>
      <w:r w:rsidR="00EF254E" w:rsidRPr="004A5029">
        <w:rPr>
          <w:rFonts w:ascii="Times New Roman" w:hAnsi="Times New Roman" w:cs="Times New Roman"/>
          <w:b/>
          <w:bCs/>
          <w:color w:val="000000" w:themeColor="text1"/>
        </w:rPr>
        <w:t xml:space="preserve"> dieci</w:t>
      </w:r>
      <w:r w:rsidRPr="004A5029">
        <w:rPr>
          <w:rFonts w:ascii="Times New Roman" w:hAnsi="Times New Roman" w:cs="Times New Roman"/>
          <w:color w:val="000000" w:themeColor="text1"/>
        </w:rPr>
        <w:t xml:space="preserve"> giorni a decorrere dalla data di invio dell'invito a presentare offerte.</w:t>
      </w:r>
    </w:p>
    <w:p w14:paraId="3C0395D3" w14:textId="77777777" w:rsidR="00446F27" w:rsidRPr="004A5029" w:rsidRDefault="00446F27" w:rsidP="00446F27">
      <w:pPr>
        <w:tabs>
          <w:tab w:val="left" w:pos="2835"/>
        </w:tabs>
        <w:jc w:val="both"/>
        <w:rPr>
          <w:rFonts w:ascii="Times New Roman" w:hAnsi="Times New Roman" w:cs="Times New Roman"/>
          <w:b/>
          <w:bCs/>
          <w:color w:val="000000" w:themeColor="text1"/>
        </w:rPr>
      </w:pPr>
    </w:p>
    <w:p w14:paraId="770AF313" w14:textId="7777777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73.</w:t>
      </w:r>
    </w:p>
    <w:p w14:paraId="3F9E761A"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Procedura competitiva con negoziazione.</w:t>
      </w:r>
    </w:p>
    <w:p w14:paraId="080F1A78" w14:textId="34DD1C5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Nelle procedure competitive con negoziazione qualsiasi operatore economico può presentare una domanda di partecipazione in risposta a un avviso di indizione di gara contenente le informazioni di cui all'allegato II.6, </w:t>
      </w:r>
      <w:r w:rsidR="00C059E9" w:rsidRPr="004A5029">
        <w:rPr>
          <w:rFonts w:ascii="Times New Roman" w:hAnsi="Times New Roman" w:cs="Times New Roman"/>
          <w:b/>
          <w:bCs/>
          <w:color w:val="000000" w:themeColor="text1"/>
        </w:rPr>
        <w:t>P</w:t>
      </w:r>
      <w:r w:rsidRPr="004A5029">
        <w:rPr>
          <w:rFonts w:ascii="Times New Roman" w:eastAsia="Calibri" w:hAnsi="Times New Roman" w:cs="Times New Roman"/>
          <w:color w:val="000000" w:themeColor="text1"/>
        </w:rPr>
        <w:t xml:space="preserve">arte I, lettere B o C, fornendo le informazioni richieste dalla </w:t>
      </w:r>
      <w:r w:rsidRPr="004A5029">
        <w:rPr>
          <w:rFonts w:ascii="Times New Roman" w:eastAsia="Calibri" w:hAnsi="Times New Roman" w:cs="Times New Roman"/>
          <w:bCs/>
          <w:color w:val="000000" w:themeColor="text1"/>
        </w:rPr>
        <w:t>stazione appaltante.</w:t>
      </w:r>
    </w:p>
    <w:p w14:paraId="0033EE36"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Nei documenti di gara le stazioni appaltanti individuano l'oggetto dell'appalto fornendo una descrizione delle loro esigenze, illustrando le caratteristiche richieste per le forniture, i lavori o i servizi da appaltare e specificando i criteri per l'aggiudicazione dell'appalto. Esse precisano</w:t>
      </w:r>
      <w:r w:rsidRPr="004A5029">
        <w:rPr>
          <w:rFonts w:ascii="Times New Roman" w:eastAsia="Calibri" w:hAnsi="Times New Roman" w:cs="Times New Roman"/>
          <w:i/>
          <w:color w:val="000000" w:themeColor="text1"/>
        </w:rPr>
        <w:t xml:space="preserve"> </w:t>
      </w:r>
      <w:r w:rsidRPr="004A5029">
        <w:rPr>
          <w:rFonts w:ascii="Times New Roman" w:eastAsia="Calibri" w:hAnsi="Times New Roman" w:cs="Times New Roman"/>
          <w:color w:val="000000" w:themeColor="text1"/>
        </w:rPr>
        <w:t>altresì quali elementi della descrizione definiscono i requisiti minimi che tutti gli offerenti devono soddisfare.</w:t>
      </w:r>
    </w:p>
    <w:p w14:paraId="2DB7E2F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3. Le informazioni fornite consentono agli operatori economici di individuare la natura e l'ambito dell'appalto e decidere se partecipare alla procedura.</w:t>
      </w:r>
    </w:p>
    <w:p w14:paraId="57FC0B74" w14:textId="52EE684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Il termine minimo per la ricezione delle domande di partecipazione è di </w:t>
      </w:r>
      <w:r w:rsidR="00EF254E" w:rsidRPr="004A5029">
        <w:rPr>
          <w:rFonts w:ascii="Times New Roman" w:hAnsi="Times New Roman" w:cs="Times New Roman"/>
          <w:b/>
          <w:bCs/>
          <w:strike/>
          <w:color w:val="000000" w:themeColor="text1"/>
        </w:rPr>
        <w:t>10</w:t>
      </w:r>
      <w:r w:rsidR="00EF254E" w:rsidRPr="004A5029">
        <w:rPr>
          <w:rFonts w:ascii="Times New Roman" w:hAnsi="Times New Roman" w:cs="Times New Roman"/>
          <w:b/>
          <w:bCs/>
          <w:color w:val="000000" w:themeColor="text1"/>
        </w:rPr>
        <w:t xml:space="preserve"> dieci</w:t>
      </w:r>
      <w:r w:rsidRPr="004A5029">
        <w:rPr>
          <w:rFonts w:ascii="Times New Roman" w:hAnsi="Times New Roman" w:cs="Times New Roman"/>
          <w:color w:val="000000" w:themeColor="text1"/>
        </w:rPr>
        <w:t xml:space="preserve"> giorni dalla data di trasmissione del bando di gara </w:t>
      </w:r>
      <w:r w:rsidRPr="004A5029">
        <w:rPr>
          <w:rFonts w:ascii="Times New Roman" w:hAnsi="Times New Roman" w:cs="Times New Roman"/>
          <w:bCs/>
          <w:color w:val="000000" w:themeColor="text1"/>
        </w:rPr>
        <w:t xml:space="preserve">ai sensi dell’articolo 84 </w:t>
      </w:r>
      <w:r w:rsidRPr="004A5029">
        <w:rPr>
          <w:rFonts w:ascii="Times New Roman" w:hAnsi="Times New Roman" w:cs="Times New Roman"/>
          <w:color w:val="000000" w:themeColor="text1"/>
        </w:rPr>
        <w:t>o, se è utilizzato come mezzo di indizione di una gara un avviso di pre-informazione, dalla data d'invio dell'invito a confermare il proprio interesse.</w:t>
      </w:r>
    </w:p>
    <w:p w14:paraId="1C4682D0" w14:textId="16F2E0F4"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color w:val="000000" w:themeColor="text1"/>
        </w:rPr>
        <w:t xml:space="preserve">5. Il termine minimo per la ricezione delle offerte iniziali è di </w:t>
      </w:r>
      <w:r w:rsidRPr="004A5029">
        <w:rPr>
          <w:rFonts w:ascii="Times New Roman" w:hAnsi="Times New Roman" w:cs="Times New Roman"/>
          <w:b/>
          <w:strike/>
          <w:color w:val="000000" w:themeColor="text1"/>
        </w:rPr>
        <w:t>25</w:t>
      </w:r>
      <w:r w:rsidRPr="004A5029">
        <w:rPr>
          <w:rFonts w:ascii="Times New Roman" w:hAnsi="Times New Roman" w:cs="Times New Roman"/>
          <w:b/>
          <w:color w:val="000000" w:themeColor="text1"/>
        </w:rPr>
        <w:t xml:space="preserve"> </w:t>
      </w:r>
      <w:r w:rsidR="00EF254E" w:rsidRPr="004A5029">
        <w:rPr>
          <w:rFonts w:ascii="Times New Roman" w:hAnsi="Times New Roman" w:cs="Times New Roman"/>
          <w:b/>
          <w:color w:val="000000" w:themeColor="text1"/>
        </w:rPr>
        <w:t xml:space="preserve">venticinque </w:t>
      </w:r>
      <w:r w:rsidRPr="004A5029">
        <w:rPr>
          <w:rFonts w:ascii="Times New Roman" w:hAnsi="Times New Roman" w:cs="Times New Roman"/>
          <w:bCs/>
          <w:color w:val="000000" w:themeColor="text1"/>
        </w:rPr>
        <w:t>giorni dalla data di trasmissione dell'invito. I termini di cui al comma 4 e al presente comma sono ridotti nei casi previsti dall'articolo 72, commi 4, 5 e 6.</w:t>
      </w:r>
    </w:p>
    <w:p w14:paraId="7A731627"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Solo gli operatori economici invitati dalla stazione appaltante, in seguito alla valutazione delle informazioni fornite, possono presentare un'offerta iniziale. Salvo quanto previsto dal comma 9, l’offerta iniziale e quelle successive, esclusa l’offerta finale, possono essere negoziate per migliorarne il contenuto, salvo che per gli aspetti relativi ai requisiti minimi e ai criteri di aggiudicazione.</w:t>
      </w:r>
    </w:p>
    <w:p w14:paraId="2DD842BA"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7. Se previsto nel</w:t>
      </w:r>
      <w:r w:rsidRPr="004A5029">
        <w:rPr>
          <w:rFonts w:ascii="Times New Roman" w:eastAsia="Calibri" w:hAnsi="Times New Roman" w:cs="Times New Roman"/>
          <w:i/>
          <w:color w:val="000000" w:themeColor="text1"/>
        </w:rPr>
        <w:t xml:space="preserve"> </w:t>
      </w:r>
      <w:r w:rsidRPr="004A5029">
        <w:rPr>
          <w:rFonts w:ascii="Times New Roman" w:eastAsia="Calibri" w:hAnsi="Times New Roman" w:cs="Times New Roman"/>
          <w:color w:val="000000" w:themeColor="text1"/>
        </w:rPr>
        <w:t>bando di gara, nell'invito a confermare l’interesse o in altro documento di gara e in applicazione del criterio di aggiudicazione ivi indicato, le procedure competitive con negoziazione possono svolgersi in fasi successive per ridurre il numero di offerte da negoziare. La stazione appaltante informa per iscritto tutti gli offerenti le cui offerte non sono state escluse delle modifiche alle specifiche tecniche o ad altri documenti di gara diversi da quelli che stabiliscono i requisiti minimi, concedendo ad essi un tempo sufficiente per modificare e ripresentare, ove opportuno, le offerte modificate</w:t>
      </w:r>
      <w:r w:rsidRPr="004A5029">
        <w:rPr>
          <w:rFonts w:ascii="Times New Roman" w:eastAsia="Calibri" w:hAnsi="Times New Roman" w:cs="Times New Roman"/>
          <w:i/>
          <w:color w:val="000000" w:themeColor="text1"/>
        </w:rPr>
        <w:t>.</w:t>
      </w:r>
    </w:p>
    <w:p w14:paraId="7FD5339C"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hAnsi="Times New Roman" w:cs="Times New Roman"/>
          <w:bCs/>
          <w:color w:val="000000" w:themeColor="text1"/>
        </w:rPr>
        <w:t>8. Quando le stazioni appaltanti intendono concludere le negoziazioni, esse informano gli altri offerenti e stabiliscono un termine entro il quale possono essere presentate offerte nuove o modificate. Esse verificano che le offerte finali siano conformi ai requisiti minimi prescritti dall’articolo 107, valutano le offerte finali in base ai criteri di aggiudicazione e aggiudicano l’appalto ai sensi degli articoli 105, con riguardo ai costi del ciclo vita, 108 e 110, tenuto conto dei costi del ciclo vita disciplinati dall’allegato II.8.</w:t>
      </w:r>
    </w:p>
    <w:p w14:paraId="291CAB1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9. Le </w:t>
      </w:r>
      <w:r w:rsidRPr="004A5029">
        <w:rPr>
          <w:rFonts w:ascii="Times New Roman" w:hAnsi="Times New Roman" w:cs="Times New Roman"/>
          <w:bCs/>
          <w:color w:val="000000" w:themeColor="text1"/>
        </w:rPr>
        <w:t>stazioni appaltanti</w:t>
      </w:r>
      <w:r w:rsidRPr="004A5029">
        <w:rPr>
          <w:rFonts w:ascii="Times New Roman" w:hAnsi="Times New Roman" w:cs="Times New Roman"/>
          <w:color w:val="000000" w:themeColor="text1"/>
        </w:rPr>
        <w:t xml:space="preserve"> possono aggiudicare appalti sulla base delle offerte iniziali senza negoziazione </w:t>
      </w:r>
      <w:r w:rsidRPr="004A5029">
        <w:rPr>
          <w:rFonts w:ascii="Times New Roman" w:hAnsi="Times New Roman" w:cs="Times New Roman"/>
          <w:bCs/>
          <w:color w:val="000000" w:themeColor="text1"/>
        </w:rPr>
        <w:t>qualora abbiano indicato</w:t>
      </w:r>
      <w:r w:rsidRPr="004A5029">
        <w:rPr>
          <w:rFonts w:ascii="Times New Roman" w:hAnsi="Times New Roman" w:cs="Times New Roman"/>
          <w:color w:val="000000" w:themeColor="text1"/>
        </w:rPr>
        <w:t>, nel bando di gara o nell’invito a confermare l’interesse, che si riservano tale possibilità.</w:t>
      </w:r>
    </w:p>
    <w:p w14:paraId="3254BC2F" w14:textId="77777777" w:rsidR="00446F27" w:rsidRPr="004A5029" w:rsidRDefault="00446F27" w:rsidP="00446F27">
      <w:pPr>
        <w:jc w:val="both"/>
        <w:rPr>
          <w:rFonts w:ascii="Times New Roman" w:hAnsi="Times New Roman" w:cs="Times New Roman"/>
          <w:bCs/>
          <w:i/>
          <w:color w:val="000000" w:themeColor="text1"/>
        </w:rPr>
      </w:pPr>
    </w:p>
    <w:p w14:paraId="59ED84D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
          <w:color w:val="000000" w:themeColor="text1"/>
        </w:rPr>
        <w:t>Articolo 74</w:t>
      </w:r>
      <w:r w:rsidRPr="004A5029">
        <w:rPr>
          <w:rFonts w:ascii="Times New Roman" w:hAnsi="Times New Roman" w:cs="Times New Roman"/>
          <w:color w:val="000000" w:themeColor="text1"/>
        </w:rPr>
        <w:t>.</w:t>
      </w:r>
    </w:p>
    <w:p w14:paraId="4B39D9EC"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Cs/>
          <w:i/>
          <w:color w:val="000000" w:themeColor="text1"/>
        </w:rPr>
        <w:t>Dialogo competitivo.</w:t>
      </w:r>
    </w:p>
    <w:p w14:paraId="62FE9471" w14:textId="05F773E5"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1. Nel dialogo competitivo qualsiasi operatore economico può chiedere di partecipare in risposta a un bando di gara, o </w:t>
      </w:r>
      <w:r w:rsidR="001A5056" w:rsidRPr="004A5029">
        <w:rPr>
          <w:rFonts w:ascii="Times New Roman" w:hAnsi="Times New Roman" w:cs="Times New Roman"/>
          <w:b/>
          <w:color w:val="000000" w:themeColor="text1"/>
        </w:rPr>
        <w:t xml:space="preserve">a </w:t>
      </w:r>
      <w:r w:rsidRPr="004A5029">
        <w:rPr>
          <w:rFonts w:ascii="Times New Roman" w:hAnsi="Times New Roman" w:cs="Times New Roman"/>
          <w:color w:val="000000" w:themeColor="text1"/>
        </w:rPr>
        <w:t>un avviso di indizione di gara, fornendo le informazioni richieste dalla stazione appaltante.</w:t>
      </w:r>
    </w:p>
    <w:p w14:paraId="54BBBA63" w14:textId="40A7FE7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Il termine minimo per la ricezione delle domande di partecipazione è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bCs/>
          <w:color w:val="000000" w:themeColor="text1"/>
        </w:rPr>
        <w:t xml:space="preserve"> giorni dalla data di trasmissione del bando di gara</w:t>
      </w:r>
      <w:r w:rsidRPr="004A5029">
        <w:rPr>
          <w:rFonts w:ascii="Times New Roman" w:hAnsi="Times New Roman" w:cs="Times New Roman"/>
          <w:color w:val="000000" w:themeColor="text1"/>
        </w:rPr>
        <w:t xml:space="preserve"> ai sensi dell’articolo </w:t>
      </w:r>
      <w:r w:rsidRPr="004A5029">
        <w:rPr>
          <w:rFonts w:ascii="Times New Roman" w:hAnsi="Times New Roman" w:cs="Times New Roman"/>
          <w:bCs/>
          <w:color w:val="000000" w:themeColor="text1"/>
        </w:rPr>
        <w:t>84.</w:t>
      </w:r>
    </w:p>
    <w:p w14:paraId="7B99A55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Le stazioni appaltanti indicano nel bando di gara o nell’avviso di indizione di gara o in un documento descrittivo allegato le esigenze che intendono perseguire, i requisiti da soddisfare, il criterio di aggiudicazione, la durata indicativa della procedura nonché eventuali premi o pagamenti per i partecipanti al dialogo. L’appalto è aggiudicato unicamente sulla base del criterio dell’offerta con il miglior rapporto qualità/prezzo conformemente all’articolo 108. </w:t>
      </w:r>
    </w:p>
    <w:p w14:paraId="738471CF" w14:textId="2A3D713B"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Prima dell’avvio del dialogo le stazioni appaltanti possono organizzare una consultazione con gli operatori economici selezionati sulla base della documentazione posta a base di gara e sulle modalità di svolgimento del dialogo. Nei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bCs/>
          <w:color w:val="000000" w:themeColor="text1"/>
        </w:rPr>
        <w:t xml:space="preserve"> giorni successivi alla conclusione della </w:t>
      </w:r>
      <w:r w:rsidRPr="004A5029">
        <w:rPr>
          <w:rFonts w:ascii="Times New Roman" w:hAnsi="Times New Roman" w:cs="Times New Roman"/>
          <w:b/>
          <w:strike/>
          <w:color w:val="000000" w:themeColor="text1"/>
        </w:rPr>
        <w:t>conferenza</w:t>
      </w:r>
      <w:r w:rsidRPr="004A5029">
        <w:rPr>
          <w:rFonts w:ascii="Times New Roman" w:hAnsi="Times New Roman" w:cs="Times New Roman"/>
          <w:bCs/>
          <w:color w:val="000000" w:themeColor="text1"/>
        </w:rPr>
        <w:t xml:space="preserve"> </w:t>
      </w:r>
      <w:r w:rsidR="005D6931" w:rsidRPr="004A5029">
        <w:rPr>
          <w:rFonts w:ascii="Times New Roman" w:hAnsi="Times New Roman" w:cs="Times New Roman"/>
          <w:b/>
          <w:color w:val="000000" w:themeColor="text1"/>
        </w:rPr>
        <w:t xml:space="preserve">consultazione </w:t>
      </w:r>
      <w:r w:rsidRPr="004A5029">
        <w:rPr>
          <w:rFonts w:ascii="Times New Roman" w:hAnsi="Times New Roman" w:cs="Times New Roman"/>
          <w:bCs/>
          <w:color w:val="000000" w:themeColor="text1"/>
        </w:rPr>
        <w:t>i partecipanti selezionati possono recedere dal dialogo.</w:t>
      </w:r>
    </w:p>
    <w:p w14:paraId="78A1125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5. Il dialogo competitivo riguarda tutti gli aspetti dell’appalto ed è finalizzato all'individuazione e alla definizione dei mezzi più idonei a soddisfare le necessità della stazione appaltante. Ove previsto nel bando di gara o nel documento descrittivo e in applicazione del criterio di aggiudicazione ivi previsto, il dialogo competitivo può svolgersi in fasi successive per ridurre il numero di soluzioni emerse durante la fase del dialogo. Il dialogo competitivo prosegue finché la stazione appaltante non individua la soluzione o le soluzioni idonee a soddisfare le proprie esigenze</w:t>
      </w:r>
      <w:r w:rsidRPr="004A5029">
        <w:rPr>
          <w:rFonts w:ascii="Times New Roman" w:hAnsi="Times New Roman" w:cs="Times New Roman"/>
          <w:color w:val="000000" w:themeColor="text1"/>
        </w:rPr>
        <w:t xml:space="preserve">. Dichiarato concluso il dialogo e informati i partecipanti rimanenti, la stazione appaltante invita ciascuno di loro a presentare l’offerta finale </w:t>
      </w:r>
      <w:r w:rsidRPr="004A5029">
        <w:rPr>
          <w:rFonts w:ascii="Times New Roman" w:hAnsi="Times New Roman" w:cs="Times New Roman"/>
          <w:bCs/>
          <w:color w:val="000000" w:themeColor="text1"/>
        </w:rPr>
        <w:t>sulla</w:t>
      </w:r>
      <w:r w:rsidRPr="004A5029">
        <w:rPr>
          <w:rFonts w:ascii="Times New Roman" w:hAnsi="Times New Roman" w:cs="Times New Roman"/>
          <w:color w:val="000000" w:themeColor="text1"/>
        </w:rPr>
        <w:t xml:space="preserve"> base della soluzione o delle soluzioni presentate e specificate nella fase del dialogo. L’offerta contiene tutti gli elementi richiesti e necessari per l'esecuzione del progetto. Le offerte presentate possono essere, su richiesta della stazione appaltante, chiarite, precisate e perfezionate. I chiarimenti, le precisazioni e il completamento delle informazioni non possono avere l'effetto di modificare gli aspetti essenziali dell'offerta o dell'appalto, compresi i requisiti e le esigenze indicati nel bando di gara, nell'avviso di indizione di gara o nel documento descrittivo, qualora le variazioni rischino di falsare la concorrenza o di avere un effetto discriminatorio.</w:t>
      </w:r>
    </w:p>
    <w:p w14:paraId="5640C523"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color w:val="000000" w:themeColor="text1"/>
        </w:rPr>
        <w:t>6. Le stazioni appaltanti valutano le offerte ricevute sulla base dei criteri di aggiudicazione fissati nel bando di gara, nell'avviso di indizione di gara o nel documento descrittivo.</w:t>
      </w:r>
    </w:p>
    <w:p w14:paraId="3A4A62E9"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7. La stazione appaltante può condurre ulteriori negoziazioni con l'operatore economico che risulta aver presentato l'offerta con il miglior rapporto qualità/prezzo per confermare gli impegni finanziari o altri contenuti dell'offerta attraverso il completamento delle clausole del contratto, a condizione che da ciò non consegua la modifica sostanziale di elementi fondamentali dell’offerta o dell’appalto pubblico, comprese le esigenze e i requisiti definiti nel bando di gara o nel documento descrittivo, e che non si rischi di falsare la concorrenza o creare discriminazioni.</w:t>
      </w:r>
    </w:p>
    <w:p w14:paraId="651E9592" w14:textId="77777777" w:rsidR="00446F27" w:rsidRPr="004A5029" w:rsidRDefault="00446F27" w:rsidP="00446F27">
      <w:pPr>
        <w:jc w:val="both"/>
        <w:rPr>
          <w:rFonts w:ascii="Times New Roman" w:hAnsi="Times New Roman" w:cs="Times New Roman"/>
          <w:bCs/>
          <w:i/>
          <w:color w:val="000000" w:themeColor="text1"/>
        </w:rPr>
      </w:pPr>
    </w:p>
    <w:p w14:paraId="11B48069"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75.</w:t>
      </w:r>
    </w:p>
    <w:p w14:paraId="11422C5D"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Partenariato per l’innovazione.</w:t>
      </w:r>
    </w:p>
    <w:p w14:paraId="2F121AF7"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Nei documenti di gara la stazione appaltante identifica l’esigenza di prodotti, servizi o lavori innovativi che non può essere soddisfatta con quelli disponibili sul mercato. Indica altresì gli elementi dei prodotti, servizi o lavori innovativi identificati che definiscono i requisiti minimi che tutti gli offerenti devono soddisfare. Tali informazioni sono sufficientemente precise per permettere agli operatori economici di individuare la natura e l'ambito della soluzione richiesta e decidere se partecipare alla procedura.</w:t>
      </w:r>
    </w:p>
    <w:p w14:paraId="69054AD9"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Nel partenariato per l'innovazione qualsiasi operatore economico può formulare una domanda di partecipazione in risposta a un bando di gara o a un avviso di indizione di gara, fornendo gli elementi richiesti dalla stazione appaltante.</w:t>
      </w:r>
    </w:p>
    <w:p w14:paraId="1CC4A49B" w14:textId="642C85A8"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La stazione appaltante può decidere di instaurare il partenariato per l'innovazione con uno o più operatori economici che conducono attività di ricerca e sviluppo separate. Il termine minimo per la ricezione delle domande di partecipazione è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bCs/>
          <w:color w:val="000000" w:themeColor="text1"/>
        </w:rPr>
        <w:t xml:space="preserve"> giorni dalla data di trasmissione del bando di gara</w:t>
      </w:r>
      <w:r w:rsidRPr="004A5029">
        <w:rPr>
          <w:rFonts w:ascii="Times New Roman" w:hAnsi="Times New Roman" w:cs="Times New Roman"/>
          <w:color w:val="000000" w:themeColor="text1"/>
        </w:rPr>
        <w:t xml:space="preserve"> ai sensi dell’articolo 84</w:t>
      </w:r>
      <w:r w:rsidRPr="004A5029">
        <w:rPr>
          <w:rFonts w:ascii="Times New Roman" w:hAnsi="Times New Roman" w:cs="Times New Roman"/>
          <w:bCs/>
          <w:color w:val="000000" w:themeColor="text1"/>
        </w:rPr>
        <w:t>. Gli appalti sono aggiudicati unicamente sulla base del miglior rapporto qualità/prezzo ai sensi dell'articolo 108.</w:t>
      </w:r>
    </w:p>
    <w:p w14:paraId="202CD52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Nel selezionare i candidati le stazioni appaltanti applicano i criteri relativi alle capacità dei candidati nel settore della ricerca e dello sviluppo e nella messa a punto e attuazione di soluzioni innovative. Soltanto gli operatori economici invitati dalle stazioni appaltanti in seguito alla valutazione delle informazioni richieste possono presentare progetti di ricerca e di innovazione.</w:t>
      </w:r>
    </w:p>
    <w:p w14:paraId="58CAD37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w:t>
      </w:r>
      <w:r w:rsidRPr="004A5029">
        <w:rPr>
          <w:rFonts w:ascii="Times New Roman" w:hAnsi="Times New Roman" w:cs="Times New Roman"/>
          <w:color w:val="000000" w:themeColor="text1"/>
        </w:rPr>
        <w:t>Il partenariato per l'innovazione è strutturato in fasi successive secondo la sequenza del processo di ricerca e di innovazione, che può comprendere la fabbricazione dei prodotti o la prestazione dei servizi o la realizzazione dei lavori, il cui valore stimato non deve essere sproporzionato rispetto all’investimento richiesto per il loro sviluppo. In particolare, la durata e il valore delle varie fasi riflettono il grado di innovazione della soluzione proposta e la sequenza di attività di ricerca e di innovazione necessarie per lo sviluppo di una soluzione innovativa non ancora disponibile sul mercato</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Il partenariato per l'innovazione fissa obiettivi intermedi che le parti devono raggiungere e prevede il pagamento della remunerazione mediante rate congrue. </w:t>
      </w:r>
      <w:r w:rsidRPr="004A5029">
        <w:rPr>
          <w:rFonts w:ascii="Times New Roman" w:hAnsi="Times New Roman" w:cs="Times New Roman"/>
          <w:bCs/>
          <w:color w:val="000000" w:themeColor="text1"/>
        </w:rPr>
        <w:t>Sulla base degli obiettivi intermedi e del loro effettivo conseguimento</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la stazione appaltante</w:t>
      </w:r>
      <w:r w:rsidRPr="004A5029">
        <w:rPr>
          <w:rFonts w:ascii="Times New Roman" w:hAnsi="Times New Roman" w:cs="Times New Roman"/>
          <w:color w:val="000000" w:themeColor="text1"/>
        </w:rPr>
        <w:t xml:space="preserve"> può decidere, dopo ogni fase, di risolvere il partenariato per l'innovazione o, nel caso di un partenariato con più operatori, di ridurre il numero degli operatori risolvendo singoli contratti, a condizione che essa abbia indicato nei documenti di gara tali possibilità e le condizioni per avvalersene.</w:t>
      </w:r>
    </w:p>
    <w:p w14:paraId="53666FCC" w14:textId="77777777"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 xml:space="preserve">6. L’offerta iniziale e quelle successive, esclusa l’offerta finale, possono essere negoziate per migliorarne il contenuto, salvo che per gli aspetti relativi ai requisiti minimi e ai criteri di aggiudicazione. </w:t>
      </w:r>
      <w:r w:rsidRPr="004A5029">
        <w:rPr>
          <w:rFonts w:ascii="Times New Roman" w:eastAsia="Calibri" w:hAnsi="Times New Roman" w:cs="Times New Roman"/>
          <w:color w:val="000000" w:themeColor="text1"/>
        </w:rPr>
        <w:t>Ove previsto nel</w:t>
      </w:r>
      <w:r w:rsidRPr="004A5029">
        <w:rPr>
          <w:rFonts w:ascii="Times New Roman" w:eastAsia="Calibri" w:hAnsi="Times New Roman" w:cs="Times New Roman"/>
          <w:i/>
          <w:iCs/>
          <w:color w:val="000000" w:themeColor="text1"/>
        </w:rPr>
        <w:t xml:space="preserve"> </w:t>
      </w:r>
      <w:r w:rsidRPr="004A5029">
        <w:rPr>
          <w:rFonts w:ascii="Times New Roman" w:eastAsia="Calibri" w:hAnsi="Times New Roman" w:cs="Times New Roman"/>
          <w:color w:val="000000" w:themeColor="text1"/>
        </w:rPr>
        <w:t>bando di gara, nell'invito a confermare l’interesse o in altro documento di gara e in applicazione del criterio di aggiudicazione ivi previsto, le negoziazioni nel corso della procedura possono svolgersi in fasi successive per ridurre il numero di offerte da negoziare. La stazione appaltante informa per iscritto tutti gli offerenti le cui offerte non sono state escluse delle modifiche alle specifiche tecniche o ad altri documenti di gara diversi da quelli che stabiliscono i requisiti minimi; concede agli offerenti un tempo sufficiente per modificare e ripresentare, ove opportuno, le offerte modificate.</w:t>
      </w:r>
    </w:p>
    <w:p w14:paraId="269E314A" w14:textId="77777777" w:rsidR="00446F27" w:rsidRPr="004A5029" w:rsidRDefault="00446F27" w:rsidP="00446F27">
      <w:pPr>
        <w:jc w:val="both"/>
        <w:rPr>
          <w:rFonts w:ascii="Times New Roman" w:hAnsi="Times New Roman" w:cs="Times New Roman"/>
          <w:b/>
          <w:bCs/>
          <w:i/>
          <w:color w:val="000000" w:themeColor="text1"/>
        </w:rPr>
      </w:pPr>
    </w:p>
    <w:p w14:paraId="4037F8CD"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
          <w:color w:val="000000" w:themeColor="text1"/>
        </w:rPr>
        <w:t xml:space="preserve">Articolo </w:t>
      </w:r>
      <w:r w:rsidRPr="004A5029">
        <w:rPr>
          <w:rFonts w:ascii="Times New Roman" w:hAnsi="Times New Roman" w:cs="Times New Roman"/>
          <w:b/>
          <w:bCs/>
          <w:color w:val="000000" w:themeColor="text1"/>
        </w:rPr>
        <w:t>76.</w:t>
      </w:r>
    </w:p>
    <w:p w14:paraId="57B701B7"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Procedura negoziata senza pubblicazione di un bando.</w:t>
      </w:r>
    </w:p>
    <w:p w14:paraId="6BFF418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1</w:t>
      </w:r>
      <w:r w:rsidRPr="004A5029">
        <w:rPr>
          <w:rFonts w:ascii="Times New Roman" w:hAnsi="Times New Roman" w:cs="Times New Roman"/>
          <w:bCs/>
          <w:color w:val="000000" w:themeColor="text1"/>
        </w:rPr>
        <w:t>. Le stazioni appaltanti</w:t>
      </w:r>
      <w:r w:rsidRPr="004A5029">
        <w:rPr>
          <w:rFonts w:ascii="Times New Roman" w:hAnsi="Times New Roman" w:cs="Times New Roman"/>
          <w:color w:val="000000" w:themeColor="text1"/>
        </w:rPr>
        <w:t xml:space="preserve"> possono aggiudicare appalti pubblici mediante una procedura negoziata senza pubblicazione di un bando di gara </w:t>
      </w:r>
      <w:r w:rsidRPr="004A5029">
        <w:rPr>
          <w:rFonts w:ascii="Times New Roman" w:hAnsi="Times New Roman" w:cs="Times New Roman"/>
          <w:bCs/>
          <w:color w:val="000000" w:themeColor="text1"/>
        </w:rPr>
        <w:t>quando ricorrono i presupposti fissati dai commi seguenti,</w:t>
      </w:r>
      <w:r w:rsidRPr="004A5029">
        <w:rPr>
          <w:rFonts w:ascii="Times New Roman" w:hAnsi="Times New Roman" w:cs="Times New Roman"/>
          <w:color w:val="000000" w:themeColor="text1"/>
        </w:rPr>
        <w:t xml:space="preserve"> dandone motivatamente conto nel primo atto della procedura </w:t>
      </w:r>
      <w:r w:rsidRPr="004A5029">
        <w:rPr>
          <w:rFonts w:ascii="Times New Roman" w:hAnsi="Times New Roman" w:cs="Times New Roman"/>
          <w:bCs/>
          <w:color w:val="000000" w:themeColor="text1"/>
        </w:rPr>
        <w:t>in relazione alla specifica situazione di fatto e alle caratteristiche dei mercati potenzialmente interessati e delle dinamiche che li caratterizzano, e nel rispetto dei principi di cui agli articoli 1, 2 e 3. A tali fini le stazioni appaltanti tengono conto degli esiti delle consultazioni di mercato eventualmente eseguite, rivolte anche ad analizzare i mercati europei oppure, se del caso, extraeuropei.</w:t>
      </w:r>
    </w:p>
    <w:p w14:paraId="2449D4A1" w14:textId="30648B5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Le stazioni appaltanti possono ricorrere a una procedura negoziata senza pubblicazione </w:t>
      </w:r>
      <w:r w:rsidR="001A5056" w:rsidRPr="004A5029">
        <w:rPr>
          <w:rFonts w:ascii="Times New Roman" w:hAnsi="Times New Roman" w:cs="Times New Roman"/>
          <w:b/>
          <w:color w:val="000000" w:themeColor="text1"/>
        </w:rPr>
        <w:t>di un bando</w:t>
      </w:r>
      <w:r w:rsidR="001A5056"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nei seguenti casi:</w:t>
      </w:r>
    </w:p>
    <w:p w14:paraId="016E304E" w14:textId="2341324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quando non sia stata presentata alcuna offerta o alcuna offerta appropriata, né alcuna domanda di partecipazione o alcuna domanda di partecipazione appropriata, in esito all'esperimento di una procedura aperta o ristretta, purché le condizioni iniziali dell'appalto non siano sostanzialmente modificate e purché sia trasmessa una relazione alla Commissione europea, su </w:t>
      </w:r>
      <w:r w:rsidRPr="004A5029">
        <w:rPr>
          <w:rFonts w:ascii="Times New Roman" w:hAnsi="Times New Roman" w:cs="Times New Roman"/>
          <w:b/>
          <w:bCs/>
          <w:strike/>
          <w:color w:val="000000" w:themeColor="text1"/>
        </w:rPr>
        <w:t xml:space="preserve">sua </w:t>
      </w:r>
      <w:r w:rsidRPr="004A5029">
        <w:rPr>
          <w:rFonts w:ascii="Times New Roman" w:hAnsi="Times New Roman" w:cs="Times New Roman"/>
          <w:color w:val="000000" w:themeColor="text1"/>
        </w:rPr>
        <w:t>richiesta</w:t>
      </w:r>
      <w:r w:rsidR="001F430A" w:rsidRPr="004A5029">
        <w:rPr>
          <w:rFonts w:ascii="Times New Roman" w:hAnsi="Times New Roman" w:cs="Times New Roman"/>
          <w:color w:val="000000" w:themeColor="text1"/>
        </w:rPr>
        <w:t xml:space="preserve"> </w:t>
      </w:r>
      <w:r w:rsidR="001F430A" w:rsidRPr="004A5029">
        <w:rPr>
          <w:rFonts w:ascii="Times New Roman" w:hAnsi="Times New Roman" w:cs="Times New Roman"/>
          <w:b/>
          <w:color w:val="000000" w:themeColor="text1"/>
        </w:rPr>
        <w:t>di quest’ultima</w:t>
      </w:r>
      <w:r w:rsidRPr="004A5029">
        <w:rPr>
          <w:rFonts w:ascii="Times New Roman" w:hAnsi="Times New Roman" w:cs="Times New Roman"/>
          <w:color w:val="000000" w:themeColor="text1"/>
        </w:rPr>
        <w:t xml:space="preserve">; un'offerta non è ritenuta appropriata se non presenta alcuna pertinenza con l'appalto ed è, quindi, manifestamente inadeguata a rispondere alle esigenze </w:t>
      </w:r>
      <w:r w:rsidRPr="004A5029">
        <w:rPr>
          <w:rFonts w:ascii="Times New Roman" w:hAnsi="Times New Roman" w:cs="Times New Roman"/>
          <w:bCs/>
          <w:color w:val="000000" w:themeColor="text1"/>
        </w:rPr>
        <w:t>della stazione appaltante</w:t>
      </w:r>
      <w:r w:rsidRPr="004A5029">
        <w:rPr>
          <w:rFonts w:ascii="Times New Roman" w:hAnsi="Times New Roman" w:cs="Times New Roman"/>
          <w:color w:val="000000" w:themeColor="text1"/>
        </w:rPr>
        <w:t xml:space="preserve"> e ai requisiti specificati nei documenti di gara, salvo modifiche sostanziali. Una domanda di partecipazione non è ritenuta appropriata se l'operatore economico interessato è escluso ai sensi degli articoli 94, 95, 96, 97 e 98 o non soddisfa i requisiti stabiliti </w:t>
      </w:r>
      <w:r w:rsidRPr="004A5029">
        <w:rPr>
          <w:rFonts w:ascii="Times New Roman" w:hAnsi="Times New Roman" w:cs="Times New Roman"/>
          <w:bCs/>
          <w:color w:val="000000" w:themeColor="text1"/>
        </w:rPr>
        <w:t>dalla stazione appaltante</w:t>
      </w:r>
      <w:r w:rsidRPr="004A5029">
        <w:rPr>
          <w:rFonts w:ascii="Times New Roman" w:hAnsi="Times New Roman" w:cs="Times New Roman"/>
          <w:color w:val="000000" w:themeColor="text1"/>
        </w:rPr>
        <w:t xml:space="preserve"> ai sensi dell'articolo 100;</w:t>
      </w:r>
    </w:p>
    <w:p w14:paraId="4B19600C"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quando i lavori, le forniture o i servizi possono essere forniti unicamente da un determinato operatore economico per una delle seguenti ragioni:</w:t>
      </w:r>
    </w:p>
    <w:p w14:paraId="1B4CDC5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lo scopo dell'appalto consiste nella creazione o nell'acquisizione di un'opera d'arte o rappresentazione artistica unica;</w:t>
      </w:r>
    </w:p>
    <w:p w14:paraId="43BCE31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la concorrenza è assente per motivi tecnici;</w:t>
      </w:r>
    </w:p>
    <w:p w14:paraId="7C5DB2F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la tutela di diritti esclusivi, inclusi i diritti di proprietà intellettuale;</w:t>
      </w:r>
    </w:p>
    <w:p w14:paraId="20D89BA3"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 xml:space="preserve">c) nella misura strettamente necessaria quando, per ragioni di estrema urgenza derivante da eventi imprevedibili dalla </w:t>
      </w:r>
      <w:r w:rsidRPr="004A5029">
        <w:rPr>
          <w:rFonts w:ascii="Times New Roman" w:hAnsi="Times New Roman" w:cs="Times New Roman"/>
          <w:bCs/>
          <w:color w:val="000000" w:themeColor="text1"/>
        </w:rPr>
        <w:t>stazione appaltante</w:t>
      </w:r>
      <w:r w:rsidRPr="004A5029">
        <w:rPr>
          <w:rFonts w:ascii="Times New Roman" w:hAnsi="Times New Roman" w:cs="Times New Roman"/>
          <w:color w:val="000000" w:themeColor="text1"/>
        </w:rPr>
        <w:t xml:space="preserve">, i termini per le procedure aperte o per le procedure ristrette o per le procedure competitive con negoziazione non possono essere rispettati; le circostanze invocate </w:t>
      </w:r>
      <w:r w:rsidRPr="004A5029">
        <w:rPr>
          <w:rFonts w:ascii="Times New Roman" w:hAnsi="Times New Roman" w:cs="Times New Roman"/>
          <w:bCs/>
          <w:color w:val="000000" w:themeColor="text1"/>
        </w:rPr>
        <w:t>per giustificare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l’estrema urgenza</w:t>
      </w:r>
      <w:r w:rsidRPr="004A5029">
        <w:rPr>
          <w:rFonts w:ascii="Times New Roman" w:hAnsi="Times New Roman" w:cs="Times New Roman"/>
          <w:color w:val="000000" w:themeColor="text1"/>
        </w:rPr>
        <w:t xml:space="preserve"> non devono essere in alcun caso imputabili alle </w:t>
      </w:r>
      <w:r w:rsidRPr="004A5029">
        <w:rPr>
          <w:rFonts w:ascii="Times New Roman" w:hAnsi="Times New Roman" w:cs="Times New Roman"/>
          <w:bCs/>
          <w:color w:val="000000" w:themeColor="text1"/>
        </w:rPr>
        <w:t>stazioni appaltanti</w:t>
      </w:r>
      <w:r w:rsidRPr="004A5029">
        <w:rPr>
          <w:rFonts w:ascii="Times New Roman" w:hAnsi="Times New Roman" w:cs="Times New Roman"/>
          <w:i/>
          <w:iCs/>
          <w:color w:val="000000" w:themeColor="text1"/>
        </w:rPr>
        <w:t>.</w:t>
      </w:r>
    </w:p>
    <w:p w14:paraId="20CAF0B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Le eccezioni di cui al comma 2, lettera b), numeri 2) e 3) si applicano solo quando non esistono altri operatori economici o soluzioni alternative ragionevoli e l'assenza di concorrenza non è il risultato di una limitazione artificiale dei parametri dell'appalto.</w:t>
      </w:r>
    </w:p>
    <w:p w14:paraId="1D1FD83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Nel caso di appalti pubblici di forniture la procedura di cui al presente articolo è inoltre consentita nei casi seguenti:</w:t>
      </w:r>
    </w:p>
    <w:p w14:paraId="2F33CA7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a) quando i prodotti oggetto dell'appalto siano fabbricati esclusivamente a scopo di ricerca, di sperimentazione, di studio o di sviluppo, salvo che si tratti di produzione in quantità volta ad accertare la redditività commerciale del prodotto o ad ammortizzare i costi di ricerca e di sviluppo;</w:t>
      </w:r>
    </w:p>
    <w:p w14:paraId="4ED6DF2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nel caso di consegne complementari effettuate dal fornitore originario e destinate al rinnovo parziale di forniture o di impianti o all'ampliamento di forniture o impianti esistenti, quando il cambiamento di fornitore obblighi la stazione appaltante ad acquistare forniture con caratteristiche tecniche differenti, il cui impiego o la cui manutenzione comporterebbero incompatibilità o difficoltà tecniche sproporzionate; la durata di tali contratti e dei contratti rinnovabili non può comunque di regola superare i tre anni;</w:t>
      </w:r>
    </w:p>
    <w:p w14:paraId="4D48E23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c) per forniture quotate e acquistate sul mercato delle materie prime;</w:t>
      </w:r>
    </w:p>
    <w:p w14:paraId="026B5E6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d) per l'acquisto di forniture o servizi a condizioni particolarmente vantaggiose, da un fornitore che cessa definitivamente l'attività commerciale oppure dagli organi delle procedure concorsuali.</w:t>
      </w:r>
    </w:p>
    <w:p w14:paraId="6577A6BD"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La procedura prevista dal presente articolo è altresì consentita negli appalti pubblici relativi ai servizi quando l'appalto faccia seguito a un concorso di progettazione e debba, in base alle norme applicabili, essere aggiudicato al vincitore o a uno dei vincitori del concorso. In quest'ultimo caso, tutti i vincitori devono essere invitati a partecipare ai negoziati.</w:t>
      </w:r>
    </w:p>
    <w:p w14:paraId="62E183F0" w14:textId="69ADCF4D"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6. La procedura prevista dal presente articolo può essere usata per nuovi lavori o servizi consistenti nella ripetizione di lavori o servizi analoghi, già affidati all'operatore economico aggiudicatario dell'appalto iniziale dalle medesime stazioni appaltanti, a condizione che tali lavori o servizi siano conformi al progetto a base di gara e che tale progetto sia stato oggetto di un primo appalto aggiudicato secondo una procedura di cui all'articolo 70, comma 1. Il progetto a base di gara indica l'entità di eventuali lavori o servizi complementari e le condizioni alle quali essi verranno aggiudicati. La possibilità di avvalersi della procedura prevista dal presente articolo è indicata sin dall'avvio del confronto competitivo nella prima operazione e l'importo totale previsto per la prosecuzione dei lavori o della prestazione dei servizi è computato per la determinazione del valore globale dell'appalto, ai fini dell'applicazione delle soglie di cui all'articolo 14, comma 1. Il ricorso a questa procedura è limitato al triennio successivo alla stipulazione del contratto </w:t>
      </w:r>
      <w:r w:rsidRPr="004A5029">
        <w:rPr>
          <w:rFonts w:ascii="Times New Roman" w:hAnsi="Times New Roman" w:cs="Times New Roman"/>
          <w:b/>
          <w:strike/>
          <w:color w:val="000000" w:themeColor="text1"/>
        </w:rPr>
        <w:t>dell'</w:t>
      </w:r>
      <w:r w:rsidR="001F430A" w:rsidRPr="004A5029">
        <w:rPr>
          <w:rFonts w:ascii="Times New Roman" w:hAnsi="Times New Roman" w:cs="Times New Roman"/>
          <w:b/>
          <w:color w:val="000000" w:themeColor="text1"/>
        </w:rPr>
        <w:t>di</w:t>
      </w:r>
      <w:r w:rsidR="001F430A"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appalto iniziale.</w:t>
      </w:r>
    </w:p>
    <w:p w14:paraId="50F51ADD" w14:textId="04E9FF4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7. Ove possibile, le stazioni appaltanti individuano gli operatori economici da consultare sulla base di informazioni riguardanti le caratteristiche di qualificazione economica e finanziaria e tecniche e professionali desunte dal mercato, nel rispetto dei principi di trasparenza e concorrenza, selezionando almeno tre operatori economici, se sussistono in tale numero soggetti idonei. La stazione appaltante sceglie l'operatore economico che ha offerto le condizioni più vantaggiose, ai sensi dell'articolo 108, previa verifica del possesso dei requisiti di partecipazione previsti per l'affidamento di contratti di uguale importo mediante procedura aperta, ristretta o mediante procedura competitiva con negoziazione.</w:t>
      </w:r>
    </w:p>
    <w:p w14:paraId="47341341" w14:textId="77777777" w:rsidR="00446F27" w:rsidRPr="004A5029" w:rsidRDefault="00446F27" w:rsidP="00446F27">
      <w:pPr>
        <w:jc w:val="both"/>
        <w:rPr>
          <w:rFonts w:ascii="Times New Roman" w:hAnsi="Times New Roman" w:cs="Times New Roman"/>
          <w:color w:val="000000" w:themeColor="text1"/>
        </w:rPr>
        <w:sectPr w:rsidR="00446F27" w:rsidRPr="004A5029" w:rsidSect="00010B89">
          <w:footnotePr>
            <w:numRestart w:val="eachSect"/>
          </w:footnotePr>
          <w:pgSz w:w="11906" w:h="16838"/>
          <w:pgMar w:top="1417" w:right="1134" w:bottom="1134" w:left="1134" w:header="708" w:footer="708" w:gutter="0"/>
          <w:pgNumType w:start="1"/>
          <w:cols w:space="708"/>
          <w:docGrid w:linePitch="360"/>
        </w:sectPr>
      </w:pPr>
    </w:p>
    <w:p w14:paraId="02270308"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V</w:t>
      </w:r>
    </w:p>
    <w:p w14:paraId="5AEED2BC" w14:textId="7777777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DELLO SVOLGIMENTO DELLE PROCEDURE</w:t>
      </w:r>
    </w:p>
    <w:p w14:paraId="1C19941A" w14:textId="77777777" w:rsidR="00B922F7" w:rsidRPr="004A5029" w:rsidRDefault="00B922F7" w:rsidP="00446F27">
      <w:pPr>
        <w:jc w:val="center"/>
        <w:rPr>
          <w:rFonts w:ascii="Times New Roman" w:hAnsi="Times New Roman" w:cs="Times New Roman"/>
          <w:b/>
          <w:color w:val="000000" w:themeColor="text1"/>
        </w:rPr>
      </w:pPr>
    </w:p>
    <w:p w14:paraId="10A079DE" w14:textId="776FEE65"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 </w:t>
      </w:r>
    </w:p>
    <w:p w14:paraId="230FBF24" w14:textId="5D57E95D"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Gli atti preparatori</w:t>
      </w:r>
    </w:p>
    <w:p w14:paraId="42EF2083" w14:textId="77777777" w:rsidR="00446F27" w:rsidRPr="004A5029" w:rsidRDefault="00446F27" w:rsidP="00446F27">
      <w:pPr>
        <w:jc w:val="both"/>
        <w:rPr>
          <w:rFonts w:ascii="Times New Roman" w:hAnsi="Times New Roman" w:cs="Times New Roman"/>
          <w:b/>
          <w:color w:val="000000" w:themeColor="text1"/>
        </w:rPr>
      </w:pPr>
    </w:p>
    <w:p w14:paraId="39CB64F7" w14:textId="77777777" w:rsidR="00446F27" w:rsidRPr="004A5029" w:rsidRDefault="00446F27" w:rsidP="00446F27">
      <w:pPr>
        <w:keepNext/>
        <w:keepLines/>
        <w:jc w:val="both"/>
        <w:outlineLvl w:val="0"/>
        <w:rPr>
          <w:rFonts w:ascii="Times New Roman" w:eastAsia="Calibri" w:hAnsi="Times New Roman" w:cs="Times New Roman"/>
          <w:b/>
          <w:bCs/>
          <w:color w:val="000000" w:themeColor="text1"/>
        </w:rPr>
      </w:pPr>
      <w:bookmarkStart w:id="34" w:name="_Toc112864123"/>
      <w:r w:rsidRPr="004A5029">
        <w:rPr>
          <w:rFonts w:ascii="Times New Roman" w:eastAsia="Calibri" w:hAnsi="Times New Roman" w:cs="Times New Roman"/>
          <w:b/>
          <w:bCs/>
          <w:color w:val="000000" w:themeColor="text1"/>
        </w:rPr>
        <w:t>Articolo 77.</w:t>
      </w:r>
    </w:p>
    <w:p w14:paraId="553BCC2E" w14:textId="77777777" w:rsidR="00446F27" w:rsidRPr="004A5029" w:rsidRDefault="00446F27" w:rsidP="00446F27">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Consultazioni preliminari di mercato.</w:t>
      </w:r>
      <w:bookmarkEnd w:id="34"/>
    </w:p>
    <w:p w14:paraId="41F6B176"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1. </w:t>
      </w:r>
      <w:r w:rsidRPr="004A5029">
        <w:rPr>
          <w:rFonts w:ascii="Times New Roman" w:hAnsi="Times New Roman" w:cs="Times New Roman"/>
          <w:bCs/>
          <w:color w:val="000000" w:themeColor="text1"/>
        </w:rPr>
        <w:t xml:space="preserve">Le </w:t>
      </w:r>
      <w:r w:rsidRPr="004A5029">
        <w:rPr>
          <w:rFonts w:ascii="Times New Roman" w:eastAsia="Times New Roman" w:hAnsi="Times New Roman" w:cs="Times New Roman"/>
          <w:color w:val="000000" w:themeColor="text1"/>
          <w:lang w:eastAsia="it-IT"/>
        </w:rPr>
        <w:t xml:space="preserve">stazioni </w:t>
      </w:r>
      <w:r w:rsidRPr="004A5029">
        <w:rPr>
          <w:rFonts w:ascii="Times New Roman" w:hAnsi="Times New Roman" w:cs="Times New Roman"/>
          <w:bCs/>
          <w:color w:val="000000" w:themeColor="text1"/>
        </w:rPr>
        <w:t>appaltanti</w:t>
      </w:r>
      <w:r w:rsidRPr="004A5029">
        <w:rPr>
          <w:rFonts w:ascii="Times New Roman" w:hAnsi="Times New Roman" w:cs="Times New Roman"/>
          <w:color w:val="000000" w:themeColor="text1"/>
        </w:rPr>
        <w:t xml:space="preserve"> possono svolgere consultazioni di mercato per </w:t>
      </w:r>
      <w:r w:rsidRPr="004A5029">
        <w:rPr>
          <w:rFonts w:ascii="Times New Roman" w:hAnsi="Times New Roman" w:cs="Times New Roman"/>
          <w:bCs/>
          <w:color w:val="000000" w:themeColor="text1"/>
        </w:rPr>
        <w:t>predisporre gli atti di gara,</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ivi compresa la scelta delle procedure di gara,</w:t>
      </w:r>
      <w:r w:rsidRPr="004A5029">
        <w:rPr>
          <w:rFonts w:ascii="Times New Roman" w:hAnsi="Times New Roman" w:cs="Times New Roman"/>
          <w:color w:val="000000" w:themeColor="text1"/>
        </w:rPr>
        <w:t xml:space="preserve"> e per informare gli operatori economici degli appalti da esse programmati e dei relativi requisiti </w:t>
      </w:r>
      <w:r w:rsidRPr="004A5029">
        <w:rPr>
          <w:rFonts w:ascii="Times New Roman" w:hAnsi="Times New Roman" w:cs="Times New Roman"/>
          <w:bCs/>
          <w:color w:val="000000" w:themeColor="text1"/>
        </w:rPr>
        <w:t>richiesti.</w:t>
      </w:r>
    </w:p>
    <w:p w14:paraId="3682E289" w14:textId="77777777"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2. Per le finalità di cui al comma 1 le </w:t>
      </w:r>
      <w:r w:rsidRPr="004A5029">
        <w:rPr>
          <w:rFonts w:ascii="Times New Roman" w:eastAsia="Times New Roman" w:hAnsi="Times New Roman" w:cs="Times New Roman"/>
          <w:bCs/>
          <w:color w:val="000000" w:themeColor="text1"/>
          <w:lang w:eastAsia="fr-FR"/>
        </w:rPr>
        <w:t>stazioni appaltanti</w:t>
      </w:r>
      <w:r w:rsidRPr="004A5029">
        <w:rPr>
          <w:rFonts w:ascii="Times New Roman" w:eastAsia="Times New Roman" w:hAnsi="Times New Roman" w:cs="Times New Roman"/>
          <w:color w:val="000000" w:themeColor="text1"/>
          <w:lang w:eastAsia="fr-FR"/>
        </w:rPr>
        <w:t xml:space="preserve"> possono acquisire </w:t>
      </w:r>
      <w:r w:rsidRPr="004A5029">
        <w:rPr>
          <w:rFonts w:ascii="Times New Roman" w:eastAsia="Times New Roman" w:hAnsi="Times New Roman" w:cs="Times New Roman"/>
          <w:bCs/>
          <w:color w:val="000000" w:themeColor="text1"/>
          <w:lang w:eastAsia="fr-FR"/>
        </w:rPr>
        <w:t>informazioni</w:t>
      </w:r>
      <w:r w:rsidRPr="004A5029">
        <w:rPr>
          <w:rFonts w:ascii="Times New Roman" w:eastAsia="Times New Roman" w:hAnsi="Times New Roman" w:cs="Times New Roman"/>
          <w:color w:val="000000" w:themeColor="text1"/>
          <w:lang w:eastAsia="fr-FR"/>
        </w:rPr>
        <w:t xml:space="preserve">, consulenze, relazioni e ogni altra documentazione </w:t>
      </w:r>
      <w:r w:rsidRPr="004A5029">
        <w:rPr>
          <w:rFonts w:ascii="Times New Roman" w:eastAsia="Times New Roman" w:hAnsi="Times New Roman" w:cs="Times New Roman"/>
          <w:bCs/>
          <w:color w:val="000000" w:themeColor="text1"/>
          <w:lang w:eastAsia="fr-FR"/>
        </w:rPr>
        <w:t>idonea, anche di natura</w:t>
      </w:r>
      <w:r w:rsidRPr="004A5029">
        <w:rPr>
          <w:rFonts w:ascii="Times New Roman" w:eastAsia="Times New Roman" w:hAnsi="Times New Roman" w:cs="Times New Roman"/>
          <w:color w:val="000000" w:themeColor="text1"/>
          <w:lang w:eastAsia="fr-FR"/>
        </w:rPr>
        <w:t xml:space="preserve"> tecnica, da parte di esperti, </w:t>
      </w:r>
      <w:r w:rsidRPr="004A5029">
        <w:rPr>
          <w:rFonts w:ascii="Times New Roman" w:eastAsia="Times New Roman" w:hAnsi="Times New Roman" w:cs="Times New Roman"/>
          <w:bCs/>
          <w:color w:val="000000" w:themeColor="text1"/>
          <w:lang w:eastAsia="fr-FR"/>
        </w:rPr>
        <w:t>operatori di mercato</w:t>
      </w:r>
      <w:r w:rsidRPr="004A5029">
        <w:rPr>
          <w:rFonts w:ascii="Times New Roman" w:eastAsia="Times New Roman" w:hAnsi="Times New Roman" w:cs="Times New Roman"/>
          <w:color w:val="000000" w:themeColor="text1"/>
          <w:lang w:eastAsia="fr-FR"/>
        </w:rPr>
        <w:t xml:space="preserve">, autorità indipendenti </w:t>
      </w:r>
      <w:r w:rsidRPr="004A5029">
        <w:rPr>
          <w:rFonts w:ascii="Times New Roman" w:eastAsia="Times New Roman" w:hAnsi="Times New Roman" w:cs="Times New Roman"/>
          <w:bCs/>
          <w:color w:val="000000" w:themeColor="text1"/>
          <w:lang w:eastAsia="fr-FR"/>
        </w:rPr>
        <w:t>o altri soggetti idonei</w:t>
      </w:r>
      <w:r w:rsidRPr="004A5029">
        <w:rPr>
          <w:rFonts w:ascii="Times New Roman" w:eastAsia="Times New Roman" w:hAnsi="Times New Roman" w:cs="Times New Roman"/>
          <w:color w:val="000000" w:themeColor="text1"/>
          <w:lang w:eastAsia="fr-FR"/>
        </w:rPr>
        <w:t>. Tale documentazione può essere utilizzata anche nella pianificazione e nello svolgimento della procedura di appalto, a condizione che non abbia l'effetto di falsare la concorrenza e non comporti una violazione dei principi di non discriminazione e di trasparenza.</w:t>
      </w:r>
    </w:p>
    <w:p w14:paraId="7B40C951" w14:textId="77777777" w:rsidR="00446F27" w:rsidRPr="004A5029" w:rsidRDefault="00446F27" w:rsidP="00446F27">
      <w:pPr>
        <w:jc w:val="both"/>
        <w:rPr>
          <w:rFonts w:ascii="Times New Roman" w:eastAsia="Times New Roman" w:hAnsi="Times New Roman" w:cs="Times New Roman"/>
          <w:color w:val="000000" w:themeColor="text1"/>
          <w:lang w:eastAsia="fr-FR"/>
        </w:rPr>
      </w:pPr>
    </w:p>
    <w:p w14:paraId="2E28F6B5" w14:textId="0C514867" w:rsidR="00446F27" w:rsidRPr="004A5029" w:rsidRDefault="00446F27" w:rsidP="00446F27">
      <w:pPr>
        <w:jc w:val="both"/>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78.</w:t>
      </w:r>
    </w:p>
    <w:p w14:paraId="4423A38D" w14:textId="77777777" w:rsidR="00446F27" w:rsidRPr="004A5029" w:rsidRDefault="00446F27" w:rsidP="00446F27">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Partecipazione alle consultazioni preliminari di candidati o offerenti.</w:t>
      </w:r>
    </w:p>
    <w:p w14:paraId="6F283231" w14:textId="459A98C3"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1. Qualora un candidato o un offerente o un'impresa collegata a un candidato o a un offerente abbia fornito la documentazione </w:t>
      </w:r>
      <w:r w:rsidRPr="004A5029">
        <w:rPr>
          <w:rFonts w:ascii="Times New Roman" w:eastAsia="Times New Roman" w:hAnsi="Times New Roman" w:cs="Times New Roman"/>
          <w:bCs/>
          <w:color w:val="000000" w:themeColor="text1"/>
          <w:lang w:eastAsia="it-IT"/>
        </w:rPr>
        <w:t xml:space="preserve">ovvero </w:t>
      </w:r>
      <w:r w:rsidR="00734B1F" w:rsidRPr="004A5029">
        <w:rPr>
          <w:rFonts w:ascii="Times New Roman" w:eastAsia="Times New Roman" w:hAnsi="Times New Roman" w:cs="Times New Roman"/>
          <w:bCs/>
          <w:color w:val="000000" w:themeColor="text1"/>
          <w:lang w:eastAsia="it-IT"/>
        </w:rPr>
        <w:t xml:space="preserve">le </w:t>
      </w:r>
      <w:r w:rsidRPr="004A5029">
        <w:rPr>
          <w:rFonts w:ascii="Times New Roman" w:eastAsia="Times New Roman" w:hAnsi="Times New Roman" w:cs="Times New Roman"/>
          <w:bCs/>
          <w:color w:val="000000" w:themeColor="text1"/>
          <w:lang w:eastAsia="it-IT"/>
        </w:rPr>
        <w:t xml:space="preserve">informazioni, </w:t>
      </w:r>
      <w:r w:rsidR="00734B1F" w:rsidRPr="004A5029">
        <w:rPr>
          <w:rFonts w:ascii="Times New Roman" w:eastAsia="Times New Roman" w:hAnsi="Times New Roman" w:cs="Times New Roman"/>
          <w:bCs/>
          <w:color w:val="000000" w:themeColor="text1"/>
          <w:lang w:eastAsia="it-IT"/>
        </w:rPr>
        <w:t xml:space="preserve">i </w:t>
      </w:r>
      <w:r w:rsidRPr="004A5029">
        <w:rPr>
          <w:rFonts w:ascii="Times New Roman" w:eastAsia="Times New Roman" w:hAnsi="Times New Roman" w:cs="Times New Roman"/>
          <w:bCs/>
          <w:color w:val="000000" w:themeColor="text1"/>
          <w:lang w:eastAsia="it-IT"/>
        </w:rPr>
        <w:t xml:space="preserve">dati e </w:t>
      </w:r>
      <w:r w:rsidR="00734B1F" w:rsidRPr="004A5029">
        <w:rPr>
          <w:rFonts w:ascii="Times New Roman" w:eastAsia="Times New Roman" w:hAnsi="Times New Roman" w:cs="Times New Roman"/>
          <w:bCs/>
          <w:color w:val="000000" w:themeColor="text1"/>
          <w:lang w:eastAsia="it-IT"/>
        </w:rPr>
        <w:t xml:space="preserve">le </w:t>
      </w:r>
      <w:r w:rsidRPr="004A5029">
        <w:rPr>
          <w:rFonts w:ascii="Times New Roman" w:eastAsia="Times New Roman" w:hAnsi="Times New Roman" w:cs="Times New Roman"/>
          <w:bCs/>
          <w:color w:val="000000" w:themeColor="text1"/>
          <w:lang w:eastAsia="it-IT"/>
        </w:rPr>
        <w:t>notizie</w:t>
      </w:r>
      <w:r w:rsidRPr="004A5029">
        <w:rPr>
          <w:rFonts w:ascii="Times New Roman" w:eastAsia="Times New Roman" w:hAnsi="Times New Roman" w:cs="Times New Roman"/>
          <w:color w:val="000000" w:themeColor="text1"/>
          <w:lang w:eastAsia="it-IT"/>
        </w:rPr>
        <w:t xml:space="preserve"> di cui all'articolo 77, comma 2, o abbia altrimenti partecipato alla preparazione della procedura di aggiudicazione dell'appalto, </w:t>
      </w:r>
      <w:r w:rsidRPr="004A5029">
        <w:rPr>
          <w:rFonts w:ascii="Times New Roman" w:eastAsia="Times New Roman" w:hAnsi="Times New Roman" w:cs="Times New Roman"/>
          <w:bCs/>
          <w:color w:val="000000" w:themeColor="text1"/>
          <w:lang w:eastAsia="it-IT"/>
        </w:rPr>
        <w:t>la stazione appaltante</w:t>
      </w:r>
      <w:r w:rsidRPr="004A5029">
        <w:rPr>
          <w:rFonts w:ascii="Times New Roman" w:eastAsia="Times New Roman" w:hAnsi="Times New Roman" w:cs="Times New Roman"/>
          <w:color w:val="000000" w:themeColor="text1"/>
          <w:lang w:eastAsia="it-IT"/>
        </w:rPr>
        <w:t xml:space="preserve"> adotta misure adeguate per garantire </w:t>
      </w:r>
      <w:r w:rsidRPr="004A5029">
        <w:rPr>
          <w:rFonts w:ascii="Times New Roman" w:eastAsia="Times New Roman" w:hAnsi="Times New Roman" w:cs="Times New Roman"/>
          <w:bCs/>
          <w:color w:val="000000" w:themeColor="text1"/>
          <w:lang w:eastAsia="it-IT"/>
        </w:rPr>
        <w:t>la trasparenza</w:t>
      </w:r>
      <w:r w:rsidRPr="004A5029">
        <w:rPr>
          <w:rFonts w:ascii="Times New Roman" w:eastAsia="Times New Roman" w:hAnsi="Times New Roman" w:cs="Times New Roman"/>
          <w:color w:val="000000" w:themeColor="text1"/>
          <w:lang w:eastAsia="it-IT"/>
        </w:rPr>
        <w:t xml:space="preserve"> e che la concorrenza non sia falsata dalla partecipazione del candidato o dell'offerente stesso. La comunicazione agli altri candidati e offerenti di informazioni pertinenti scambiate nel corso delle consultazioni preliminari, nonché la fissazione di termini adeguati per la ricezione delle offerte costituiscono la minima misura adeguata.</w:t>
      </w:r>
    </w:p>
    <w:p w14:paraId="1F1D1564" w14:textId="10D8001A"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Qualora non sia possibile garantire il rispetto del principio della parità di trattamento, la stazione appaltante invita il candidato o l'offerente interessato a fornire, entro un termine comunque non superiore a </w:t>
      </w:r>
      <w:r w:rsidRPr="004A5029">
        <w:rPr>
          <w:rFonts w:ascii="Times New Roman" w:eastAsia="Times New Roman" w:hAnsi="Times New Roman" w:cs="Times New Roman"/>
          <w:b/>
          <w:bCs/>
          <w:strike/>
          <w:color w:val="000000" w:themeColor="text1"/>
          <w:lang w:eastAsia="it-IT"/>
        </w:rPr>
        <w:t>10</w:t>
      </w:r>
      <w:r w:rsidRPr="004A5029">
        <w:rPr>
          <w:rFonts w:ascii="Times New Roman" w:eastAsia="Times New Roman" w:hAnsi="Times New Roman" w:cs="Times New Roman"/>
          <w:b/>
          <w:bCs/>
          <w:color w:val="000000" w:themeColor="text1"/>
          <w:lang w:eastAsia="it-IT"/>
        </w:rPr>
        <w:t xml:space="preserve"> </w:t>
      </w:r>
      <w:r w:rsidR="00EF254E" w:rsidRPr="004A5029">
        <w:rPr>
          <w:rFonts w:ascii="Times New Roman" w:eastAsia="Times New Roman" w:hAnsi="Times New Roman" w:cs="Times New Roman"/>
          <w:b/>
          <w:bCs/>
          <w:color w:val="000000" w:themeColor="text1"/>
          <w:lang w:eastAsia="it-IT"/>
        </w:rPr>
        <w:t xml:space="preserve">dieci </w:t>
      </w:r>
      <w:r w:rsidRPr="004A5029">
        <w:rPr>
          <w:rFonts w:ascii="Times New Roman" w:eastAsia="Times New Roman" w:hAnsi="Times New Roman" w:cs="Times New Roman"/>
          <w:color w:val="000000" w:themeColor="text1"/>
          <w:lang w:eastAsia="it-IT"/>
        </w:rPr>
        <w:t>giorni, ogni elemento idoneo a provare che la sua partecipazione alla preparazione e alla scelta della procedura di aggiudicazione dell'appalto non costituisce causa di alterazione della concorrenza. Se la stazione appaltante non ritiene adeguate le giustificazioni fornite, il candidato o l'offerente interessato è escluso dalla procedura.</w:t>
      </w:r>
    </w:p>
    <w:p w14:paraId="117685E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Le misure adottate dalla stazione appaltante sono indicate nella relazione unica prevista dall'articolo 112.</w:t>
      </w:r>
    </w:p>
    <w:p w14:paraId="4B4D7232" w14:textId="77777777" w:rsidR="00446F27" w:rsidRPr="004A5029" w:rsidRDefault="00446F27" w:rsidP="00446F27">
      <w:pPr>
        <w:jc w:val="both"/>
        <w:rPr>
          <w:rFonts w:ascii="Times New Roman" w:eastAsia="Times New Roman" w:hAnsi="Times New Roman" w:cs="Times New Roman"/>
          <w:color w:val="000000" w:themeColor="text1"/>
          <w:lang w:eastAsia="it-IT"/>
        </w:rPr>
      </w:pPr>
    </w:p>
    <w:p w14:paraId="482B0B88"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79. </w:t>
      </w:r>
    </w:p>
    <w:p w14:paraId="377328DA"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hAnsi="Times New Roman" w:cs="Times New Roman"/>
          <w:i/>
          <w:iCs/>
          <w:color w:val="000000" w:themeColor="text1"/>
        </w:rPr>
        <w:t>Specifiche tecniche.</w:t>
      </w:r>
    </w:p>
    <w:p w14:paraId="2B140803" w14:textId="6C30291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specifiche tecniche sono definite e disciplinate </w:t>
      </w:r>
      <w:r w:rsidR="00633BBC" w:rsidRPr="004A5029">
        <w:rPr>
          <w:rFonts w:ascii="Times New Roman" w:hAnsi="Times New Roman" w:cs="Times New Roman"/>
          <w:b/>
          <w:bCs/>
          <w:color w:val="000000" w:themeColor="text1"/>
        </w:rPr>
        <w:t>d</w:t>
      </w:r>
      <w:r w:rsidRPr="004A5029">
        <w:rPr>
          <w:rFonts w:ascii="Times New Roman" w:hAnsi="Times New Roman" w:cs="Times New Roman"/>
          <w:color w:val="000000" w:themeColor="text1"/>
        </w:rPr>
        <w:t>all’allegato</w:t>
      </w:r>
      <w:r w:rsidRPr="004A5029">
        <w:rPr>
          <w:rFonts w:ascii="Times New Roman" w:hAnsi="Times New Roman" w:cs="Times New Roman"/>
          <w:bCs/>
          <w:color w:val="000000" w:themeColor="text1"/>
        </w:rPr>
        <w:t xml:space="preserve"> II.5.</w:t>
      </w:r>
    </w:p>
    <w:p w14:paraId="2093CA67" w14:textId="77777777" w:rsidR="00446F27" w:rsidRPr="004A5029" w:rsidRDefault="00446F27" w:rsidP="00446F27">
      <w:pPr>
        <w:jc w:val="both"/>
        <w:rPr>
          <w:rFonts w:ascii="Times New Roman" w:hAnsi="Times New Roman" w:cs="Times New Roman"/>
          <w:b/>
          <w:color w:val="000000" w:themeColor="text1"/>
        </w:rPr>
      </w:pPr>
    </w:p>
    <w:p w14:paraId="1FABED6B" w14:textId="77777777" w:rsidR="00CE0BF3" w:rsidRDefault="00CE0BF3" w:rsidP="00446F27">
      <w:pPr>
        <w:jc w:val="both"/>
        <w:rPr>
          <w:rFonts w:ascii="Times New Roman" w:hAnsi="Times New Roman" w:cs="Times New Roman"/>
          <w:b/>
          <w:color w:val="000000" w:themeColor="text1"/>
        </w:rPr>
      </w:pPr>
    </w:p>
    <w:p w14:paraId="145B63D4" w14:textId="1B6F80C6"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Articolo 80. </w:t>
      </w:r>
    </w:p>
    <w:p w14:paraId="45B58C47"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hAnsi="Times New Roman" w:cs="Times New Roman"/>
          <w:i/>
          <w:color w:val="000000" w:themeColor="text1"/>
        </w:rPr>
        <w:t>Etichettature.</w:t>
      </w:r>
    </w:p>
    <w:p w14:paraId="1468CDB7" w14:textId="0EA647B5"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1. Le etichettature sono definite e disciplinate </w:t>
      </w:r>
      <w:r w:rsidR="00633BBC" w:rsidRPr="004A5029">
        <w:rPr>
          <w:rFonts w:ascii="Times New Roman" w:hAnsi="Times New Roman" w:cs="Times New Roman"/>
          <w:b/>
          <w:bCs/>
          <w:color w:val="000000" w:themeColor="text1"/>
        </w:rPr>
        <w:t>d</w:t>
      </w:r>
      <w:r w:rsidRPr="004A5029">
        <w:rPr>
          <w:rFonts w:ascii="Times New Roman" w:hAnsi="Times New Roman" w:cs="Times New Roman"/>
          <w:color w:val="000000" w:themeColor="text1"/>
        </w:rPr>
        <w:t>all’allegato II.5.</w:t>
      </w:r>
    </w:p>
    <w:p w14:paraId="2503B197" w14:textId="77777777" w:rsidR="00446F27" w:rsidRPr="004A5029" w:rsidRDefault="00446F27" w:rsidP="00446F27">
      <w:pPr>
        <w:jc w:val="both"/>
        <w:rPr>
          <w:rFonts w:ascii="Times New Roman" w:hAnsi="Times New Roman" w:cs="Times New Roman"/>
          <w:color w:val="000000" w:themeColor="text1"/>
        </w:rPr>
      </w:pPr>
    </w:p>
    <w:p w14:paraId="0FF8E1F1" w14:textId="77777777" w:rsidR="00446F27" w:rsidRPr="004A5029" w:rsidRDefault="00446F27" w:rsidP="00446F27">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81.</w:t>
      </w:r>
    </w:p>
    <w:p w14:paraId="44F087A8" w14:textId="77777777" w:rsidR="00446F27" w:rsidRPr="004A5029" w:rsidRDefault="00446F27" w:rsidP="00446F27">
      <w:pPr>
        <w:keepNext/>
        <w:keepLines/>
        <w:jc w:val="both"/>
        <w:outlineLvl w:val="0"/>
        <w:rPr>
          <w:rFonts w:ascii="Times New Roman" w:eastAsiaTheme="majorEastAsia" w:hAnsi="Times New Roman" w:cs="Times New Roman"/>
          <w:i/>
          <w:iCs/>
          <w:color w:val="000000" w:themeColor="text1"/>
        </w:rPr>
      </w:pPr>
      <w:r w:rsidRPr="004A5029">
        <w:rPr>
          <w:rFonts w:ascii="Times New Roman" w:eastAsia="Calibri" w:hAnsi="Times New Roman" w:cs="Times New Roman"/>
          <w:i/>
          <w:iCs/>
          <w:color w:val="000000" w:themeColor="text1"/>
        </w:rPr>
        <w:t>Avvisi di pre-informazione.</w:t>
      </w:r>
    </w:p>
    <w:p w14:paraId="25A6C1EE" w14:textId="5CFCED85" w:rsidR="00446F27" w:rsidRPr="004A5029" w:rsidRDefault="00446F27" w:rsidP="00446F27">
      <w:pPr>
        <w:shd w:val="clear" w:color="auto" w:fill="FFFFFF" w:themeFill="background1"/>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1. Le stazioni appaltanti rendono nota entro il 31 dicembre di ogni anno l'intenzione di bandire per l'anno successivo appalti</w:t>
      </w:r>
      <w:r w:rsidRPr="004A5029">
        <w:rPr>
          <w:rFonts w:ascii="Times New Roman" w:eastAsia="Times New Roman" w:hAnsi="Times New Roman" w:cs="Times New Roman"/>
          <w:strike/>
          <w:color w:val="000000" w:themeColor="text1"/>
          <w:lang w:eastAsia="it-IT"/>
        </w:rPr>
        <w:t>,</w:t>
      </w:r>
      <w:r w:rsidRPr="004A5029">
        <w:rPr>
          <w:rFonts w:ascii="Times New Roman" w:eastAsia="Times New Roman" w:hAnsi="Times New Roman" w:cs="Times New Roman"/>
          <w:color w:val="000000" w:themeColor="text1"/>
          <w:lang w:eastAsia="it-IT"/>
        </w:rPr>
        <w:t xml:space="preserve"> pubblicando sul proprio sito istituzionale un avviso di pre-informazione recante le informazioni di cui all'allegato II.6, </w:t>
      </w:r>
      <w:r w:rsidR="00C059E9" w:rsidRPr="004A5029">
        <w:rPr>
          <w:rFonts w:ascii="Times New Roman" w:hAnsi="Times New Roman" w:cs="Times New Roman"/>
          <w:color w:val="000000" w:themeColor="text1"/>
        </w:rPr>
        <w:t>P</w:t>
      </w:r>
      <w:r w:rsidRPr="004A5029">
        <w:rPr>
          <w:rFonts w:ascii="Times New Roman" w:eastAsia="Times New Roman" w:hAnsi="Times New Roman" w:cs="Times New Roman"/>
          <w:color w:val="000000" w:themeColor="text1"/>
          <w:lang w:eastAsia="it-IT"/>
        </w:rPr>
        <w:t>arte I, lettera B, sezione B.1</w:t>
      </w:r>
      <w:r w:rsidR="000466FB"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Per gli appalti di importo pari o superiore alle soglie di cui all'articolo 14, l’avviso di pre-informazione è pubblicato dall'Ufficio delle pubblicazioni dell'Unione europea o dalla stazione appaltante sul proprio sito istituzionale. In quest'ultimo caso le stazioni appaltanti comunicano l’avviso di pre-informazione all’ANAC che, tramite la Banca dati nazionale dei contratti pubblici, cura l’invio al suddetto Ufficio di un avviso relativo alla pubblicazione sul sito istituzionale della stazione appaltante contenente le informazioni di cui all’allegato II.6, </w:t>
      </w:r>
      <w:r w:rsidR="00C059E9" w:rsidRPr="004A5029">
        <w:rPr>
          <w:rFonts w:ascii="Times New Roman" w:hAnsi="Times New Roman" w:cs="Times New Roman"/>
          <w:color w:val="000000" w:themeColor="text1"/>
        </w:rPr>
        <w:t>P</w:t>
      </w:r>
      <w:r w:rsidRPr="004A5029">
        <w:rPr>
          <w:rFonts w:ascii="Times New Roman" w:eastAsia="Times New Roman" w:hAnsi="Times New Roman" w:cs="Times New Roman"/>
          <w:color w:val="000000" w:themeColor="text1"/>
          <w:lang w:eastAsia="it-IT"/>
        </w:rPr>
        <w:t xml:space="preserve">arte I, lettera A. </w:t>
      </w:r>
    </w:p>
    <w:p w14:paraId="2A1F11EF" w14:textId="77777777"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2. Per le procedure ristrette e le procedure competitive con negoziazione, le </w:t>
      </w:r>
      <w:r w:rsidRPr="004A5029">
        <w:rPr>
          <w:rFonts w:ascii="Times New Roman" w:eastAsia="Times New Roman" w:hAnsi="Times New Roman" w:cs="Times New Roman"/>
          <w:bCs/>
          <w:color w:val="000000" w:themeColor="text1"/>
          <w:lang w:eastAsia="fr-FR"/>
        </w:rPr>
        <w:t>stazioni appaltanti</w:t>
      </w:r>
      <w:r w:rsidRPr="004A5029">
        <w:rPr>
          <w:rFonts w:ascii="Times New Roman" w:eastAsia="Times New Roman" w:hAnsi="Times New Roman" w:cs="Times New Roman"/>
          <w:color w:val="000000" w:themeColor="text1"/>
          <w:lang w:eastAsia="fr-FR"/>
        </w:rPr>
        <w:t xml:space="preserve"> sub-centrali possono utilizzare un avviso di pre-informazione come indizione di gara, purché l'avviso soddisfi tutte le seguenti condizioni:</w:t>
      </w:r>
    </w:p>
    <w:p w14:paraId="6DEE4B5D"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si riferisca specificatamente alle forniture, ai lavori o ai servizi che saranno oggetto dell'appalto da aggiudicare;</w:t>
      </w:r>
    </w:p>
    <w:p w14:paraId="42929148"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indichi che l'appalto sarà aggiudicato mediante una procedura ristretta o una procedura competitiva con negoziazione senza ulteriore pubblicazione di un avviso di indizione di gara e inviti gli operatori economici interessati a manifestare il proprio interesse;</w:t>
      </w:r>
    </w:p>
    <w:p w14:paraId="7B251711" w14:textId="6D1BA32B"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c) </w:t>
      </w:r>
      <w:r w:rsidRPr="004A5029">
        <w:rPr>
          <w:rFonts w:ascii="Times New Roman" w:eastAsia="Times New Roman" w:hAnsi="Times New Roman" w:cs="Times New Roman"/>
          <w:bCs/>
          <w:color w:val="000000" w:themeColor="text1"/>
          <w:lang w:eastAsia="it-IT"/>
        </w:rPr>
        <w:t>contenga</w:t>
      </w:r>
      <w:r w:rsidRPr="004A5029">
        <w:rPr>
          <w:rFonts w:ascii="Times New Roman" w:eastAsia="Times New Roman" w:hAnsi="Times New Roman" w:cs="Times New Roman"/>
          <w:color w:val="000000" w:themeColor="text1"/>
          <w:lang w:eastAsia="it-IT"/>
        </w:rPr>
        <w:t xml:space="preserve">, oltre alle informazioni di cui all'allegato II.6, </w:t>
      </w:r>
      <w:r w:rsidR="00C059E9" w:rsidRPr="004A5029">
        <w:rPr>
          <w:rFonts w:ascii="Times New Roman" w:hAnsi="Times New Roman" w:cs="Times New Roman"/>
          <w:b/>
          <w:bCs/>
          <w:color w:val="000000" w:themeColor="text1"/>
        </w:rPr>
        <w:t>P</w:t>
      </w:r>
      <w:r w:rsidRPr="004A5029">
        <w:rPr>
          <w:rFonts w:ascii="Times New Roman" w:eastAsia="Times New Roman" w:hAnsi="Times New Roman" w:cs="Times New Roman"/>
          <w:color w:val="000000" w:themeColor="text1"/>
          <w:lang w:eastAsia="it-IT"/>
        </w:rPr>
        <w:t xml:space="preserve">arte I, lettera B, sezione B.1, le informazioni di cui </w:t>
      </w:r>
      <w:r w:rsidRPr="004A5029">
        <w:rPr>
          <w:rFonts w:ascii="Times New Roman" w:eastAsia="Times New Roman" w:hAnsi="Times New Roman" w:cs="Times New Roman"/>
          <w:b/>
          <w:bCs/>
          <w:strike/>
          <w:color w:val="000000" w:themeColor="text1"/>
          <w:lang w:eastAsia="it-IT"/>
        </w:rPr>
        <w:t>al</w:t>
      </w:r>
      <w:r w:rsidRPr="004A5029">
        <w:rPr>
          <w:rFonts w:ascii="Times New Roman" w:eastAsia="Times New Roman" w:hAnsi="Times New Roman" w:cs="Times New Roman"/>
          <w:b/>
          <w:bCs/>
          <w:color w:val="000000" w:themeColor="text1"/>
          <w:lang w:eastAsia="it-IT"/>
        </w:rPr>
        <w:t xml:space="preserve"> </w:t>
      </w:r>
      <w:r w:rsidRPr="004A5029">
        <w:rPr>
          <w:rFonts w:ascii="Times New Roman" w:eastAsia="Times New Roman" w:hAnsi="Times New Roman" w:cs="Times New Roman"/>
          <w:b/>
          <w:bCs/>
          <w:strike/>
          <w:color w:val="000000" w:themeColor="text1"/>
          <w:lang w:eastAsia="it-IT"/>
        </w:rPr>
        <w:t>medesimo</w:t>
      </w:r>
      <w:r w:rsidRPr="004A5029">
        <w:rPr>
          <w:rFonts w:ascii="Times New Roman" w:eastAsia="Times New Roman" w:hAnsi="Times New Roman" w:cs="Times New Roman"/>
          <w:b/>
          <w:bCs/>
          <w:color w:val="000000" w:themeColor="text1"/>
          <w:lang w:eastAsia="it-IT"/>
        </w:rPr>
        <w:t xml:space="preserve"> </w:t>
      </w:r>
      <w:r w:rsidR="008548B2" w:rsidRPr="004A5029">
        <w:rPr>
          <w:rFonts w:ascii="Times New Roman" w:eastAsia="Times New Roman" w:hAnsi="Times New Roman" w:cs="Times New Roman"/>
          <w:b/>
          <w:bCs/>
          <w:color w:val="000000" w:themeColor="text1"/>
          <w:lang w:eastAsia="it-IT"/>
        </w:rPr>
        <w:t>all’</w:t>
      </w:r>
      <w:r w:rsidRPr="004A5029">
        <w:rPr>
          <w:rFonts w:ascii="Times New Roman" w:eastAsia="Times New Roman" w:hAnsi="Times New Roman" w:cs="Times New Roman"/>
          <w:color w:val="000000" w:themeColor="text1"/>
          <w:lang w:eastAsia="it-IT"/>
        </w:rPr>
        <w:t>allegato</w:t>
      </w:r>
      <w:r w:rsidR="005F458C" w:rsidRPr="004A5029">
        <w:rPr>
          <w:rFonts w:ascii="Times New Roman" w:eastAsia="Times New Roman" w:hAnsi="Times New Roman" w:cs="Times New Roman"/>
          <w:color w:val="000000" w:themeColor="text1"/>
          <w:lang w:eastAsia="it-IT"/>
        </w:rPr>
        <w:t xml:space="preserve"> </w:t>
      </w:r>
      <w:r w:rsidR="005F458C" w:rsidRPr="004A5029">
        <w:rPr>
          <w:rFonts w:ascii="Times New Roman" w:eastAsia="Times New Roman" w:hAnsi="Times New Roman" w:cs="Times New Roman"/>
          <w:b/>
          <w:bCs/>
          <w:color w:val="000000" w:themeColor="text1"/>
          <w:lang w:eastAsia="it-IT"/>
        </w:rPr>
        <w:t>II.6</w:t>
      </w:r>
      <w:r w:rsidRPr="004A5029">
        <w:rPr>
          <w:rFonts w:ascii="Times New Roman" w:eastAsia="Times New Roman" w:hAnsi="Times New Roman" w:cs="Times New Roman"/>
          <w:b/>
          <w:bCs/>
          <w:color w:val="000000" w:themeColor="text1"/>
          <w:lang w:eastAsia="it-IT"/>
        </w:rPr>
        <w:t xml:space="preserve">, </w:t>
      </w:r>
      <w:r w:rsidR="0066439B" w:rsidRPr="004A5029">
        <w:rPr>
          <w:rFonts w:ascii="Times New Roman" w:hAnsi="Times New Roman" w:cs="Times New Roman"/>
          <w:b/>
          <w:bCs/>
          <w:color w:val="000000" w:themeColor="text1"/>
        </w:rPr>
        <w:t>P</w:t>
      </w:r>
      <w:r w:rsidR="0066439B" w:rsidRPr="004A5029">
        <w:rPr>
          <w:rFonts w:ascii="Times New Roman" w:eastAsia="Times New Roman" w:hAnsi="Times New Roman" w:cs="Times New Roman"/>
          <w:b/>
          <w:bCs/>
          <w:color w:val="000000" w:themeColor="text1"/>
          <w:lang w:eastAsia="it-IT"/>
        </w:rPr>
        <w:t>arte I, lettera B,</w:t>
      </w:r>
      <w:r w:rsidR="0066439B"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sezione B.2;</w:t>
      </w:r>
    </w:p>
    <w:p w14:paraId="5B6736C4" w14:textId="6D49094E"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d) sia stato inviato alla pubblicazione non meno di </w:t>
      </w:r>
      <w:r w:rsidRPr="004A5029">
        <w:rPr>
          <w:rFonts w:ascii="Times New Roman" w:eastAsia="Times New Roman" w:hAnsi="Times New Roman" w:cs="Times New Roman"/>
          <w:b/>
          <w:bCs/>
          <w:strike/>
          <w:color w:val="000000" w:themeColor="text1"/>
          <w:lang w:eastAsia="it-IT"/>
        </w:rPr>
        <w:t>35</w:t>
      </w:r>
      <w:r w:rsidRPr="004A5029">
        <w:rPr>
          <w:rFonts w:ascii="Times New Roman" w:eastAsia="Times New Roman" w:hAnsi="Times New Roman" w:cs="Times New Roman"/>
          <w:b/>
          <w:bCs/>
          <w:color w:val="000000" w:themeColor="text1"/>
          <w:lang w:eastAsia="it-IT"/>
        </w:rPr>
        <w:t xml:space="preserve"> </w:t>
      </w:r>
      <w:r w:rsidR="00EF254E" w:rsidRPr="004A5029">
        <w:rPr>
          <w:rFonts w:ascii="Times New Roman" w:eastAsia="Times New Roman" w:hAnsi="Times New Roman" w:cs="Times New Roman"/>
          <w:b/>
          <w:bCs/>
          <w:color w:val="000000" w:themeColor="text1"/>
          <w:lang w:eastAsia="it-IT"/>
        </w:rPr>
        <w:t xml:space="preserve">trentacinque </w:t>
      </w:r>
      <w:r w:rsidRPr="004A5029">
        <w:rPr>
          <w:rFonts w:ascii="Times New Roman" w:eastAsia="Times New Roman" w:hAnsi="Times New Roman" w:cs="Times New Roman"/>
          <w:color w:val="000000" w:themeColor="text1"/>
          <w:lang w:eastAsia="it-IT"/>
        </w:rPr>
        <w:t xml:space="preserve">giorni e non oltre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eastAsia="Times New Roman" w:hAnsi="Times New Roman" w:cs="Times New Roman"/>
          <w:color w:val="000000" w:themeColor="text1"/>
          <w:lang w:eastAsia="it-IT"/>
        </w:rPr>
        <w:t xml:space="preserve"> mesi prima della data di invio dell'invito a confermare l’interesse di cui all'articolo 89, comma 1.</w:t>
      </w:r>
    </w:p>
    <w:p w14:paraId="692F23FD" w14:textId="77777777"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3. L'avviso di cui al comma 2 </w:t>
      </w:r>
      <w:r w:rsidRPr="004A5029">
        <w:rPr>
          <w:rFonts w:ascii="Times New Roman" w:eastAsia="Times New Roman" w:hAnsi="Times New Roman" w:cs="Times New Roman"/>
          <w:bCs/>
          <w:color w:val="000000" w:themeColor="text1"/>
          <w:lang w:eastAsia="fr-FR"/>
        </w:rPr>
        <w:t>è</w:t>
      </w:r>
      <w:r w:rsidRPr="004A5029">
        <w:rPr>
          <w:rFonts w:ascii="Times New Roman" w:eastAsia="Times New Roman" w:hAnsi="Times New Roman" w:cs="Times New Roman"/>
          <w:color w:val="000000" w:themeColor="text1"/>
          <w:lang w:eastAsia="fr-FR"/>
        </w:rPr>
        <w:t xml:space="preserve"> pubblicato sul sito istituzionale della stazione appaltante quale pubblicazione supplementare a livello nazionale, a norma dell'articolo 85. </w:t>
      </w:r>
    </w:p>
    <w:p w14:paraId="63366D44" w14:textId="3DC12F06"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4. Il periodo coperto dall'avviso di pre-informazione </w:t>
      </w:r>
      <w:r w:rsidRPr="004A5029">
        <w:rPr>
          <w:rFonts w:ascii="Times New Roman" w:eastAsia="Times New Roman" w:hAnsi="Times New Roman" w:cs="Times New Roman"/>
          <w:bCs/>
          <w:color w:val="000000" w:themeColor="text1"/>
          <w:lang w:eastAsia="fr-FR"/>
        </w:rPr>
        <w:t xml:space="preserve">non </w:t>
      </w:r>
      <w:r w:rsidRPr="004A5029">
        <w:rPr>
          <w:rFonts w:ascii="Times New Roman" w:eastAsia="Times New Roman" w:hAnsi="Times New Roman" w:cs="Times New Roman"/>
          <w:color w:val="000000" w:themeColor="text1"/>
          <w:lang w:eastAsia="fr-FR"/>
        </w:rPr>
        <w:t xml:space="preserve">può </w:t>
      </w:r>
      <w:r w:rsidRPr="004A5029">
        <w:rPr>
          <w:rFonts w:ascii="Times New Roman" w:eastAsia="Times New Roman" w:hAnsi="Times New Roman" w:cs="Times New Roman"/>
          <w:bCs/>
          <w:color w:val="000000" w:themeColor="text1"/>
          <w:lang w:eastAsia="fr-FR"/>
        </w:rPr>
        <w:t>superare</w:t>
      </w:r>
      <w:r w:rsidRPr="004A5029">
        <w:rPr>
          <w:rFonts w:ascii="Times New Roman" w:eastAsia="Times New Roman" w:hAnsi="Times New Roman" w:cs="Times New Roman"/>
          <w:color w:val="000000" w:themeColor="text1"/>
          <w:lang w:eastAsia="fr-FR"/>
        </w:rPr>
        <w:t xml:space="preserve"> </w:t>
      </w:r>
      <w:r w:rsidRPr="004A5029">
        <w:rPr>
          <w:rFonts w:ascii="Times New Roman" w:eastAsia="Times New Roman" w:hAnsi="Times New Roman" w:cs="Times New Roman"/>
          <w:bCs/>
          <w:color w:val="000000" w:themeColor="text1"/>
          <w:lang w:eastAsia="fr-FR"/>
        </w:rPr>
        <w:t>il termine</w:t>
      </w:r>
      <w:r w:rsidRPr="004A5029">
        <w:rPr>
          <w:rFonts w:ascii="Times New Roman" w:eastAsia="Times New Roman" w:hAnsi="Times New Roman" w:cs="Times New Roman"/>
          <w:color w:val="000000" w:themeColor="text1"/>
          <w:lang w:eastAsia="fr-FR"/>
        </w:rPr>
        <w:t xml:space="preserve"> di </w:t>
      </w:r>
      <w:r w:rsidRPr="004A5029">
        <w:rPr>
          <w:rFonts w:ascii="Times New Roman" w:eastAsia="Times New Roman" w:hAnsi="Times New Roman" w:cs="Times New Roman"/>
          <w:b/>
          <w:bCs/>
          <w:strike/>
          <w:color w:val="000000" w:themeColor="text1"/>
          <w:lang w:eastAsia="fr-FR"/>
        </w:rPr>
        <w:t>12</w:t>
      </w:r>
      <w:r w:rsidRPr="004A5029">
        <w:rPr>
          <w:rFonts w:ascii="Times New Roman" w:eastAsia="Times New Roman" w:hAnsi="Times New Roman" w:cs="Times New Roman"/>
          <w:b/>
          <w:bCs/>
          <w:color w:val="000000" w:themeColor="text1"/>
          <w:lang w:eastAsia="fr-FR"/>
        </w:rPr>
        <w:t xml:space="preserve"> </w:t>
      </w:r>
      <w:r w:rsidR="00EF254E" w:rsidRPr="004A5029">
        <w:rPr>
          <w:rFonts w:ascii="Times New Roman" w:eastAsia="Times New Roman" w:hAnsi="Times New Roman" w:cs="Times New Roman"/>
          <w:b/>
          <w:bCs/>
          <w:color w:val="000000" w:themeColor="text1"/>
          <w:lang w:eastAsia="fr-FR"/>
        </w:rPr>
        <w:t xml:space="preserve">dodici </w:t>
      </w:r>
      <w:r w:rsidRPr="004A5029">
        <w:rPr>
          <w:rFonts w:ascii="Times New Roman" w:eastAsia="Times New Roman" w:hAnsi="Times New Roman" w:cs="Times New Roman"/>
          <w:color w:val="000000" w:themeColor="text1"/>
          <w:lang w:eastAsia="fr-FR"/>
        </w:rPr>
        <w:t xml:space="preserve">mesi dalla data di trasmissione dell'avviso per la pubblicazione. Tuttavia, nel caso di appalti pubblici per </w:t>
      </w:r>
      <w:r w:rsidRPr="004A5029">
        <w:rPr>
          <w:rFonts w:ascii="Times New Roman" w:eastAsia="Times New Roman" w:hAnsi="Times New Roman" w:cs="Times New Roman"/>
          <w:bCs/>
          <w:color w:val="000000" w:themeColor="text1"/>
          <w:lang w:eastAsia="fr-FR"/>
        </w:rPr>
        <w:t>i</w:t>
      </w:r>
      <w:r w:rsidRPr="004A5029">
        <w:rPr>
          <w:rFonts w:ascii="Times New Roman" w:eastAsia="Times New Roman" w:hAnsi="Times New Roman" w:cs="Times New Roman"/>
          <w:color w:val="000000" w:themeColor="text1"/>
          <w:lang w:eastAsia="fr-FR"/>
        </w:rPr>
        <w:t xml:space="preserve"> servizi </w:t>
      </w:r>
      <w:r w:rsidRPr="004A5029">
        <w:rPr>
          <w:rFonts w:ascii="Times New Roman" w:eastAsia="Times New Roman" w:hAnsi="Times New Roman" w:cs="Times New Roman"/>
          <w:bCs/>
          <w:color w:val="000000" w:themeColor="text1"/>
          <w:lang w:eastAsia="fr-FR"/>
        </w:rPr>
        <w:t>di cui all’allegato XIV a</w:t>
      </w:r>
      <w:r w:rsidRPr="004A5029">
        <w:rPr>
          <w:rFonts w:ascii="Times New Roman" w:eastAsia="Times" w:hAnsi="Times New Roman" w:cs="Times New Roman"/>
          <w:bCs/>
          <w:color w:val="000000" w:themeColor="text1"/>
        </w:rPr>
        <w:t xml:space="preserve">lla </w:t>
      </w:r>
      <w:r w:rsidR="00C353A3" w:rsidRPr="004A5029">
        <w:rPr>
          <w:rFonts w:ascii="Times New Roman" w:eastAsia="Times" w:hAnsi="Times New Roman" w:cs="Times New Roman"/>
          <w:bCs/>
          <w:color w:val="000000" w:themeColor="text1"/>
        </w:rPr>
        <w:t>d</w:t>
      </w:r>
      <w:r w:rsidRPr="004A5029">
        <w:rPr>
          <w:rFonts w:ascii="Times New Roman" w:eastAsia="Times" w:hAnsi="Times New Roman" w:cs="Times New Roman"/>
          <w:bCs/>
          <w:color w:val="000000" w:themeColor="text1"/>
        </w:rPr>
        <w:t>irettiva 2014/24/UE del Parlamento europeo e del Consiglio, del 26 febbraio 2014,</w:t>
      </w:r>
      <w:r w:rsidRPr="004A5029">
        <w:rPr>
          <w:rFonts w:ascii="Times New Roman" w:eastAsia="Times New Roman" w:hAnsi="Times New Roman" w:cs="Times New Roman"/>
          <w:color w:val="000000" w:themeColor="text1"/>
          <w:lang w:eastAsia="fr-FR"/>
        </w:rPr>
        <w:t xml:space="preserve"> l'avviso di pre-informazione può coprire un periodo fino a </w:t>
      </w:r>
      <w:r w:rsidRPr="004A5029">
        <w:rPr>
          <w:rFonts w:ascii="Times New Roman" w:eastAsia="Times New Roman" w:hAnsi="Times New Roman" w:cs="Times New Roman"/>
          <w:b/>
          <w:bCs/>
          <w:strike/>
          <w:color w:val="000000" w:themeColor="text1"/>
          <w:lang w:eastAsia="fr-FR"/>
        </w:rPr>
        <w:t>24</w:t>
      </w:r>
      <w:r w:rsidRPr="004A5029">
        <w:rPr>
          <w:rFonts w:ascii="Times New Roman" w:eastAsia="Times New Roman" w:hAnsi="Times New Roman" w:cs="Times New Roman"/>
          <w:b/>
          <w:bCs/>
          <w:color w:val="000000" w:themeColor="text1"/>
          <w:lang w:eastAsia="fr-FR"/>
        </w:rPr>
        <w:t xml:space="preserve"> </w:t>
      </w:r>
      <w:r w:rsidR="00A62EBA" w:rsidRPr="004A5029">
        <w:rPr>
          <w:rFonts w:ascii="Times New Roman" w:eastAsia="Times New Roman" w:hAnsi="Times New Roman" w:cs="Times New Roman"/>
          <w:b/>
          <w:bCs/>
          <w:color w:val="000000" w:themeColor="text1"/>
          <w:lang w:eastAsia="fr-FR"/>
        </w:rPr>
        <w:t xml:space="preserve">ventiquattro </w:t>
      </w:r>
      <w:r w:rsidRPr="004A5029">
        <w:rPr>
          <w:rFonts w:ascii="Times New Roman" w:eastAsia="Times New Roman" w:hAnsi="Times New Roman" w:cs="Times New Roman"/>
          <w:color w:val="000000" w:themeColor="text1"/>
          <w:lang w:eastAsia="fr-FR"/>
        </w:rPr>
        <w:t>mesi.</w:t>
      </w:r>
    </w:p>
    <w:p w14:paraId="38288749" w14:textId="77777777" w:rsidR="00446F27" w:rsidRPr="004A5029" w:rsidRDefault="00446F27" w:rsidP="00446F27">
      <w:pPr>
        <w:jc w:val="both"/>
        <w:rPr>
          <w:rFonts w:ascii="Times New Roman" w:eastAsia="Times New Roman" w:hAnsi="Times New Roman" w:cs="Times New Roman"/>
          <w:color w:val="000000" w:themeColor="text1"/>
          <w:lang w:eastAsia="fr-FR"/>
        </w:rPr>
      </w:pPr>
    </w:p>
    <w:p w14:paraId="5E771B08" w14:textId="77777777" w:rsidR="00446F27" w:rsidRPr="004A5029" w:rsidRDefault="00446F27" w:rsidP="00446F27">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82.</w:t>
      </w:r>
    </w:p>
    <w:p w14:paraId="12FEDDC5" w14:textId="77777777" w:rsidR="00446F27" w:rsidRPr="004A5029" w:rsidRDefault="00446F27" w:rsidP="00446F27">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Documenti di gara.</w:t>
      </w:r>
    </w:p>
    <w:p w14:paraId="45BF94A5" w14:textId="77777777"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1. Costituiscono documenti di gara, in particolare:</w:t>
      </w:r>
    </w:p>
    <w:p w14:paraId="628BBD22" w14:textId="77777777"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 xml:space="preserve">a) il bando, l’avviso di gara o la lettera d’invito; </w:t>
      </w:r>
    </w:p>
    <w:p w14:paraId="4B92040C" w14:textId="77777777"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b) il disciplinare di gara;</w:t>
      </w:r>
    </w:p>
    <w:p w14:paraId="12D63F13" w14:textId="77777777"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c) il capitolato speciale;</w:t>
      </w:r>
    </w:p>
    <w:p w14:paraId="70310267" w14:textId="77777777"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d) le condizioni contrattuali proposte.</w:t>
      </w:r>
    </w:p>
    <w:p w14:paraId="5D77D17A" w14:textId="7A384D03"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 xml:space="preserve">2. In caso di contrasto o contraddittorietà tra le disposizioni contenute nei documenti </w:t>
      </w:r>
      <w:r w:rsidR="008525B3" w:rsidRPr="004A5029">
        <w:rPr>
          <w:rFonts w:ascii="Times New Roman" w:eastAsia="Times New Roman" w:hAnsi="Times New Roman" w:cs="Times New Roman"/>
          <w:bCs/>
          <w:color w:val="000000" w:themeColor="text1"/>
          <w:lang w:eastAsia="fr-FR"/>
        </w:rPr>
        <w:t xml:space="preserve">di cui al comma 1 </w:t>
      </w:r>
      <w:r w:rsidRPr="004A5029">
        <w:rPr>
          <w:rFonts w:ascii="Times New Roman" w:eastAsia="Times New Roman" w:hAnsi="Times New Roman" w:cs="Times New Roman"/>
          <w:bCs/>
          <w:color w:val="000000" w:themeColor="text1"/>
          <w:lang w:eastAsia="fr-FR"/>
        </w:rPr>
        <w:t>prevalgono quelle inserite nel bando o nell’avviso di gara.</w:t>
      </w:r>
    </w:p>
    <w:p w14:paraId="0C136CF1" w14:textId="77777777" w:rsidR="00446F27" w:rsidRPr="004A5029" w:rsidRDefault="00446F27" w:rsidP="00446F27">
      <w:pPr>
        <w:jc w:val="both"/>
        <w:rPr>
          <w:rFonts w:ascii="Times New Roman" w:hAnsi="Times New Roman" w:cs="Times New Roman"/>
          <w:bCs/>
          <w:color w:val="000000" w:themeColor="text1"/>
        </w:rPr>
      </w:pPr>
    </w:p>
    <w:p w14:paraId="49985E4E" w14:textId="77777777" w:rsidR="00B922F7" w:rsidRPr="004A5029" w:rsidRDefault="00B922F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w:t>
      </w:r>
      <w:r w:rsidR="00446F27" w:rsidRPr="004A5029">
        <w:rPr>
          <w:rFonts w:ascii="Times New Roman" w:hAnsi="Times New Roman" w:cs="Times New Roman"/>
          <w:b/>
          <w:color w:val="000000" w:themeColor="text1"/>
        </w:rPr>
        <w:t xml:space="preserve">II </w:t>
      </w:r>
    </w:p>
    <w:p w14:paraId="3A55F934" w14:textId="64E1E844" w:rsidR="00446F27" w:rsidRPr="004A5029" w:rsidRDefault="00446F27" w:rsidP="00446F27">
      <w:pPr>
        <w:jc w:val="center"/>
        <w:rPr>
          <w:rFonts w:ascii="Times New Roman" w:eastAsia="Times New Roman" w:hAnsi="Times New Roman" w:cs="Times New Roman"/>
          <w:b/>
          <w:bCs/>
          <w:color w:val="000000" w:themeColor="text1"/>
          <w:lang w:eastAsia="it-IT"/>
        </w:rPr>
      </w:pPr>
      <w:r w:rsidRPr="004A5029">
        <w:rPr>
          <w:rFonts w:ascii="Times New Roman" w:hAnsi="Times New Roman" w:cs="Times New Roman"/>
          <w:b/>
          <w:color w:val="000000" w:themeColor="text1"/>
        </w:rPr>
        <w:t>I bandi, gli avvisi e gli inviti</w:t>
      </w:r>
    </w:p>
    <w:p w14:paraId="0A392C6A" w14:textId="77777777" w:rsidR="00446F27" w:rsidRPr="004A5029" w:rsidRDefault="00446F27" w:rsidP="00446F27">
      <w:pPr>
        <w:rPr>
          <w:rFonts w:ascii="Times New Roman" w:hAnsi="Times New Roman" w:cs="Times New Roman"/>
          <w:color w:val="000000" w:themeColor="text1"/>
        </w:rPr>
      </w:pPr>
    </w:p>
    <w:p w14:paraId="3EF689EB" w14:textId="77777777" w:rsidR="00446F27" w:rsidRPr="004A5029" w:rsidRDefault="00446F27" w:rsidP="00446F27">
      <w:pP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Articolo 83. </w:t>
      </w:r>
    </w:p>
    <w:p w14:paraId="283DC555" w14:textId="77777777" w:rsidR="00446F27" w:rsidRPr="004A5029" w:rsidRDefault="00446F27" w:rsidP="00446F27">
      <w:pPr>
        <w:rPr>
          <w:rFonts w:ascii="Times New Roman" w:hAnsi="Times New Roman" w:cs="Times New Roman"/>
          <w:bCs/>
          <w:i/>
          <w:color w:val="000000" w:themeColor="text1"/>
        </w:rPr>
      </w:pPr>
      <w:r w:rsidRPr="004A5029">
        <w:rPr>
          <w:rFonts w:ascii="Times New Roman" w:hAnsi="Times New Roman" w:cs="Times New Roman"/>
          <w:bCs/>
          <w:i/>
          <w:color w:val="000000" w:themeColor="text1"/>
        </w:rPr>
        <w:t xml:space="preserve">Bandi e avvisi: contenuti e modalità di redazione. </w:t>
      </w:r>
    </w:p>
    <w:p w14:paraId="7CD038AB" w14:textId="70B71A1B"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1. Tutte le procedure di scelta del contraente sono indette mediante bandi o avvisi di gara, salve le eccezioni di legge. Nei bandi o negli avvisi è indicato il </w:t>
      </w:r>
      <w:r w:rsidRPr="004A5029">
        <w:rPr>
          <w:rFonts w:ascii="Times New Roman" w:hAnsi="Times New Roman" w:cs="Times New Roman"/>
          <w:b/>
          <w:strike/>
          <w:color w:val="000000" w:themeColor="text1"/>
        </w:rPr>
        <w:t>Codice Identificativo della Gara</w:t>
      </w:r>
      <w:r w:rsidRPr="004A5029">
        <w:rPr>
          <w:rFonts w:ascii="Times New Roman" w:eastAsia="Times New Roman" w:hAnsi="Times New Roman" w:cs="Times New Roman"/>
          <w:b/>
          <w:color w:val="000000" w:themeColor="text1"/>
          <w:lang w:eastAsia="fr-FR"/>
        </w:rPr>
        <w:t xml:space="preserve"> </w:t>
      </w:r>
      <w:r w:rsidR="00B15DDA" w:rsidRPr="004A5029">
        <w:rPr>
          <w:rFonts w:ascii="Times New Roman" w:hAnsi="Times New Roman" w:cs="Times New Roman"/>
          <w:b/>
          <w:color w:val="000000" w:themeColor="text1"/>
        </w:rPr>
        <w:t>codice identificativo di gara (CIG)</w:t>
      </w:r>
      <w:r w:rsidR="00B15DDA" w:rsidRPr="004A5029">
        <w:rPr>
          <w:rFonts w:ascii="Times New Roman" w:hAnsi="Times New Roman" w:cs="Times New Roman"/>
          <w:bCs/>
          <w:color w:val="000000" w:themeColor="text1"/>
        </w:rPr>
        <w:t xml:space="preserve"> </w:t>
      </w:r>
      <w:r w:rsidRPr="004A5029">
        <w:rPr>
          <w:rFonts w:ascii="Times New Roman" w:eastAsia="Times New Roman" w:hAnsi="Times New Roman" w:cs="Times New Roman"/>
          <w:color w:val="000000" w:themeColor="text1"/>
          <w:lang w:eastAsia="fr-FR"/>
        </w:rPr>
        <w:t>acquisito attraverso la Banca dati nazionale dei contratti pubblici.</w:t>
      </w:r>
    </w:p>
    <w:p w14:paraId="7AF21019" w14:textId="24E01379"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bCs/>
          <w:color w:val="000000" w:themeColor="text1"/>
          <w:lang w:eastAsia="fr-FR"/>
        </w:rPr>
        <w:t xml:space="preserve">2. I bandi, gli avvisi di pre-informazione e gli avvisi relativi agli appalti aggiudicati contengono le </w:t>
      </w:r>
      <w:r w:rsidRPr="004A5029">
        <w:rPr>
          <w:rFonts w:ascii="Times New Roman" w:eastAsia="Times New Roman" w:hAnsi="Times New Roman" w:cs="Times New Roman"/>
          <w:b/>
          <w:strike/>
          <w:color w:val="000000" w:themeColor="text1"/>
          <w:lang w:eastAsia="fr-FR"/>
        </w:rPr>
        <w:t>infomazioni</w:t>
      </w:r>
      <w:r w:rsidR="00B15DDA" w:rsidRPr="004A5029">
        <w:rPr>
          <w:rFonts w:ascii="Times New Roman" w:eastAsia="Times New Roman" w:hAnsi="Times New Roman" w:cs="Times New Roman"/>
          <w:b/>
          <w:strike/>
          <w:color w:val="000000" w:themeColor="text1"/>
          <w:lang w:eastAsia="fr-FR"/>
        </w:rPr>
        <w:t xml:space="preserve"> </w:t>
      </w:r>
      <w:r w:rsidR="00B15DDA" w:rsidRPr="004A5029">
        <w:rPr>
          <w:rFonts w:ascii="Times New Roman" w:eastAsia="Times New Roman" w:hAnsi="Times New Roman" w:cs="Times New Roman"/>
          <w:b/>
          <w:color w:val="000000" w:themeColor="text1"/>
          <w:lang w:eastAsia="fr-FR"/>
        </w:rPr>
        <w:t>informazioni</w:t>
      </w:r>
      <w:r w:rsidR="00B15DDA" w:rsidRPr="004A5029">
        <w:rPr>
          <w:rFonts w:ascii="Times New Roman" w:eastAsia="Times New Roman" w:hAnsi="Times New Roman" w:cs="Times New Roman"/>
          <w:bCs/>
          <w:color w:val="000000" w:themeColor="text1"/>
          <w:lang w:eastAsia="fr-FR"/>
        </w:rPr>
        <w:t xml:space="preserve"> </w:t>
      </w:r>
      <w:r w:rsidRPr="004A5029">
        <w:rPr>
          <w:rFonts w:ascii="Times New Roman" w:eastAsia="Times New Roman" w:hAnsi="Times New Roman" w:cs="Times New Roman"/>
          <w:bCs/>
          <w:color w:val="000000" w:themeColor="text1"/>
          <w:lang w:eastAsia="fr-FR"/>
        </w:rPr>
        <w:t>rispettivamente indicate nell’allegato II.6. I bandi di gara indicano altresì la durata del procedimento di gara, nel rispetto dei termini massimi di cui all’articolo 17, comma 3, e i criteri ambientali minimi di cui all’articolo 57, comma 2.</w:t>
      </w:r>
    </w:p>
    <w:p w14:paraId="2C2B6CCF"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fr-FR"/>
        </w:rPr>
        <w:t>3. Successivamente all’adozione da parte dell'ANAC di bandi tipo, i bandi di gara sono redatti in conformità degli stessi. Le stazioni appaltanti, nella delibera a contrarre, motivano espressamente in ordine alle deroghe al bando-tipo.</w:t>
      </w:r>
    </w:p>
    <w:p w14:paraId="29D6B04F"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fr-FR"/>
        </w:rPr>
      </w:pPr>
      <w:r w:rsidRPr="004A5029">
        <w:rPr>
          <w:rFonts w:ascii="Times New Roman" w:eastAsia="Times New Roman" w:hAnsi="Times New Roman" w:cs="Times New Roman"/>
          <w:color w:val="000000" w:themeColor="text1"/>
          <w:lang w:eastAsia="fr-FR"/>
        </w:rPr>
        <w:t xml:space="preserve"> </w:t>
      </w:r>
    </w:p>
    <w:p w14:paraId="28B4FD38" w14:textId="77777777" w:rsidR="00446F27" w:rsidRPr="004A5029" w:rsidRDefault="00446F27" w:rsidP="00446F27">
      <w:pPr>
        <w:jc w:val="both"/>
        <w:rPr>
          <w:rFonts w:ascii="Times New Roman" w:eastAsia="Times New Roman" w:hAnsi="Times New Roman" w:cs="Times New Roman"/>
          <w:color w:val="000000" w:themeColor="text1"/>
          <w:lang w:eastAsia="fr-FR"/>
        </w:rPr>
      </w:pPr>
      <w:r w:rsidRPr="004A5029">
        <w:rPr>
          <w:rFonts w:ascii="Times New Roman" w:hAnsi="Times New Roman" w:cs="Times New Roman"/>
          <w:b/>
          <w:bCs/>
          <w:color w:val="000000" w:themeColor="text1"/>
        </w:rPr>
        <w:t>Articolo 84.</w:t>
      </w:r>
    </w:p>
    <w:p w14:paraId="41EB6B1C"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Pubblicazione a livello europeo.</w:t>
      </w:r>
      <w:r w:rsidRPr="004A5029">
        <w:rPr>
          <w:rFonts w:ascii="Times New Roman" w:hAnsi="Times New Roman" w:cs="Times New Roman"/>
          <w:bCs/>
          <w:i/>
          <w:color w:val="000000" w:themeColor="text1"/>
        </w:rPr>
        <w:t xml:space="preserve"> </w:t>
      </w:r>
    </w:p>
    <w:p w14:paraId="1F25605C" w14:textId="2378097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I bandi, gli avvisi di pre-informazione e gli avvisi relativi agli appalti aggiudicati di importo pari o superiore alle soglie di cui all’articolo 14 sono redatti dalle stazioni appaltanti e trasmessi all'Ufficio delle pubblicazioni dell'Unione europea, per il tramite della Banca dati nazionale dei contratti pubblici, secondo modalità conformi all'allegato II.7. La conferma da parte di detto Ufficio della ricezione e dell’avviso della pubblicazione trasmessa, con l’indicazione della data della pubblicazione, vale come prova della pubblicazione. </w:t>
      </w:r>
      <w:r w:rsidRPr="004A5029">
        <w:rPr>
          <w:rFonts w:ascii="Times New Roman" w:eastAsia="Calibri" w:hAnsi="Times New Roman" w:cs="Times New Roman"/>
          <w:bCs/>
          <w:color w:val="000000" w:themeColor="text1"/>
        </w:rPr>
        <w:t xml:space="preserve">In sede di prima applicazione del codice, </w:t>
      </w:r>
      <w:r w:rsidR="00070E8D" w:rsidRPr="004A5029">
        <w:rPr>
          <w:rFonts w:ascii="Times New Roman" w:eastAsia="Calibri" w:hAnsi="Times New Roman" w:cs="Times New Roman"/>
          <w:bCs/>
          <w:color w:val="000000" w:themeColor="text1"/>
        </w:rPr>
        <w:t xml:space="preserve">l’allegato II.7 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00070E8D" w:rsidRPr="004A5029">
        <w:rPr>
          <w:rFonts w:ascii="Times New Roman" w:eastAsia="Calibri" w:hAnsi="Times New Roman" w:cs="Times New Roman"/>
          <w:bCs/>
          <w:color w:val="000000" w:themeColor="text1"/>
        </w:rPr>
        <w:t xml:space="preserve"> ai sensi dell’articolo 17, comma 3, della legge 23 agosto 1988, n. 400, con decreto </w:t>
      </w:r>
      <w:r w:rsidR="00070E8D" w:rsidRPr="004A5029">
        <w:rPr>
          <w:rFonts w:ascii="Times New Roman" w:hAnsi="Times New Roman" w:cs="Times New Roman"/>
          <w:bCs/>
          <w:color w:val="000000" w:themeColor="text1"/>
        </w:rPr>
        <w:t xml:space="preserve">del Ministro delle infrastrutture e dei trasporti, </w:t>
      </w:r>
      <w:r w:rsidR="00531DF3" w:rsidRPr="004A5029">
        <w:rPr>
          <w:rFonts w:ascii="Times New Roman" w:eastAsia="Calibri" w:hAnsi="Times New Roman" w:cs="Times New Roman"/>
          <w:bCs/>
          <w:color w:val="000000" w:themeColor="text1"/>
        </w:rPr>
        <w:t xml:space="preserve">che </w:t>
      </w:r>
      <w:r w:rsidRPr="004A5029">
        <w:rPr>
          <w:rFonts w:ascii="Times New Roman" w:eastAsia="Calibri" w:hAnsi="Times New Roman" w:cs="Times New Roman"/>
          <w:bCs/>
          <w:color w:val="000000" w:themeColor="text1"/>
        </w:rPr>
        <w:t>lo sostituisce integralmente anche in qualità di allegato al codice.</w:t>
      </w:r>
    </w:p>
    <w:p w14:paraId="59BCC45C" w14:textId="735CC5B6"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fr-FR"/>
        </w:rPr>
        <w:t xml:space="preserve">2. I bandi e gli avvisi sono pubblicati per esteso in lingua italiana, fatte salve le norme vigenti nella </w:t>
      </w:r>
      <w:r w:rsidRPr="004A5029">
        <w:rPr>
          <w:rFonts w:ascii="Times New Roman" w:eastAsia="Times New Roman" w:hAnsi="Times New Roman" w:cs="Times New Roman"/>
          <w:b/>
          <w:strike/>
          <w:color w:val="000000" w:themeColor="text1"/>
          <w:lang w:eastAsia="fr-FR"/>
        </w:rPr>
        <w:t>P</w:t>
      </w:r>
      <w:r w:rsidR="00353AF9" w:rsidRPr="004A5029">
        <w:rPr>
          <w:rFonts w:ascii="Times New Roman" w:eastAsia="Times New Roman" w:hAnsi="Times New Roman" w:cs="Times New Roman"/>
          <w:b/>
          <w:color w:val="000000" w:themeColor="text1"/>
          <w:lang w:eastAsia="fr-FR"/>
        </w:rPr>
        <w:t>p</w:t>
      </w:r>
      <w:r w:rsidRPr="004A5029">
        <w:rPr>
          <w:rFonts w:ascii="Times New Roman" w:eastAsia="Times New Roman" w:hAnsi="Times New Roman" w:cs="Times New Roman"/>
          <w:bCs/>
          <w:color w:val="000000" w:themeColor="text1"/>
          <w:lang w:eastAsia="fr-FR"/>
        </w:rPr>
        <w:t>rovincia autonoma di Bolzano in materia di bilinguismo; il testo pubblicato in tali lingue è l’unico facente fede. Una sintesi degli elementi importanti di ciascun avviso o bando è pubblicata, a cura dell’Ufficio delle pubblicazioni dell’Unione europea, nelle altre lingue ufficiali delle istituzioni dell’Unione</w:t>
      </w:r>
      <w:r w:rsidR="00353AF9" w:rsidRPr="004A5029">
        <w:rPr>
          <w:rFonts w:ascii="Times New Roman" w:eastAsia="Times New Roman" w:hAnsi="Times New Roman" w:cs="Times New Roman"/>
          <w:bCs/>
          <w:color w:val="000000" w:themeColor="text1"/>
          <w:lang w:eastAsia="fr-FR"/>
        </w:rPr>
        <w:t xml:space="preserve"> </w:t>
      </w:r>
      <w:r w:rsidR="00353AF9" w:rsidRPr="004A5029">
        <w:rPr>
          <w:rFonts w:ascii="Times New Roman" w:eastAsia="Times New Roman" w:hAnsi="Times New Roman" w:cs="Times New Roman"/>
          <w:b/>
          <w:color w:val="000000" w:themeColor="text1"/>
          <w:lang w:eastAsia="fr-FR"/>
        </w:rPr>
        <w:t>europea</w:t>
      </w:r>
      <w:r w:rsidRPr="004A5029">
        <w:rPr>
          <w:rFonts w:ascii="Times New Roman" w:eastAsia="Times New Roman" w:hAnsi="Times New Roman" w:cs="Times New Roman"/>
          <w:b/>
          <w:color w:val="000000" w:themeColor="text1"/>
          <w:lang w:eastAsia="fr-FR"/>
        </w:rPr>
        <w:t>.</w:t>
      </w:r>
    </w:p>
    <w:p w14:paraId="214028F1" w14:textId="7A20345F"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it-IT"/>
        </w:rPr>
        <w:t xml:space="preserve">3. Le stazioni appaltanti possono inviare per la pubblicazione avvisi relativi ad appalti pubblici che non sono soggetti all'obbligo di pubblicazione da parte dell’Ufficio delle pubblicazioni dell’Unione europea, a condizione che essi siano trasmessi a </w:t>
      </w:r>
      <w:r w:rsidRPr="004A5029">
        <w:rPr>
          <w:rFonts w:ascii="Times New Roman" w:eastAsia="Times New Roman" w:hAnsi="Times New Roman" w:cs="Times New Roman"/>
          <w:b/>
          <w:strike/>
          <w:color w:val="000000" w:themeColor="text1"/>
          <w:lang w:eastAsia="it-IT"/>
        </w:rPr>
        <w:t>detto Ufficio</w:t>
      </w:r>
      <w:r w:rsidRPr="004A5029">
        <w:rPr>
          <w:rFonts w:ascii="Times New Roman" w:eastAsia="Times New Roman" w:hAnsi="Times New Roman" w:cs="Times New Roman"/>
          <w:b/>
          <w:color w:val="000000" w:themeColor="text1"/>
          <w:lang w:eastAsia="it-IT"/>
        </w:rPr>
        <w:t xml:space="preserve"> </w:t>
      </w:r>
      <w:r w:rsidR="0084066B" w:rsidRPr="004A5029">
        <w:rPr>
          <w:rFonts w:ascii="Times New Roman" w:eastAsia="Times New Roman" w:hAnsi="Times New Roman" w:cs="Times New Roman"/>
          <w:b/>
          <w:color w:val="000000" w:themeColor="text1"/>
          <w:lang w:eastAsia="it-IT"/>
        </w:rPr>
        <w:t>tale ufficio</w:t>
      </w:r>
      <w:r w:rsidR="0084066B" w:rsidRPr="004A5029">
        <w:rPr>
          <w:rFonts w:ascii="Times New Roman" w:eastAsia="Times New Roman" w:hAnsi="Times New Roman" w:cs="Times New Roman"/>
          <w:bCs/>
          <w:color w:val="000000" w:themeColor="text1"/>
          <w:lang w:eastAsia="it-IT"/>
        </w:rPr>
        <w:t xml:space="preserve"> </w:t>
      </w:r>
      <w:r w:rsidRPr="004A5029">
        <w:rPr>
          <w:rFonts w:ascii="Times New Roman" w:eastAsia="Times New Roman" w:hAnsi="Times New Roman" w:cs="Times New Roman"/>
          <w:bCs/>
          <w:color w:val="000000" w:themeColor="text1"/>
          <w:lang w:eastAsia="it-IT"/>
        </w:rPr>
        <w:t>secondo il modello e le modalità precisati al comma 1.</w:t>
      </w:r>
    </w:p>
    <w:p w14:paraId="290583F9" w14:textId="2BF6FCD3" w:rsidR="00446F27" w:rsidRPr="004A5029" w:rsidRDefault="00446F27" w:rsidP="00446F27">
      <w:pPr>
        <w:jc w:val="both"/>
        <w:rPr>
          <w:rFonts w:ascii="Times New Roman" w:hAnsi="Times New Roman" w:cs="Times New Roman"/>
          <w:color w:val="000000" w:themeColor="text1"/>
        </w:rPr>
      </w:pPr>
    </w:p>
    <w:p w14:paraId="3D4DFD26" w14:textId="77777777" w:rsidR="00D97357" w:rsidRPr="004A5029" w:rsidRDefault="00D97357" w:rsidP="00446F27">
      <w:pPr>
        <w:jc w:val="both"/>
        <w:rPr>
          <w:rFonts w:ascii="Times New Roman" w:hAnsi="Times New Roman" w:cs="Times New Roman"/>
          <w:color w:val="000000" w:themeColor="text1"/>
        </w:rPr>
      </w:pPr>
    </w:p>
    <w:p w14:paraId="3F3D6B09"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85.</w:t>
      </w:r>
    </w:p>
    <w:p w14:paraId="17E7BD62"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Pubblicazione a livello nazionale.</w:t>
      </w:r>
    </w:p>
    <w:p w14:paraId="7B125268" w14:textId="04479F79"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fr-FR"/>
        </w:rPr>
        <w:t>1. I bandi, gli avvisi di pre-informazione e quelli relativi agli appalti aggiudicati sono pubblicati</w:t>
      </w:r>
      <w:r w:rsidRPr="004A5029">
        <w:rPr>
          <w:rFonts w:ascii="Times New Roman" w:eastAsia="Times New Roman" w:hAnsi="Times New Roman" w:cs="Times New Roman"/>
          <w:b/>
          <w:color w:val="000000" w:themeColor="text1"/>
          <w:lang w:eastAsia="fr-FR"/>
        </w:rPr>
        <w:t>,</w:t>
      </w:r>
      <w:r w:rsidRPr="004A5029">
        <w:rPr>
          <w:rFonts w:ascii="Times New Roman" w:eastAsia="Times New Roman" w:hAnsi="Times New Roman" w:cs="Times New Roman"/>
          <w:bCs/>
          <w:color w:val="000000" w:themeColor="text1"/>
          <w:lang w:eastAsia="fr-FR"/>
        </w:rPr>
        <w:t xml:space="preserve"> solo successivamente alla pubblicazione di cui all'articolo 84, sulla Banca dati nazionale dei contratti pubblici dell’ANAC e sul sito istituzionale della stazione appaltante</w:t>
      </w:r>
      <w:r w:rsidR="005D6931" w:rsidRPr="004A5029">
        <w:rPr>
          <w:rFonts w:ascii="Times New Roman" w:eastAsia="Times New Roman" w:hAnsi="Times New Roman" w:cs="Times New Roman"/>
          <w:bCs/>
          <w:color w:val="000000" w:themeColor="text1"/>
          <w:lang w:eastAsia="fr-FR"/>
        </w:rPr>
        <w:t xml:space="preserve"> o dell’ente concedente</w:t>
      </w:r>
      <w:r w:rsidRPr="004A5029">
        <w:rPr>
          <w:rFonts w:ascii="Times New Roman" w:eastAsia="Times New Roman" w:hAnsi="Times New Roman" w:cs="Times New Roman"/>
          <w:bCs/>
          <w:color w:val="000000" w:themeColor="text1"/>
          <w:lang w:eastAsia="fr-FR"/>
        </w:rPr>
        <w:t>. Tuttavia</w:t>
      </w:r>
      <w:r w:rsidR="008525B3" w:rsidRPr="004A5029">
        <w:rPr>
          <w:rFonts w:ascii="Times New Roman" w:eastAsia="Times New Roman" w:hAnsi="Times New Roman" w:cs="Times New Roman"/>
          <w:bCs/>
          <w:color w:val="000000" w:themeColor="text1"/>
          <w:lang w:eastAsia="fr-FR"/>
        </w:rPr>
        <w:t>,</w:t>
      </w:r>
      <w:r w:rsidRPr="004A5029">
        <w:rPr>
          <w:rFonts w:ascii="Times New Roman" w:eastAsia="Times New Roman" w:hAnsi="Times New Roman" w:cs="Times New Roman"/>
          <w:bCs/>
          <w:color w:val="000000" w:themeColor="text1"/>
          <w:lang w:eastAsia="fr-FR"/>
        </w:rPr>
        <w:t xml:space="preserve"> la pubblicazione può comunque avere luogo qualora la pubblicazione a livello europeo non sia stata notificata entro </w:t>
      </w:r>
      <w:r w:rsidRPr="004A5029">
        <w:rPr>
          <w:rFonts w:ascii="Times New Roman" w:eastAsia="Times New Roman" w:hAnsi="Times New Roman" w:cs="Times New Roman"/>
          <w:b/>
          <w:color w:val="000000" w:themeColor="text1"/>
          <w:lang w:eastAsia="fr-FR"/>
        </w:rPr>
        <w:t xml:space="preserve">48 </w:t>
      </w:r>
      <w:r w:rsidR="00C3023A" w:rsidRPr="004A5029">
        <w:rPr>
          <w:rFonts w:ascii="Times New Roman" w:eastAsia="Times New Roman" w:hAnsi="Times New Roman" w:cs="Times New Roman"/>
          <w:b/>
          <w:color w:val="000000" w:themeColor="text1"/>
          <w:lang w:eastAsia="fr-FR"/>
        </w:rPr>
        <w:t>quarantotto</w:t>
      </w:r>
      <w:r w:rsidR="00C3023A" w:rsidRPr="004A5029">
        <w:rPr>
          <w:rFonts w:ascii="Times New Roman" w:eastAsia="Times New Roman" w:hAnsi="Times New Roman" w:cs="Times New Roman"/>
          <w:bCs/>
          <w:color w:val="000000" w:themeColor="text1"/>
          <w:lang w:eastAsia="fr-FR"/>
        </w:rPr>
        <w:t xml:space="preserve"> </w:t>
      </w:r>
      <w:r w:rsidRPr="004A5029">
        <w:rPr>
          <w:rFonts w:ascii="Times New Roman" w:eastAsia="Times New Roman" w:hAnsi="Times New Roman" w:cs="Times New Roman"/>
          <w:bCs/>
          <w:color w:val="000000" w:themeColor="text1"/>
          <w:lang w:eastAsia="fr-FR"/>
        </w:rPr>
        <w:t>ore dalla conferma della ricezione dell'avviso conformemente all'articolo 84.</w:t>
      </w:r>
    </w:p>
    <w:p w14:paraId="7B433CB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it-IT"/>
        </w:rPr>
        <w:t xml:space="preserve">2. Gli avvisi e i bandi pubblicati a livello nazionale sul sito istituzionale della stazione appaltante e </w:t>
      </w:r>
      <w:bookmarkStart w:id="35" w:name="_Hlk129436277"/>
      <w:r w:rsidRPr="004A5029">
        <w:rPr>
          <w:rFonts w:ascii="Times New Roman" w:eastAsia="Times New Roman" w:hAnsi="Times New Roman" w:cs="Times New Roman"/>
          <w:bCs/>
          <w:color w:val="000000" w:themeColor="text1"/>
          <w:lang w:eastAsia="it-IT"/>
        </w:rPr>
        <w:t xml:space="preserve">sulla Banca dati nazionale dei contratti pubblici </w:t>
      </w:r>
      <w:bookmarkEnd w:id="35"/>
      <w:r w:rsidRPr="004A5029">
        <w:rPr>
          <w:rFonts w:ascii="Times New Roman" w:eastAsia="Times New Roman" w:hAnsi="Times New Roman" w:cs="Times New Roman"/>
          <w:bCs/>
          <w:color w:val="000000" w:themeColor="text1"/>
          <w:lang w:eastAsia="it-IT"/>
        </w:rPr>
        <w:t>dell’ANAC non contengono informazioni diverse da quelle degli avvisi o bandi trasmessi all'Ufficio delle pubblicazioni dell'Unione europea e menzionano la data della trasmissione all'Ufficio delle pubblicazioni dell'Unione europea o della pubblicazione sul sito istituzionale della stazione appaltante.</w:t>
      </w:r>
    </w:p>
    <w:p w14:paraId="187901D7" w14:textId="46906171"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bCs/>
          <w:color w:val="000000" w:themeColor="text1"/>
          <w:lang w:eastAsia="it-IT"/>
        </w:rPr>
        <w:t>3. Gli avvisi di pre-informazione di cui all’articolo 81, comma 1, non sono pubblicati</w:t>
      </w:r>
      <w:r w:rsidR="0026620F" w:rsidRPr="004A5029">
        <w:rPr>
          <w:rFonts w:ascii="Times New Roman" w:eastAsia="Times New Roman" w:hAnsi="Times New Roman" w:cs="Times New Roman"/>
          <w:bCs/>
          <w:color w:val="000000" w:themeColor="text1"/>
          <w:lang w:eastAsia="it-IT"/>
        </w:rPr>
        <w:t xml:space="preserve"> </w:t>
      </w:r>
      <w:r w:rsidRPr="004A5029">
        <w:rPr>
          <w:rFonts w:ascii="Times New Roman" w:eastAsia="Times New Roman" w:hAnsi="Times New Roman" w:cs="Times New Roman"/>
          <w:bCs/>
          <w:color w:val="000000" w:themeColor="text1"/>
          <w:lang w:eastAsia="it-IT"/>
        </w:rPr>
        <w:t>sul sito istituzionale della stazione appaltante prima della trasmissione all'Ufficio delle pubblicazioni dell'Unione europea dell'avviso che ne annuncia la pubblicazione sotto tale forma. Gli avvisi indicano la data di tale trasmissione.</w:t>
      </w:r>
    </w:p>
    <w:p w14:paraId="416631E6" w14:textId="25759481" w:rsidR="00446F27" w:rsidRPr="004A5029" w:rsidRDefault="00446F27" w:rsidP="00446F27">
      <w:pPr>
        <w:jc w:val="both"/>
        <w:rPr>
          <w:rFonts w:ascii="Times New Roman" w:hAnsi="Times New Roman" w:cs="Times New Roman"/>
          <w:strike/>
          <w:color w:val="000000" w:themeColor="text1"/>
        </w:rPr>
      </w:pPr>
      <w:r w:rsidRPr="004A5029">
        <w:rPr>
          <w:rFonts w:ascii="Times New Roman" w:eastAsia="Times New Roman" w:hAnsi="Times New Roman" w:cs="Times New Roman"/>
          <w:color w:val="000000" w:themeColor="text1"/>
          <w:lang w:eastAsia="it-IT"/>
        </w:rPr>
        <w:t xml:space="preserve">4. I bandi, gli avvisi di </w:t>
      </w:r>
      <w:r w:rsidRPr="004A5029">
        <w:rPr>
          <w:rFonts w:ascii="Times New Roman" w:eastAsia="Times New Roman" w:hAnsi="Times New Roman" w:cs="Times New Roman"/>
          <w:bCs/>
          <w:color w:val="000000" w:themeColor="text1"/>
          <w:lang w:eastAsia="it-IT"/>
        </w:rPr>
        <w:t>pre-informazione e quelli relativi agli appalti aggiudicati</w:t>
      </w:r>
      <w:r w:rsidRPr="004A5029">
        <w:rPr>
          <w:rFonts w:ascii="Times New Roman" w:eastAsia="Times New Roman" w:hAnsi="Times New Roman" w:cs="Times New Roman"/>
          <w:color w:val="000000" w:themeColor="text1"/>
          <w:lang w:eastAsia="it-IT"/>
        </w:rPr>
        <w:t xml:space="preserve"> sono </w:t>
      </w:r>
      <w:r w:rsidRPr="004A5029">
        <w:rPr>
          <w:rFonts w:ascii="Times New Roman" w:hAnsi="Times New Roman" w:cs="Times New Roman"/>
          <w:bCs/>
          <w:color w:val="000000" w:themeColor="text1"/>
        </w:rPr>
        <w:t xml:space="preserve">comunicati alla </w:t>
      </w:r>
      <w:r w:rsidRPr="004A5029">
        <w:rPr>
          <w:rFonts w:ascii="Times New Roman" w:eastAsia="Times New Roman" w:hAnsi="Times New Roman" w:cs="Times New Roman"/>
          <w:bCs/>
          <w:color w:val="000000" w:themeColor="text1"/>
          <w:lang w:eastAsia="it-IT"/>
        </w:rPr>
        <w:t>Banca dati nazionale dei contratti pubblici, che li pubblica successivamente al ricevimento della conferma di pubblicazione da parte dell’Ufficio delle pubblicazioni dell'Unione europea o decorso il termine di cui al comma 1. Avvenuta tale pubblicazione</w:t>
      </w:r>
      <w:r w:rsidR="008978C9" w:rsidRPr="004A5029">
        <w:rPr>
          <w:rFonts w:ascii="Times New Roman" w:eastAsia="Times New Roman" w:hAnsi="Times New Roman" w:cs="Times New Roman"/>
          <w:bCs/>
          <w:color w:val="000000" w:themeColor="text1"/>
          <w:lang w:eastAsia="it-IT"/>
        </w:rPr>
        <w:t>,</w:t>
      </w:r>
      <w:r w:rsidRPr="004A5029">
        <w:rPr>
          <w:rFonts w:ascii="Times New Roman" w:eastAsia="Times New Roman" w:hAnsi="Times New Roman" w:cs="Times New Roman"/>
          <w:bCs/>
          <w:color w:val="000000" w:themeColor="text1"/>
          <w:lang w:eastAsia="it-IT"/>
        </w:rPr>
        <w:t xml:space="preserve"> </w:t>
      </w:r>
      <w:r w:rsidRPr="004A5029">
        <w:rPr>
          <w:rFonts w:ascii="Times New Roman" w:hAnsi="Times New Roman" w:cs="Times New Roman"/>
          <w:bCs/>
          <w:color w:val="000000" w:themeColor="text1"/>
        </w:rPr>
        <w:t xml:space="preserve">le stazioni appaltanti </w:t>
      </w:r>
      <w:r w:rsidRPr="004A5029">
        <w:rPr>
          <w:rFonts w:ascii="Times New Roman" w:eastAsia="Times New Roman" w:hAnsi="Times New Roman" w:cs="Times New Roman"/>
          <w:bCs/>
          <w:color w:val="000000" w:themeColor="text1"/>
          <w:lang w:eastAsia="it-IT"/>
        </w:rPr>
        <w:t xml:space="preserve">rendono accessibili i documenti di gara attraverso il collegamento ipertestuale comunicato alla </w:t>
      </w:r>
      <w:r w:rsidRPr="004A5029">
        <w:rPr>
          <w:rFonts w:ascii="Times New Roman" w:hAnsi="Times New Roman" w:cs="Times New Roman"/>
          <w:bCs/>
          <w:color w:val="000000" w:themeColor="text1"/>
        </w:rPr>
        <w:t xml:space="preserve">Banca dati stessa, garantendone l’accesso e la disponibilità fino al completamento della procedura di gara e all’esecuzione del contratto. </w:t>
      </w:r>
      <w:r w:rsidRPr="004A5029">
        <w:rPr>
          <w:rFonts w:ascii="Times New Roman" w:eastAsia="Times New Roman" w:hAnsi="Times New Roman" w:cs="Times New Roman"/>
          <w:bCs/>
          <w:color w:val="000000" w:themeColor="text1"/>
          <w:lang w:eastAsia="fr-FR"/>
        </w:rPr>
        <w:t>Gli effetti giuridici degli atti oggetto di pubblicazione decorrono dalla data di pubblicazione nella Banca dati nazionale dei contratti pubblici.</w:t>
      </w:r>
    </w:p>
    <w:p w14:paraId="510D2E3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Le pubblicazioni sulla banca dati ANAC e sul sito istituzionale della stazione appaltante avvengono senza oneri. La pubblicazione di informazioni ulteriori, complementari o aggiuntive rispetto a quelle indicate nel codice avviene esclusivamente in via digitale sul sito istituzionale della stazione appaltante.</w:t>
      </w:r>
    </w:p>
    <w:p w14:paraId="68F21D90" w14:textId="77777777" w:rsidR="00446F27" w:rsidRPr="004A5029" w:rsidRDefault="00446F27" w:rsidP="00446F27">
      <w:pPr>
        <w:jc w:val="both"/>
        <w:rPr>
          <w:rFonts w:ascii="Times New Roman" w:hAnsi="Times New Roman" w:cs="Times New Roman"/>
          <w:b/>
          <w:bCs/>
          <w:i/>
          <w:color w:val="000000" w:themeColor="text1"/>
        </w:rPr>
      </w:pPr>
    </w:p>
    <w:p w14:paraId="50596A15"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86.</w:t>
      </w:r>
    </w:p>
    <w:p w14:paraId="525690D7"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Avviso volontario per la trasparenza preventiva.</w:t>
      </w:r>
    </w:p>
    <w:p w14:paraId="4C317D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L’avviso volontario per la trasparenza preventiva, il cui formato è stabilito dalla Commissione europea secondo la procedura di consultazione di cui all’articolo 3-</w:t>
      </w:r>
      <w:r w:rsidRPr="004A5029">
        <w:rPr>
          <w:rFonts w:ascii="Times New Roman" w:hAnsi="Times New Roman" w:cs="Times New Roman"/>
          <w:i/>
          <w:color w:val="000000" w:themeColor="text1"/>
        </w:rPr>
        <w:t>ter</w:t>
      </w:r>
      <w:r w:rsidRPr="004A5029">
        <w:rPr>
          <w:rFonts w:ascii="Times New Roman" w:hAnsi="Times New Roman" w:cs="Times New Roman"/>
          <w:color w:val="000000" w:themeColor="text1"/>
        </w:rPr>
        <w:t>, paragrafo 2, della direttiva 89/665/CEE del Consiglio, del 21 dicembre 1989 e di cui all’articolo 3-</w:t>
      </w:r>
      <w:r w:rsidRPr="004A5029">
        <w:rPr>
          <w:rFonts w:ascii="Times New Roman" w:hAnsi="Times New Roman" w:cs="Times New Roman"/>
          <w:i/>
          <w:color w:val="000000" w:themeColor="text1"/>
        </w:rPr>
        <w:t>ter</w:t>
      </w:r>
      <w:r w:rsidRPr="004A5029">
        <w:rPr>
          <w:rFonts w:ascii="Times New Roman" w:hAnsi="Times New Roman" w:cs="Times New Roman"/>
          <w:color w:val="000000" w:themeColor="text1"/>
        </w:rPr>
        <w:t>, paragrafo 2, della direttiva 92/13/CEE del Consiglio, del 25 febbraio 1992, contiene le seguenti informazioni:</w:t>
      </w:r>
    </w:p>
    <w:p w14:paraId="4A07C70C"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 denominazione e recapito della stazione appaltante;</w:t>
      </w:r>
    </w:p>
    <w:p w14:paraId="54DB001D"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b) descrizione dell’oggetto del contratto;</w:t>
      </w:r>
    </w:p>
    <w:p w14:paraId="3ADD8A0B" w14:textId="2C7CCCB1"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motivazione della decisione della stazione appaltante di affidare il contratto senza pubblicazione di un bando di gara nella Gazzetta </w:t>
      </w:r>
      <w:r w:rsidRPr="004A5029">
        <w:rPr>
          <w:rFonts w:ascii="Times New Roman" w:hAnsi="Times New Roman" w:cs="Times New Roman"/>
          <w:b/>
          <w:bCs/>
          <w:strike/>
          <w:color w:val="000000" w:themeColor="text1"/>
        </w:rPr>
        <w:t>U</w:t>
      </w:r>
      <w:r w:rsidR="00165AF7" w:rsidRPr="004A5029">
        <w:rPr>
          <w:rFonts w:ascii="Times New Roman" w:hAnsi="Times New Roman" w:cs="Times New Roman"/>
          <w:b/>
          <w:bCs/>
          <w:color w:val="000000" w:themeColor="text1"/>
        </w:rPr>
        <w:t>u</w:t>
      </w:r>
      <w:r w:rsidRPr="004A5029">
        <w:rPr>
          <w:rFonts w:ascii="Times New Roman" w:hAnsi="Times New Roman" w:cs="Times New Roman"/>
          <w:color w:val="000000" w:themeColor="text1"/>
        </w:rPr>
        <w:t>fficiale dell’Unione europea;</w:t>
      </w:r>
    </w:p>
    <w:p w14:paraId="21058018"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d) denominazione e recapito dell’operatore economico a favore del quale è avvenuta l’aggiudicazione;</w:t>
      </w:r>
    </w:p>
    <w:p w14:paraId="36804CAD" w14:textId="77777777" w:rsidR="00446F27" w:rsidRPr="004A5029" w:rsidRDefault="00446F27" w:rsidP="00446F27">
      <w:pPr>
        <w:pStyle w:val="Paragrafoelenco"/>
        <w:ind w:left="0"/>
        <w:contextualSpacing w:val="0"/>
        <w:jc w:val="both"/>
        <w:rPr>
          <w:rFonts w:ascii="Times New Roman" w:hAnsi="Times New Roman" w:cs="Times New Roman"/>
          <w:color w:val="000000" w:themeColor="text1"/>
        </w:rPr>
      </w:pPr>
      <w:r w:rsidRPr="004A5029">
        <w:rPr>
          <w:rFonts w:ascii="Times New Roman" w:hAnsi="Times New Roman" w:cs="Times New Roman"/>
          <w:color w:val="000000" w:themeColor="text1"/>
        </w:rPr>
        <w:t>e) se del caso, qualunque altra informazione ritenuta utile dalla stazione appaltante.</w:t>
      </w:r>
    </w:p>
    <w:p w14:paraId="13C326F3" w14:textId="77777777" w:rsidR="00446F27" w:rsidRPr="004A5029" w:rsidRDefault="00446F27" w:rsidP="00446F27">
      <w:pPr>
        <w:rPr>
          <w:rFonts w:ascii="Times New Roman" w:hAnsi="Times New Roman" w:cs="Times New Roman"/>
          <w:color w:val="000000" w:themeColor="text1"/>
        </w:rPr>
      </w:pPr>
    </w:p>
    <w:p w14:paraId="752791D9" w14:textId="77777777" w:rsidR="004753B6" w:rsidRPr="004A5029" w:rsidRDefault="004753B6" w:rsidP="00446F27">
      <w:pPr>
        <w:jc w:val="both"/>
        <w:rPr>
          <w:rFonts w:ascii="Times New Roman" w:hAnsi="Times New Roman" w:cs="Times New Roman"/>
          <w:b/>
          <w:bCs/>
          <w:color w:val="000000" w:themeColor="text1"/>
        </w:rPr>
      </w:pPr>
    </w:p>
    <w:p w14:paraId="5A99D63C" w14:textId="40B18427"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87.</w:t>
      </w:r>
    </w:p>
    <w:p w14:paraId="7E7C7EF3"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i/>
          <w:iCs/>
          <w:color w:val="000000" w:themeColor="text1"/>
        </w:rPr>
        <w:t xml:space="preserve">Disciplinare di gara e capitolato speciale. </w:t>
      </w:r>
    </w:p>
    <w:p w14:paraId="0AE548F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Il disciplinare di gara fissa le regole per lo svolgimento del procedimento di selezione delle offerte.</w:t>
      </w:r>
    </w:p>
    <w:p w14:paraId="2F45F29F"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Il capitolato speciale definisce i contenuti del futuro rapporto contrattuale tra l’aggiudicatario e la stazione appaltante.</w:t>
      </w:r>
    </w:p>
    <w:p w14:paraId="2DF904D0" w14:textId="6D0FC435"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Il disciplinare di gara e il capitolato speciale indicano, per gli aspetti di rispettiva competenza, le specifiche tecniche, le etichettature, i rapporti di prova, le certificazioni e altri mezzi di prova, nonché il costo del ciclo di vita secondo quanto stabilito all’allegato II.8.</w:t>
      </w:r>
    </w:p>
    <w:p w14:paraId="50125231" w14:textId="77777777" w:rsidR="00446F27" w:rsidRPr="004A5029" w:rsidRDefault="00446F27" w:rsidP="00446F27">
      <w:pPr>
        <w:shd w:val="clear" w:color="auto" w:fill="FFFFFF"/>
        <w:jc w:val="both"/>
        <w:rPr>
          <w:rFonts w:ascii="Times New Roman" w:hAnsi="Times New Roman" w:cs="Times New Roman"/>
          <w:bCs/>
          <w:color w:val="000000" w:themeColor="text1"/>
        </w:rPr>
      </w:pPr>
    </w:p>
    <w:p w14:paraId="3E8CA669" w14:textId="77777777" w:rsidR="00446F27" w:rsidRPr="004A5029" w:rsidRDefault="00446F27" w:rsidP="00446F27">
      <w:pPr>
        <w:shd w:val="clear" w:color="auto" w:fill="FFFFFF"/>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88.</w:t>
      </w:r>
    </w:p>
    <w:p w14:paraId="7B313BBB" w14:textId="77777777" w:rsidR="00446F27" w:rsidRPr="004A5029" w:rsidRDefault="00446F27" w:rsidP="00446F27">
      <w:pPr>
        <w:shd w:val="clear" w:color="auto" w:fill="FFFFFF"/>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Disponibilità digitale dei documenti di gara.</w:t>
      </w:r>
    </w:p>
    <w:p w14:paraId="36AF5C6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A decorrere dalla data di pubblicazione di un avviso o da quella di invio di un invito a confermare l’interesse, i documenti di gara sono resi disponibili in forma digitale, in modo gratuito, illimitato e diretto. L'avviso e l'invito a confermare l’interesse indicano il collegamento ipertestuale presso il quale i documenti di gara sono accessibili.</w:t>
      </w:r>
    </w:p>
    <w:p w14:paraId="1070C1F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Nei casi di impossibilità di utilizzare mezzi di comunicazione elettronica previsti dal codice l'avviso o l'invito a confermare l’interesse ne danno conto e indicano le modalità con cui i documenti sono trasmessi. In questi casi il termine per la presentazione delle offerte è prorogato di non oltre cinque giorni.</w:t>
      </w:r>
    </w:p>
    <w:p w14:paraId="0E3EB22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3. Le ulteriori informazioni </w:t>
      </w:r>
      <w:r w:rsidRPr="004A5029">
        <w:rPr>
          <w:rFonts w:ascii="Times New Roman" w:hAnsi="Times New Roman" w:cs="Times New Roman"/>
          <w:bCs/>
          <w:color w:val="000000" w:themeColor="text1"/>
        </w:rPr>
        <w:t>richieste sui documenti di gara</w:t>
      </w:r>
      <w:r w:rsidRPr="004A5029">
        <w:rPr>
          <w:rFonts w:ascii="Times New Roman" w:hAnsi="Times New Roman" w:cs="Times New Roman"/>
          <w:color w:val="000000" w:themeColor="text1"/>
        </w:rPr>
        <w:t xml:space="preserve"> sono comunicate a tutti gli offerenti oppure</w:t>
      </w:r>
      <w:r w:rsidRPr="004A5029">
        <w:rPr>
          <w:rFonts w:ascii="Times New Roman" w:hAnsi="Times New Roman" w:cs="Times New Roman"/>
          <w:bCs/>
          <w:color w:val="000000" w:themeColor="text1"/>
        </w:rPr>
        <w:t xml:space="preserve"> rese disponibili sulla piattaforma di approvvigionamento digitale</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e sul sito istituzionale</w:t>
      </w:r>
      <w:r w:rsidRPr="004A5029">
        <w:rPr>
          <w:rFonts w:ascii="Times New Roman" w:hAnsi="Times New Roman" w:cs="Times New Roman"/>
          <w:color w:val="000000" w:themeColor="text1"/>
        </w:rPr>
        <w:t xml:space="preserve"> almeno sei giorni prima della scadenza del termine stabilito per la ricezione delle offerte </w:t>
      </w:r>
      <w:r w:rsidRPr="004A5029">
        <w:rPr>
          <w:rFonts w:ascii="Times New Roman" w:hAnsi="Times New Roman" w:cs="Times New Roman"/>
          <w:bCs/>
          <w:color w:val="000000" w:themeColor="text1"/>
        </w:rPr>
        <w:t xml:space="preserve">e almeno quattro giorni prima quando il termine per la ricezione delle offerte è ridotto. </w:t>
      </w:r>
    </w:p>
    <w:p w14:paraId="5A25747A" w14:textId="77777777" w:rsidR="00446F27" w:rsidRPr="004A5029" w:rsidRDefault="00446F27" w:rsidP="00446F27">
      <w:pPr>
        <w:jc w:val="both"/>
        <w:rPr>
          <w:rFonts w:ascii="Times New Roman" w:hAnsi="Times New Roman" w:cs="Times New Roman"/>
          <w:b/>
          <w:bCs/>
          <w:i/>
          <w:color w:val="000000" w:themeColor="text1"/>
        </w:rPr>
      </w:pPr>
    </w:p>
    <w:p w14:paraId="43FDBD5C"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89.</w:t>
      </w:r>
    </w:p>
    <w:p w14:paraId="70B8AE65"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Inviti ai candidati.</w:t>
      </w:r>
    </w:p>
    <w:p w14:paraId="01E4E0FA" w14:textId="7DFB35F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Nelle procedure ristrette, nel dialogo competitivo, nei partenariati per l'innovazione, nelle procedure competitive con negoziazione</w:t>
      </w:r>
      <w:r w:rsidR="001101FD"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le stazioni appaltanti invitano simultaneamente e per iscritto</w:t>
      </w:r>
      <w:r w:rsidRPr="004A5029">
        <w:rPr>
          <w:rFonts w:ascii="Times New Roman" w:hAnsi="Times New Roman" w:cs="Times New Roman"/>
          <w:bCs/>
          <w:color w:val="000000" w:themeColor="text1"/>
        </w:rPr>
        <w:t>, attraverso le piattaforme di approvvigionamento digitale,</w:t>
      </w:r>
      <w:r w:rsidRPr="004A5029">
        <w:rPr>
          <w:rFonts w:ascii="Times New Roman" w:hAnsi="Times New Roman" w:cs="Times New Roman"/>
          <w:color w:val="000000" w:themeColor="text1"/>
        </w:rPr>
        <w:t xml:space="preserve"> i candidati selezionati a presentare le rispettive offerte o a negoziare o, nel caso di dialogo competitivo, a partecipare al dialogo. Nel caso di indizione di gara tramite un avviso di pre-informazione, le stazioni appaltanti invitano con le stesse modalità gli operatori economici che già hanno espresso interesse a confermare nuovamente il loro interesse.</w:t>
      </w:r>
    </w:p>
    <w:p w14:paraId="39D2477B" w14:textId="04AA593B"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hAnsi="Times New Roman" w:cs="Times New Roman"/>
          <w:color w:val="000000" w:themeColor="text1"/>
        </w:rPr>
        <w:t xml:space="preserve">2. Gli inviti menzionano </w:t>
      </w:r>
      <w:r w:rsidRPr="004A5029">
        <w:rPr>
          <w:rFonts w:ascii="Times New Roman" w:hAnsi="Times New Roman" w:cs="Times New Roman"/>
          <w:bCs/>
          <w:color w:val="000000" w:themeColor="text1"/>
        </w:rPr>
        <w:t>il collegamento ipertestuale</w:t>
      </w:r>
      <w:r w:rsidRPr="004A5029">
        <w:rPr>
          <w:rFonts w:ascii="Times New Roman" w:hAnsi="Times New Roman" w:cs="Times New Roman"/>
          <w:color w:val="000000" w:themeColor="text1"/>
        </w:rPr>
        <w:t xml:space="preserve"> al quale sono stati resi direttamente disponibili per via elettronica i documenti di gara e comprendono le informazioni indicate nell'</w:t>
      </w:r>
      <w:hyperlink r:id="rId17" w:anchor="Allegato_XV">
        <w:r w:rsidRPr="004A5029">
          <w:rPr>
            <w:rFonts w:ascii="Times New Roman" w:hAnsi="Times New Roman" w:cs="Times New Roman"/>
            <w:color w:val="000000" w:themeColor="text1"/>
          </w:rPr>
          <w:t xml:space="preserve">allegato </w:t>
        </w:r>
      </w:hyperlink>
      <w:r w:rsidRPr="004A5029">
        <w:rPr>
          <w:rFonts w:ascii="Times New Roman" w:hAnsi="Times New Roman" w:cs="Times New Roman"/>
          <w:color w:val="000000" w:themeColor="text1"/>
        </w:rPr>
        <w:t xml:space="preserve">II.9. Gli inviti sono corredati dei documenti di gara se non sono stati resi disponibili ai sensi dell’articolo 88. </w:t>
      </w:r>
      <w:r w:rsidRPr="004A5029">
        <w:rPr>
          <w:rFonts w:ascii="Times New Roman" w:eastAsia="Calibri" w:hAnsi="Times New Roman" w:cs="Times New Roman"/>
          <w:bCs/>
          <w:color w:val="000000" w:themeColor="text1"/>
        </w:rPr>
        <w:t xml:space="preserve">In sede di prima applicazione del codice, l’allegato </w:t>
      </w:r>
      <w:r w:rsidR="008525B3" w:rsidRPr="004A5029">
        <w:rPr>
          <w:rFonts w:ascii="Times New Roman" w:eastAsia="Calibri" w:hAnsi="Times New Roman" w:cs="Times New Roman"/>
          <w:bCs/>
          <w:color w:val="000000" w:themeColor="text1"/>
        </w:rPr>
        <w:t xml:space="preserve">II.9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w:t>
      </w:r>
      <w:r w:rsidR="00F6070C" w:rsidRPr="004A5029">
        <w:rPr>
          <w:rFonts w:ascii="Times New Roman" w:eastAsia="Calibri" w:hAnsi="Times New Roman" w:cs="Times New Roman"/>
          <w:color w:val="000000" w:themeColor="text1"/>
        </w:rPr>
        <w:t>3</w:t>
      </w:r>
      <w:r w:rsidRPr="004A5029">
        <w:rPr>
          <w:rFonts w:ascii="Times New Roman" w:eastAsia="Calibri" w:hAnsi="Times New Roman" w:cs="Times New Roman"/>
          <w:color w:val="000000" w:themeColor="text1"/>
        </w:rPr>
        <w:t xml:space="preserve">, della legge 23 agosto 1988, n. 400, con decreto </w:t>
      </w:r>
      <w:r w:rsidR="00F6070C" w:rsidRPr="004A5029">
        <w:rPr>
          <w:rFonts w:ascii="Times New Roman" w:hAnsi="Times New Roman" w:cs="Times New Roman"/>
          <w:color w:val="000000" w:themeColor="text1"/>
        </w:rPr>
        <w:t>del Ministro delle infrastrutture e dei trasporti</w:t>
      </w:r>
      <w:r w:rsidR="00D5440E" w:rsidRPr="004A5029">
        <w:rPr>
          <w:rFonts w:ascii="Times New Roman" w:hAnsi="Times New Roman" w:cs="Times New Roman"/>
          <w:color w:val="000000" w:themeColor="text1"/>
        </w:rPr>
        <w:t xml:space="preserve">, </w:t>
      </w:r>
      <w:r w:rsidRPr="004A5029">
        <w:rPr>
          <w:rFonts w:ascii="Times New Roman" w:eastAsia="Calibri" w:hAnsi="Times New Roman" w:cs="Times New Roman"/>
          <w:color w:val="000000" w:themeColor="text1"/>
        </w:rPr>
        <w:t>che lo sostituisce integralmente anche in qualità di allegato al codice</w:t>
      </w:r>
      <w:r w:rsidRPr="004A5029">
        <w:rPr>
          <w:rFonts w:ascii="Times New Roman" w:hAnsi="Times New Roman" w:cs="Times New Roman"/>
          <w:color w:val="000000" w:themeColor="text1"/>
        </w:rPr>
        <w:t>.</w:t>
      </w:r>
    </w:p>
    <w:p w14:paraId="09B8D95D" w14:textId="77777777" w:rsidR="00446F27" w:rsidRPr="004A5029" w:rsidRDefault="00446F27" w:rsidP="00446F27">
      <w:pPr>
        <w:jc w:val="both"/>
        <w:rPr>
          <w:rFonts w:ascii="Times New Roman" w:hAnsi="Times New Roman" w:cs="Times New Roman"/>
          <w:bCs/>
          <w:color w:val="000000" w:themeColor="text1"/>
        </w:rPr>
      </w:pPr>
    </w:p>
    <w:p w14:paraId="66352438" w14:textId="77777777" w:rsidR="002D5C70" w:rsidRPr="004A5029" w:rsidRDefault="002D5C70" w:rsidP="00446F27">
      <w:pPr>
        <w:jc w:val="both"/>
        <w:rPr>
          <w:rFonts w:ascii="Times New Roman" w:hAnsi="Times New Roman" w:cs="Times New Roman"/>
          <w:b/>
          <w:bCs/>
          <w:color w:val="000000" w:themeColor="text1"/>
        </w:rPr>
      </w:pPr>
    </w:p>
    <w:p w14:paraId="7B990A05" w14:textId="6E58F829"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90.</w:t>
      </w:r>
    </w:p>
    <w:p w14:paraId="079F0955"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Informazione ai candidati e agli offerenti.</w:t>
      </w:r>
    </w:p>
    <w:p w14:paraId="2BAE3F4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Nel rispetto delle modalità previste dal codice, le stazioni appaltanti comunicano entro cinque giorni dall’adozione: </w:t>
      </w:r>
    </w:p>
    <w:p w14:paraId="1620660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 motivata decisione di non aggiudicare un appalto ovvero di non concludere un accordo quadro, o di riavviare la procedura o di non attuare un sistema dinamico di acquisizione, corredata di relativi motivi, a tutti i candidati o offerenti;  </w:t>
      </w:r>
    </w:p>
    <w:p w14:paraId="7A2BF21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l’aggiudicazione all'aggiudicatario; </w:t>
      </w:r>
    </w:p>
    <w:p w14:paraId="739C2276" w14:textId="13B5C97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l’aggiudicazione</w:t>
      </w:r>
      <w:r w:rsidRPr="004A5029">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w:t>
      </w:r>
      <w:r w:rsidR="008E01CA" w:rsidRPr="004A5029">
        <w:rPr>
          <w:rFonts w:ascii="Times New Roman" w:hAnsi="Times New Roman" w:cs="Times New Roman"/>
          <w:b/>
          <w:bCs/>
          <w:color w:val="000000" w:themeColor="text1"/>
        </w:rPr>
        <w:t>e</w:t>
      </w:r>
      <w:r w:rsidR="008E01CA"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il nome dell’offerente cui è stato aggiudicato l’appalto o parti dell’accordo quadro</w:t>
      </w:r>
      <w:r w:rsidR="008E01CA"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a tutti i candidati e concorrenti che hanno presentato un'offerta ammessa in gara, a coloro la cui candidatura o offerta non siano state </w:t>
      </w:r>
      <w:r w:rsidR="007158F5" w:rsidRPr="004A5029">
        <w:rPr>
          <w:rFonts w:ascii="Times New Roman" w:hAnsi="Times New Roman" w:cs="Times New Roman"/>
          <w:color w:val="000000" w:themeColor="text1"/>
        </w:rPr>
        <w:t>definitivamente</w:t>
      </w:r>
      <w:r w:rsidRPr="004A5029">
        <w:rPr>
          <w:rFonts w:ascii="Times New Roman" w:hAnsi="Times New Roman" w:cs="Times New Roman"/>
          <w:color w:val="000000" w:themeColor="text1"/>
        </w:rPr>
        <w:t xml:space="preserve"> escluse, nonché a coloro che hanno impugnato il bando o la lettera di invito, se tali impugnazioni non siano state già respinte con pronuncia giurisdizionale definitiva;  </w:t>
      </w:r>
    </w:p>
    <w:p w14:paraId="7388853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l'esclusione ai candidati e agli offerenti esclusi, ivi compresi i motivi di esclusione o della decisione di non equivalenza o conformità dell’offerta; </w:t>
      </w:r>
    </w:p>
    <w:p w14:paraId="684911BA" w14:textId="1AB6105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la data di avvenuta stipulazione del contratto con l'aggiudicatario</w:t>
      </w:r>
      <w:r w:rsidR="008E01CA"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ai soggetti di cui alla lettera c).  </w:t>
      </w:r>
    </w:p>
    <w:p w14:paraId="29B93B6E" w14:textId="162DF0D9" w:rsidR="00446F27" w:rsidRPr="004A5029" w:rsidRDefault="00446F27" w:rsidP="00446F27">
      <w:pPr>
        <w:jc w:val="both"/>
        <w:rPr>
          <w:rFonts w:ascii="Times New Roman" w:eastAsia="Times New Roman" w:hAnsi="Times New Roman" w:cs="Times New Roman"/>
          <w:bCs/>
          <w:color w:val="000000" w:themeColor="text1"/>
          <w:lang w:eastAsia="fr-FR"/>
        </w:rPr>
      </w:pPr>
      <w:r w:rsidRPr="004A5029">
        <w:rPr>
          <w:rFonts w:ascii="Times New Roman" w:eastAsia="Times New Roman" w:hAnsi="Times New Roman" w:cs="Times New Roman"/>
          <w:bCs/>
          <w:color w:val="000000" w:themeColor="text1"/>
          <w:lang w:eastAsia="fr-FR"/>
        </w:rPr>
        <w:t xml:space="preserve">2. Le comunicazioni di cui al comma 1, lettere b) e c), indicano la data di scadenza del termine dilatorio per la stipulazione del contratto, fermo restando quanto stabilito </w:t>
      </w:r>
      <w:r w:rsidR="008525B3" w:rsidRPr="004A5029">
        <w:rPr>
          <w:rFonts w:ascii="Times New Roman" w:eastAsia="Times New Roman" w:hAnsi="Times New Roman" w:cs="Times New Roman"/>
          <w:bCs/>
          <w:color w:val="000000" w:themeColor="text1"/>
          <w:lang w:eastAsia="fr-FR"/>
        </w:rPr>
        <w:t>d</w:t>
      </w:r>
      <w:r w:rsidRPr="004A5029">
        <w:rPr>
          <w:rFonts w:ascii="Times New Roman" w:eastAsia="Times New Roman" w:hAnsi="Times New Roman" w:cs="Times New Roman"/>
          <w:bCs/>
          <w:color w:val="000000" w:themeColor="text1"/>
          <w:lang w:eastAsia="fr-FR"/>
        </w:rPr>
        <w:t>all’articolo 18, comma 1.</w:t>
      </w:r>
    </w:p>
    <w:p w14:paraId="112B85ED" w14:textId="77777777" w:rsidR="00446F27" w:rsidRPr="004A5029" w:rsidRDefault="00446F27" w:rsidP="008E01CA">
      <w:pPr>
        <w:jc w:val="both"/>
        <w:rPr>
          <w:rFonts w:ascii="Times New Roman" w:hAnsi="Times New Roman" w:cs="Times New Roman"/>
          <w:strike/>
          <w:color w:val="000000" w:themeColor="text1"/>
          <w:highlight w:val="yellow"/>
        </w:rPr>
      </w:pPr>
      <w:r w:rsidRPr="004A5029">
        <w:rPr>
          <w:rFonts w:ascii="Times New Roman" w:eastAsia="Times New Roman" w:hAnsi="Times New Roman" w:cs="Times New Roman"/>
          <w:color w:val="000000" w:themeColor="text1"/>
          <w:lang w:eastAsia="fr-FR"/>
        </w:rPr>
        <w:t xml:space="preserve">3. </w:t>
      </w:r>
      <w:r w:rsidRPr="004A5029">
        <w:rPr>
          <w:rFonts w:ascii="Times New Roman" w:eastAsia="Times New Roman" w:hAnsi="Times New Roman" w:cs="Times New Roman"/>
          <w:bCs/>
          <w:color w:val="000000" w:themeColor="text1"/>
          <w:lang w:eastAsia="fr-FR"/>
        </w:rPr>
        <w:t>Fermo quanto disposto dall’articolo 35,</w:t>
      </w:r>
      <w:r w:rsidRPr="004A5029">
        <w:rPr>
          <w:rFonts w:ascii="Times New Roman" w:eastAsia="Times New Roman" w:hAnsi="Times New Roman" w:cs="Times New Roman"/>
          <w:color w:val="000000" w:themeColor="text1"/>
          <w:lang w:eastAsia="fr-FR"/>
        </w:rPr>
        <w:t xml:space="preserve"> le stazioni appaltanti non divulgano le informazioni relative all'aggiudicazione degli appalti, alla conclusione di accordi quadro o all'ammissione ad un sistema dinamico di acquisizione, di cui ai commi 1 e 2, se la loro diffusione ostacola l'applicazione della legge o è contraria all'interesse pubblico, o pregiudica i legittimi interessi commerciali di operatori economici pubblici o privati o dell'operatore economico selezionato, oppure possa recare pregiudizio alla leale concorrenza tra questi.</w:t>
      </w:r>
    </w:p>
    <w:p w14:paraId="78BEFD2A" w14:textId="77777777" w:rsidR="00446F27" w:rsidRPr="004A5029" w:rsidRDefault="00446F27" w:rsidP="00446F27">
      <w:pPr>
        <w:rPr>
          <w:rFonts w:ascii="Times New Roman" w:hAnsi="Times New Roman" w:cs="Times New Roman"/>
          <w:b/>
          <w:bCs/>
          <w:i/>
          <w:iCs/>
          <w:color w:val="000000" w:themeColor="text1"/>
        </w:rPr>
      </w:pPr>
    </w:p>
    <w:p w14:paraId="27A76422" w14:textId="77777777" w:rsidR="00446F27" w:rsidRPr="004A5029" w:rsidRDefault="00446F27" w:rsidP="00446F27">
      <w:pPr>
        <w:rPr>
          <w:rFonts w:ascii="Times New Roman" w:hAnsi="Times New Roman" w:cs="Times New Roman"/>
          <w:b/>
          <w:bCs/>
          <w:i/>
          <w:iCs/>
          <w:color w:val="000000" w:themeColor="text1"/>
        </w:rPr>
      </w:pPr>
    </w:p>
    <w:p w14:paraId="2E6F73DB" w14:textId="3E3058F0" w:rsidR="00B922F7" w:rsidRPr="004A5029" w:rsidRDefault="00B922F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w:t>
      </w:r>
      <w:r w:rsidR="00446F27" w:rsidRPr="004A5029">
        <w:rPr>
          <w:rFonts w:ascii="Times New Roman" w:hAnsi="Times New Roman" w:cs="Times New Roman"/>
          <w:b/>
          <w:color w:val="000000" w:themeColor="text1"/>
        </w:rPr>
        <w:t>III</w:t>
      </w:r>
    </w:p>
    <w:p w14:paraId="27800ECA" w14:textId="5901A04C"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La documentazione dell’offerente e i termini per la presentazione delle domande e delle offerte</w:t>
      </w:r>
    </w:p>
    <w:p w14:paraId="49206A88" w14:textId="77777777" w:rsidR="00446F27" w:rsidRPr="004A5029" w:rsidRDefault="00446F27" w:rsidP="00446F27">
      <w:pPr>
        <w:jc w:val="both"/>
        <w:rPr>
          <w:rFonts w:ascii="Times New Roman" w:hAnsi="Times New Roman" w:cs="Times New Roman"/>
          <w:color w:val="000000" w:themeColor="text1"/>
        </w:rPr>
      </w:pPr>
    </w:p>
    <w:p w14:paraId="0CDA35DA" w14:textId="77777777" w:rsidR="00446F27" w:rsidRPr="004A5029" w:rsidRDefault="00446F27" w:rsidP="00446F27">
      <w:pPr>
        <w:jc w:val="both"/>
        <w:rPr>
          <w:rFonts w:ascii="Times New Roman" w:hAnsi="Times New Roman" w:cs="Times New Roman"/>
          <w:b/>
          <w:i/>
          <w:color w:val="000000" w:themeColor="text1"/>
        </w:rPr>
      </w:pPr>
      <w:r w:rsidRPr="004A5029">
        <w:rPr>
          <w:rFonts w:ascii="Times New Roman" w:hAnsi="Times New Roman" w:cs="Times New Roman"/>
          <w:b/>
          <w:color w:val="000000" w:themeColor="text1"/>
        </w:rPr>
        <w:t>Articolo 91</w:t>
      </w:r>
      <w:r w:rsidRPr="004A5029">
        <w:rPr>
          <w:rFonts w:ascii="Times New Roman" w:hAnsi="Times New Roman" w:cs="Times New Roman"/>
          <w:b/>
          <w:i/>
          <w:color w:val="000000" w:themeColor="text1"/>
        </w:rPr>
        <w:t>.</w:t>
      </w:r>
    </w:p>
    <w:p w14:paraId="1654C340"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Domande, documento di gara unico europeo, offerte.</w:t>
      </w:r>
    </w:p>
    <w:p w14:paraId="6135521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L’operatore economico che intende partecipare ad una procedura per l’aggiudicazione di un appalto utilizza la piattaforma di approvvigionamento digitale messa a disposizione dalla stazione appaltante per compilare i seguenti atti:</w:t>
      </w:r>
    </w:p>
    <w:p w14:paraId="3998B18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 domanda di partecipazione; </w:t>
      </w:r>
    </w:p>
    <w:p w14:paraId="076E847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il documento di gara unico europeo; </w:t>
      </w:r>
    </w:p>
    <w:p w14:paraId="1A766F3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l’offerta; </w:t>
      </w:r>
    </w:p>
    <w:p w14:paraId="1EBC876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ogni altro documento richiesto per la partecipazione alla procedura di gara.</w:t>
      </w:r>
    </w:p>
    <w:p w14:paraId="2A057CB5" w14:textId="2A74908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domanda di partecipazione</w:t>
      </w:r>
      <w:r w:rsidR="00D97357"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contiene gli elementi di identificazione del concorrente e l’indicazione della forma giuridica con la quale si presenta in gara, l’eventuale dichiarazione della volontà di avvalersi di impresa ausiliaria, nonché l’indicazione dei dati e dei documenti relativi ai requisiti speciali di partecipazione di cui agli articoli 100 e 103 contenuti nel fascicolo virtuale dell’operatore economico di cui all’articolo 24. </w:t>
      </w:r>
    </w:p>
    <w:p w14:paraId="0902B3B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Con il documento di gara unico europeo, redatto in forma digitale in conformità al modello di formulario approvato con regolamento della Commissione europea, prodotto secondo il comma 1, l’operatore economico e le imprese ausiliarie dichiarano: </w:t>
      </w:r>
    </w:p>
    <w:p w14:paraId="41C957B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di essere in possesso dei requisiti di ordine generale di cui al Titolo IV, Capo II, della presente Parte; </w:t>
      </w:r>
    </w:p>
    <w:p w14:paraId="593A10C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di essere in possesso dei requisiti di ordine speciale di cui all’articolo 100 e, se richiesto, dei requisiti di cui all’articolo 103. </w:t>
      </w:r>
    </w:p>
    <w:p w14:paraId="552F5A3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Il documento di gara unico europeo contiene tutte le informazioni richieste dalla stazione appaltante e, nel caso di partecipazione alla procedura di gara nella forma giuridica prevista dagli articoli 65 e 66, la dichiarazione circa la ripartizione della prestazione tra i componenti del raggruppamento o tra le imprese consorziate.</w:t>
      </w:r>
    </w:p>
    <w:p w14:paraId="78CC1EE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5. Le offerte tecniche ed economiche, redatte secondo le modalità di cui al comma 1, sono corredate dai documenti prescritti dal bando o dall’invito o dal capitolato di oneri. Nelle offerte l’operatore economico dichiara alla stazione appaltante il prezzo, i costi del personale e quelli aziendali per la sicurezza e le caratteristiche della prestazione, ovvero assume l’impegno ad eseguire la stessa alle condizioni indicate dalla stazione appaltante e dalla disciplina applicabile, nonché fornisce ogni altra informazione richiesta dalla stazione appaltante nei documenti di gara. </w:t>
      </w:r>
    </w:p>
    <w:p w14:paraId="67B7A70C" w14:textId="77777777" w:rsidR="00446F27" w:rsidRPr="004A5029" w:rsidRDefault="00446F27" w:rsidP="00446F27">
      <w:pPr>
        <w:jc w:val="both"/>
        <w:rPr>
          <w:rFonts w:ascii="Times New Roman" w:hAnsi="Times New Roman" w:cs="Times New Roman"/>
          <w:color w:val="000000" w:themeColor="text1"/>
        </w:rPr>
      </w:pPr>
    </w:p>
    <w:p w14:paraId="49BC689A" w14:textId="77777777" w:rsidR="00446F27" w:rsidRPr="004A5029" w:rsidRDefault="00446F27" w:rsidP="00446F27">
      <w:pPr>
        <w:jc w:val="both"/>
        <w:rPr>
          <w:rFonts w:ascii="Times New Roman" w:hAnsi="Times New Roman" w:cs="Times New Roman"/>
          <w:b/>
          <w:i/>
          <w:color w:val="000000" w:themeColor="text1"/>
        </w:rPr>
      </w:pPr>
      <w:r w:rsidRPr="004A5029">
        <w:rPr>
          <w:rFonts w:ascii="Times New Roman" w:hAnsi="Times New Roman" w:cs="Times New Roman"/>
          <w:b/>
          <w:color w:val="000000" w:themeColor="text1"/>
        </w:rPr>
        <w:t>Articolo 92</w:t>
      </w:r>
      <w:r w:rsidRPr="004A5029">
        <w:rPr>
          <w:rFonts w:ascii="Times New Roman" w:hAnsi="Times New Roman" w:cs="Times New Roman"/>
          <w:b/>
          <w:i/>
          <w:color w:val="000000" w:themeColor="text1"/>
        </w:rPr>
        <w:t>.</w:t>
      </w:r>
    </w:p>
    <w:p w14:paraId="39805D7C"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Fissazione dei termini per la presentazione delle domande e delle offerte.</w:t>
      </w:r>
    </w:p>
    <w:p w14:paraId="4A30A18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1. Le stazioni appaltanti, fermi quelli minimi di cui agli articoli 71, 72, 73, 74, 75 e 76, fissano termini per la presentazione delle domande di partecipazione e delle offerte adeguati alla complessità dell’appalto e al tempo necessario alla preparazione delle offerte, tenendo conto del tempo necessario alla visita dei luoghi, ove indispensabile alla formulazione dell’offerta, e di quello per la consultazione sul posto dei documenti di gara e dei relativi allegati.</w:t>
      </w:r>
    </w:p>
    <w:p w14:paraId="0B5F1A7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I termini di cui al comma 1 sono prorogati in misura adeguata e proporzionale: </w:t>
      </w:r>
    </w:p>
    <w:p w14:paraId="17DD2FE0" w14:textId="1428DB1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a) se un operatore economico interessato a partecipare alla procedura di aggiudicazione abbia richiesto in tempo utile informazioni supplementari significative ai fini della preparazione dell’offerta e, per qualsiasi motivo, le abbia ricevute meno di sei giorni prima d</w:t>
      </w:r>
      <w:r w:rsidR="008525B3" w:rsidRPr="004A5029">
        <w:rPr>
          <w:rFonts w:ascii="Times New Roman" w:hAnsi="Times New Roman" w:cs="Times New Roman"/>
          <w:bCs/>
          <w:color w:val="000000" w:themeColor="text1"/>
        </w:rPr>
        <w:t>e</w:t>
      </w:r>
      <w:r w:rsidRPr="004A5029">
        <w:rPr>
          <w:rFonts w:ascii="Times New Roman" w:hAnsi="Times New Roman" w:cs="Times New Roman"/>
          <w:bCs/>
          <w:color w:val="000000" w:themeColor="text1"/>
        </w:rPr>
        <w:t xml:space="preserve">l termine stabilito per la presentazione delle offerte, o, in caso di procedura accelerata ai sensi degli articoli 71, comma 3, e 72, comma 6, meno di quattro giorni prima; </w:t>
      </w:r>
    </w:p>
    <w:p w14:paraId="0F4604C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b) se sono apportate modifiche significative ai documenti di gara; </w:t>
      </w:r>
    </w:p>
    <w:p w14:paraId="776FC37D" w14:textId="24D0680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c) nei casi di cui all’articolo 25</w:t>
      </w:r>
      <w:r w:rsidR="008E01CA" w:rsidRPr="004A5029">
        <w:rPr>
          <w:rFonts w:ascii="Times New Roman" w:hAnsi="Times New Roman" w:cs="Times New Roman"/>
          <w:b/>
          <w:color w:val="000000" w:themeColor="text1"/>
        </w:rPr>
        <w:t>, comma 2, terzo periodo</w:t>
      </w:r>
      <w:r w:rsidRPr="004A5029">
        <w:rPr>
          <w:rFonts w:ascii="Times New Roman" w:hAnsi="Times New Roman" w:cs="Times New Roman"/>
          <w:b/>
          <w:color w:val="000000" w:themeColor="text1"/>
        </w:rPr>
        <w:t>.</w:t>
      </w:r>
    </w:p>
    <w:p w14:paraId="6916BED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In caso di proroga dei termini di presentazione delle offerte è consentito agli operatori economici che hanno già presentato l’offerta di ritirarla ed eventualmente sostituirla.</w:t>
      </w:r>
    </w:p>
    <w:p w14:paraId="609EE33E" w14:textId="54DB0AF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4. Se nel corso della procedura di aggiudicazione la stazione appaltante richiede a un operatore economico un adempimento per il quale non è previsto un termine, </w:t>
      </w:r>
      <w:r w:rsidRPr="004A5029">
        <w:rPr>
          <w:rFonts w:ascii="Times New Roman" w:hAnsi="Times New Roman" w:cs="Times New Roman"/>
          <w:b/>
          <w:strike/>
          <w:color w:val="000000" w:themeColor="text1"/>
        </w:rPr>
        <w:t>esso</w:t>
      </w:r>
      <w:r w:rsidRPr="004A5029">
        <w:rPr>
          <w:rFonts w:ascii="Times New Roman" w:hAnsi="Times New Roman" w:cs="Times New Roman"/>
          <w:b/>
          <w:color w:val="000000" w:themeColor="text1"/>
        </w:rPr>
        <w:t xml:space="preserve"> </w:t>
      </w:r>
      <w:r w:rsidR="00325EDE" w:rsidRPr="004A5029">
        <w:rPr>
          <w:rFonts w:ascii="Times New Roman" w:hAnsi="Times New Roman" w:cs="Times New Roman"/>
          <w:b/>
          <w:color w:val="000000" w:themeColor="text1"/>
        </w:rPr>
        <w:t>tale termine</w:t>
      </w:r>
      <w:r w:rsidR="00325EDE"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è di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EF254E" w:rsidRPr="004A5029">
        <w:rPr>
          <w:rFonts w:ascii="Times New Roman" w:hAnsi="Times New Roman" w:cs="Times New Roman"/>
          <w:b/>
          <w:color w:val="000000" w:themeColor="text1"/>
        </w:rPr>
        <w:t xml:space="preserve">dieci </w:t>
      </w:r>
      <w:r w:rsidRPr="004A5029">
        <w:rPr>
          <w:rFonts w:ascii="Times New Roman" w:hAnsi="Times New Roman" w:cs="Times New Roman"/>
          <w:bCs/>
          <w:color w:val="000000" w:themeColor="text1"/>
        </w:rPr>
        <w:t>giorni, salvo che sia diversamente disposto dalla stessa stazione appaltante.</w:t>
      </w:r>
    </w:p>
    <w:p w14:paraId="71887C79" w14:textId="77777777" w:rsidR="00446F27" w:rsidRPr="004A5029" w:rsidRDefault="00446F27" w:rsidP="00446F27">
      <w:pPr>
        <w:jc w:val="both"/>
        <w:rPr>
          <w:rFonts w:ascii="Times New Roman" w:hAnsi="Times New Roman" w:cs="Times New Roman"/>
          <w:b/>
          <w:color w:val="000000" w:themeColor="text1"/>
        </w:rPr>
      </w:pPr>
    </w:p>
    <w:p w14:paraId="72608415" w14:textId="77777777" w:rsidR="005E4A96" w:rsidRPr="004A5029" w:rsidRDefault="005E4A96" w:rsidP="00446F27">
      <w:pPr>
        <w:jc w:val="center"/>
        <w:rPr>
          <w:rFonts w:ascii="Times New Roman" w:hAnsi="Times New Roman" w:cs="Times New Roman"/>
          <w:b/>
          <w:color w:val="000000" w:themeColor="text1"/>
        </w:rPr>
      </w:pPr>
    </w:p>
    <w:p w14:paraId="4699D3FB" w14:textId="716CB4C9" w:rsidR="00B922F7" w:rsidRPr="004A5029" w:rsidRDefault="00B922F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w:t>
      </w:r>
      <w:r w:rsidR="00446F27" w:rsidRPr="004A5029">
        <w:rPr>
          <w:rFonts w:ascii="Times New Roman" w:hAnsi="Times New Roman" w:cs="Times New Roman"/>
          <w:b/>
          <w:color w:val="000000" w:themeColor="text1"/>
        </w:rPr>
        <w:t xml:space="preserve">IV </w:t>
      </w:r>
    </w:p>
    <w:p w14:paraId="6397E569" w14:textId="2F2F59EE"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I requisiti di partecipazione e la selezione dei partecipanti</w:t>
      </w:r>
    </w:p>
    <w:p w14:paraId="65F9A517" w14:textId="77777777" w:rsidR="00B922F7" w:rsidRPr="004A5029" w:rsidRDefault="00B922F7" w:rsidP="00446F27">
      <w:pPr>
        <w:shd w:val="clear" w:color="auto" w:fill="FFFFFF"/>
        <w:jc w:val="center"/>
        <w:rPr>
          <w:rFonts w:ascii="Times New Roman" w:eastAsia="Times New Roman" w:hAnsi="Times New Roman" w:cs="Times New Roman"/>
          <w:b/>
          <w:color w:val="000000" w:themeColor="text1"/>
          <w:lang w:eastAsia="it-IT"/>
        </w:rPr>
      </w:pPr>
    </w:p>
    <w:p w14:paraId="2FA785CD" w14:textId="77777777" w:rsidR="00B922F7" w:rsidRPr="004A5029" w:rsidRDefault="00446F27" w:rsidP="00446F27">
      <w:pPr>
        <w:shd w:val="clear" w:color="auto" w:fill="FFFFFF"/>
        <w:jc w:val="center"/>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color w:val="000000" w:themeColor="text1"/>
          <w:lang w:eastAsia="it-IT"/>
        </w:rPr>
        <w:t xml:space="preserve">Capo I </w:t>
      </w:r>
    </w:p>
    <w:p w14:paraId="11CC9412" w14:textId="60581EEE" w:rsidR="00446F27" w:rsidRPr="004A5029" w:rsidRDefault="00446F27" w:rsidP="00446F27">
      <w:pPr>
        <w:shd w:val="clear" w:color="auto" w:fill="FFFFFF"/>
        <w:jc w:val="center"/>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color w:val="000000" w:themeColor="text1"/>
          <w:lang w:eastAsia="it-IT"/>
        </w:rPr>
        <w:t>La commissione giudicatrice</w:t>
      </w:r>
    </w:p>
    <w:p w14:paraId="3B7FD67C" w14:textId="77777777" w:rsidR="00446F27" w:rsidRPr="004A5029" w:rsidRDefault="00446F27" w:rsidP="00446F27">
      <w:pPr>
        <w:jc w:val="both"/>
        <w:rPr>
          <w:rFonts w:ascii="Times New Roman" w:hAnsi="Times New Roman" w:cs="Times New Roman"/>
          <w:color w:val="000000" w:themeColor="text1"/>
        </w:rPr>
      </w:pPr>
    </w:p>
    <w:p w14:paraId="0DFAD994" w14:textId="77777777" w:rsidR="00446F27" w:rsidRPr="004A5029" w:rsidDel="00C45749" w:rsidRDefault="00446F27" w:rsidP="00446F27">
      <w:pPr>
        <w:jc w:val="both"/>
        <w:rPr>
          <w:rFonts w:ascii="Times New Roman" w:hAnsi="Times New Roman" w:cs="Times New Roman"/>
          <w:i/>
          <w:color w:val="000000" w:themeColor="text1"/>
        </w:rPr>
      </w:pPr>
      <w:r w:rsidRPr="004A5029">
        <w:rPr>
          <w:rFonts w:ascii="Times New Roman" w:hAnsi="Times New Roman" w:cs="Times New Roman"/>
          <w:b/>
          <w:color w:val="000000" w:themeColor="text1"/>
        </w:rPr>
        <w:t>Articolo 93</w:t>
      </w:r>
      <w:r w:rsidRPr="004A5029">
        <w:rPr>
          <w:rFonts w:ascii="Times New Roman" w:hAnsi="Times New Roman" w:cs="Times New Roman"/>
          <w:b/>
          <w:i/>
          <w:color w:val="000000" w:themeColor="text1"/>
        </w:rPr>
        <w:t>.</w:t>
      </w:r>
    </w:p>
    <w:p w14:paraId="52E7D232"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Commissione giudicatrice.</w:t>
      </w:r>
    </w:p>
    <w:p w14:paraId="3C1DCD60"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color w:val="000000" w:themeColor="text1"/>
        </w:rPr>
        <w:t>1. Ai fini della selezione della migliore offerta nelle procedure di aggiudicazione di contratti di appalti con il criterio dell’offerta economicamente più vantaggiosa, dopo la scadenza del termine per la presentazione delle offerte, è nominata una commissione giudicatrice, che, su richiesta del RUP, svolge anche attività di supporto per la verifica dell’anomalia.</w:t>
      </w:r>
    </w:p>
    <w:p w14:paraId="0707B48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commissione è composta da un numero dispari di componenti, in numero massimo di cinque, esperti nello specifico settore cui si riferisce l’oggetto del contratto.</w:t>
      </w:r>
      <w:r w:rsidRPr="004A5029">
        <w:rPr>
          <w:rFonts w:ascii="Times New Roman" w:eastAsia="Times New Roman" w:hAnsi="Times New Roman" w:cs="Times New Roman"/>
          <w:color w:val="000000" w:themeColor="text1"/>
        </w:rPr>
        <w:t xml:space="preserve"> Possono essere nominati componenti supplenti.</w:t>
      </w:r>
    </w:p>
    <w:p w14:paraId="4D8B47F7" w14:textId="659FBEC1"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La commissione è presieduta </w:t>
      </w:r>
      <w:r w:rsidRPr="004A5029">
        <w:rPr>
          <w:rFonts w:ascii="Times New Roman" w:hAnsi="Times New Roman" w:cs="Times New Roman"/>
          <w:b/>
          <w:strike/>
          <w:color w:val="000000" w:themeColor="text1"/>
        </w:rPr>
        <w:t>da un dipendente</w:t>
      </w:r>
      <w:r w:rsidRPr="004A5029">
        <w:rPr>
          <w:rFonts w:ascii="Times New Roman" w:hAnsi="Times New Roman" w:cs="Times New Roman"/>
          <w:bCs/>
          <w:color w:val="000000" w:themeColor="text1"/>
        </w:rPr>
        <w:t xml:space="preserve"> </w:t>
      </w:r>
      <w:r w:rsidR="005D6931" w:rsidRPr="004A5029">
        <w:rPr>
          <w:rFonts w:ascii="Times New Roman" w:hAnsi="Times New Roman" w:cs="Times New Roman"/>
          <w:b/>
          <w:color w:val="000000" w:themeColor="text1"/>
        </w:rPr>
        <w:t>e composta da dipendenti</w:t>
      </w:r>
      <w:r w:rsidR="005D6931"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della stazione appaltante </w:t>
      </w:r>
      <w:r w:rsidR="005D6931" w:rsidRPr="004A5029">
        <w:rPr>
          <w:rFonts w:ascii="Times New Roman" w:hAnsi="Times New Roman" w:cs="Times New Roman"/>
          <w:b/>
          <w:bCs/>
          <w:color w:val="000000" w:themeColor="text1"/>
        </w:rPr>
        <w:t>o delle amministrazioni beneficiarie dell’intervento</w:t>
      </w:r>
      <w:r w:rsidR="005D6931" w:rsidRPr="004A5029">
        <w:rPr>
          <w:rFonts w:ascii="Times New Roman" w:hAnsi="Times New Roman" w:cs="Times New Roman"/>
          <w:bCs/>
          <w:color w:val="000000" w:themeColor="text1"/>
        </w:rPr>
        <w:t xml:space="preserve"> </w:t>
      </w:r>
      <w:r w:rsidRPr="004A5029">
        <w:rPr>
          <w:rFonts w:ascii="Times New Roman" w:hAnsi="Times New Roman" w:cs="Times New Roman"/>
          <w:b/>
          <w:strike/>
          <w:color w:val="000000" w:themeColor="text1"/>
        </w:rPr>
        <w:t>ed è composta da suoi funzionari</w:t>
      </w:r>
      <w:r w:rsidRPr="004A5029">
        <w:rPr>
          <w:rFonts w:ascii="Times New Roman" w:hAnsi="Times New Roman" w:cs="Times New Roman"/>
          <w:bCs/>
          <w:color w:val="000000" w:themeColor="text1"/>
        </w:rPr>
        <w:t>, in possesso del necessario inquadramento giuridico e di adeguate competenze professionali. Della commissione giudicatrice può far parte il RUP. In mancanza di adeguate professionalità in organico, la stazione appaltante può scegliere il Presidente e i singoli componenti della commissione anche tra funzionari di altre amministrazioni e, in caso di documentata indisponibilità, tra professionisti esterni. Le nomine di cui al presente comma sono compiute secondo criteri di trasparenza, competenza e rotazione.</w:t>
      </w:r>
    </w:p>
    <w:p w14:paraId="77376F3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La commissione può riunirsi con modalità telematiche che salvaguardino la riservatezza delle comunicazioni. La commissione opera attraverso la piattaforma di approvvigionamento digitale per la valutazione della documentazione di gara e delle offerte dei partecipanti.</w:t>
      </w:r>
    </w:p>
    <w:p w14:paraId="155D093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Non possono essere nominati commissari:</w:t>
      </w:r>
    </w:p>
    <w:p w14:paraId="49B38C8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coloro che nel biennio precedente all’indizione della procedura di aggiudicazione sono stati componenti di organi di indirizzo politico della stazione appaltante; </w:t>
      </w:r>
    </w:p>
    <w:p w14:paraId="27DA3A5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coloro che sono stati condannati, anche con sentenza non passata in giudicato, per i reati previsti nel Capo I del Titolo II del Libro II del codice penale;</w:t>
      </w:r>
    </w:p>
    <w:p w14:paraId="5A61C43E" w14:textId="0214BFA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coloro che si trovano in una situazione di conflitto di interessi con uno degli operatori economici partecipanti alla procedura; </w:t>
      </w:r>
      <w:r w:rsidRPr="004A5029">
        <w:rPr>
          <w:rFonts w:ascii="Times New Roman" w:eastAsia="Garamond" w:hAnsi="Times New Roman" w:cs="Times New Roman"/>
          <w:color w:val="000000" w:themeColor="text1"/>
        </w:rPr>
        <w:t xml:space="preserve">costituiscono situazioni di conflitto di interessi quelle che determinano l'obbligo di astensione previste dall'articolo 7 del </w:t>
      </w:r>
      <w:r w:rsidR="00035CA1" w:rsidRPr="004A5029">
        <w:rPr>
          <w:rFonts w:ascii="Times New Roman" w:eastAsia="Garamond" w:hAnsi="Times New Roman" w:cs="Times New Roman"/>
          <w:b/>
          <w:bCs/>
          <w:color w:val="000000" w:themeColor="text1"/>
        </w:rPr>
        <w:t xml:space="preserve">regolamento recante </w:t>
      </w:r>
      <w:r w:rsidR="009314DA" w:rsidRPr="004A5029">
        <w:rPr>
          <w:rFonts w:ascii="Times New Roman" w:eastAsia="Garamond" w:hAnsi="Times New Roman" w:cs="Times New Roman"/>
          <w:b/>
          <w:bCs/>
          <w:color w:val="000000" w:themeColor="text1"/>
        </w:rPr>
        <w:t xml:space="preserve">il </w:t>
      </w:r>
      <w:r w:rsidR="00035CA1" w:rsidRPr="004A5029">
        <w:rPr>
          <w:rFonts w:ascii="Times New Roman" w:eastAsia="Garamond" w:hAnsi="Times New Roman" w:cs="Times New Roman"/>
          <w:b/>
          <w:bCs/>
          <w:color w:val="000000" w:themeColor="text1"/>
        </w:rPr>
        <w:t>codice di comportamento dei dipendenti pubblici</w:t>
      </w:r>
      <w:r w:rsidR="00D23640" w:rsidRPr="004A5029">
        <w:rPr>
          <w:rFonts w:ascii="Times New Roman" w:hAnsi="Times New Roman" w:cs="Times New Roman"/>
          <w:b/>
          <w:bCs/>
          <w:color w:val="000000" w:themeColor="text1"/>
        </w:rPr>
        <w:t>,</w:t>
      </w:r>
      <w:r w:rsidR="00035CA1" w:rsidRPr="004A5029">
        <w:rPr>
          <w:rFonts w:ascii="Times New Roman" w:eastAsia="Garamond" w:hAnsi="Times New Roman" w:cs="Times New Roman"/>
          <w:color w:val="000000" w:themeColor="text1"/>
        </w:rPr>
        <w:t xml:space="preserve"> di cui al </w:t>
      </w:r>
      <w:r w:rsidRPr="004A5029">
        <w:rPr>
          <w:rFonts w:ascii="Times New Roman" w:eastAsia="Garamond" w:hAnsi="Times New Roman" w:cs="Times New Roman"/>
          <w:color w:val="000000" w:themeColor="text1"/>
        </w:rPr>
        <w:t>decreto del Presidente della Repubblica 16 aprile 2013, n. 62</w:t>
      </w:r>
      <w:r w:rsidRPr="004A5029">
        <w:rPr>
          <w:rFonts w:ascii="Times New Roman" w:hAnsi="Times New Roman" w:cs="Times New Roman"/>
          <w:color w:val="000000" w:themeColor="text1"/>
        </w:rPr>
        <w:t>.</w:t>
      </w:r>
    </w:p>
    <w:p w14:paraId="22940633"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bCs/>
          <w:color w:val="000000" w:themeColor="text1"/>
        </w:rPr>
        <w:t>6. Salvo diversa motivata determinazione della stazione appaltante, in caso di rinnovo del procedimento di gara per effetto dell’annullamento dell’aggiudicazione o dell’esclusione di taluno dei concorrenti, è riconvocata la medesima commissione, tranne quando l’annullamento sia derivato da un vizio nella composizione della commissione.</w:t>
      </w:r>
    </w:p>
    <w:p w14:paraId="09CD4B5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Nelle procedure di aggiudicazione di contratti di appalto con il criterio del minor prezzo o costo, la valutazione delle offerte è effettuata da un seggio di gara, anche monocratico, composto da personale della stazione appaltante, scelto secondo criteri di trasparenza e competenza, al quale si applicano le cause di incompatibilità di cui alle lettere b) e c) del comma 5.</w:t>
      </w:r>
    </w:p>
    <w:p w14:paraId="38D6B9B6" w14:textId="77777777" w:rsidR="00446F27" w:rsidRPr="004A5029" w:rsidRDefault="00446F27" w:rsidP="00446F27">
      <w:pPr>
        <w:shd w:val="clear" w:color="auto" w:fill="FFFFFF"/>
        <w:jc w:val="both"/>
        <w:rPr>
          <w:rFonts w:ascii="Times New Roman" w:eastAsia="Times New Roman" w:hAnsi="Times New Roman" w:cs="Times New Roman"/>
          <w:b/>
          <w:bCs/>
          <w:color w:val="000000" w:themeColor="text1"/>
          <w:lang w:eastAsia="it-IT"/>
        </w:rPr>
      </w:pPr>
    </w:p>
    <w:p w14:paraId="0C7BD2FC" w14:textId="77777777" w:rsidR="00B922F7" w:rsidRPr="004A5029" w:rsidRDefault="00446F27" w:rsidP="00446F27">
      <w:pPr>
        <w:jc w:val="center"/>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color w:val="000000" w:themeColor="text1"/>
          <w:lang w:eastAsia="it-IT"/>
        </w:rPr>
        <w:t>Capo II</w:t>
      </w:r>
    </w:p>
    <w:p w14:paraId="0C5A964E" w14:textId="0559D4F5" w:rsidR="00446F27" w:rsidRPr="004A5029" w:rsidRDefault="00446F27" w:rsidP="00446F27">
      <w:pPr>
        <w:jc w:val="center"/>
        <w:rPr>
          <w:rFonts w:ascii="Times New Roman" w:eastAsia="Times New Roman" w:hAnsi="Times New Roman" w:cs="Times New Roman"/>
          <w:b/>
          <w:color w:val="000000" w:themeColor="text1"/>
          <w:lang w:eastAsia="it-IT"/>
        </w:rPr>
      </w:pPr>
      <w:r w:rsidRPr="004A5029">
        <w:rPr>
          <w:rFonts w:ascii="Times New Roman" w:eastAsia="Times New Roman" w:hAnsi="Times New Roman" w:cs="Times New Roman"/>
          <w:b/>
          <w:color w:val="000000" w:themeColor="text1"/>
          <w:lang w:eastAsia="it-IT"/>
        </w:rPr>
        <w:t>I requisiti di ordine generale</w:t>
      </w:r>
    </w:p>
    <w:p w14:paraId="22F860BB" w14:textId="77777777" w:rsidR="00446F27" w:rsidRPr="004A5029" w:rsidRDefault="00446F27" w:rsidP="00446F27">
      <w:pPr>
        <w:jc w:val="center"/>
        <w:rPr>
          <w:rFonts w:ascii="Times New Roman" w:eastAsia="Times New Roman" w:hAnsi="Times New Roman" w:cs="Times New Roman"/>
          <w:b/>
          <w:color w:val="000000" w:themeColor="text1"/>
          <w:lang w:eastAsia="it-IT"/>
        </w:rPr>
      </w:pPr>
    </w:p>
    <w:p w14:paraId="39C35616"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b/>
          <w:bCs/>
          <w:color w:val="000000" w:themeColor="text1"/>
          <w:lang w:eastAsia="zh-CN"/>
        </w:rPr>
        <w:t>Articolo 94</w:t>
      </w:r>
      <w:r w:rsidRPr="004A5029">
        <w:rPr>
          <w:rFonts w:ascii="Times New Roman" w:eastAsia="SimSun" w:hAnsi="Times New Roman" w:cs="Times New Roman"/>
          <w:color w:val="000000" w:themeColor="text1"/>
          <w:lang w:eastAsia="zh-CN"/>
        </w:rPr>
        <w:t xml:space="preserve">. </w:t>
      </w:r>
    </w:p>
    <w:p w14:paraId="1B7B6648"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SimSun" w:hAnsi="Times New Roman" w:cs="Times New Roman"/>
          <w:i/>
          <w:iCs/>
          <w:color w:val="000000" w:themeColor="text1"/>
          <w:lang w:eastAsia="zh-CN"/>
        </w:rPr>
        <w:t>Cause di esclusione automatica.</w:t>
      </w:r>
    </w:p>
    <w:p w14:paraId="1B8B5CF1" w14:textId="77623B52"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1. È causa di esclusione di un operatore economico dalla partecipazione a una procedura d'appalto la condanna con sentenza definitiva o decreto penale di condanna divenuto irrevocabile </w:t>
      </w:r>
      <w:r w:rsidRPr="004A5029">
        <w:rPr>
          <w:rFonts w:ascii="Times New Roman" w:eastAsia="Calibri" w:hAnsi="Times New Roman" w:cs="Times New Roman"/>
          <w:b/>
          <w:bCs/>
          <w:strike/>
          <w:color w:val="000000" w:themeColor="text1"/>
          <w:lang w:eastAsia="zh-CN"/>
        </w:rPr>
        <w:t>o sentenza di applicazione della pena su richiesta ai sensi dell'articolo 444 del codice di procedura penale</w:t>
      </w:r>
      <w:r w:rsidRPr="004A5029">
        <w:rPr>
          <w:rFonts w:ascii="Times New Roman" w:eastAsia="Calibri" w:hAnsi="Times New Roman" w:cs="Times New Roman"/>
          <w:color w:val="000000" w:themeColor="text1"/>
          <w:lang w:eastAsia="zh-CN"/>
        </w:rPr>
        <w:t xml:space="preserve"> per uno dei seguenti reati:</w:t>
      </w:r>
    </w:p>
    <w:p w14:paraId="666CBE1E" w14:textId="28C58FEF" w:rsidR="00446F27" w:rsidRPr="004A5029" w:rsidRDefault="00446F27" w:rsidP="00446F27">
      <w:pPr>
        <w:jc w:val="both"/>
        <w:rPr>
          <w:rFonts w:ascii="Times New Roman" w:eastAsia="Calibri" w:hAnsi="Times New Roman" w:cs="Times New Roman"/>
          <w:b/>
          <w:bCs/>
          <w:color w:val="000000" w:themeColor="text1"/>
          <w:lang w:eastAsia="zh-CN"/>
        </w:rPr>
      </w:pPr>
      <w:r w:rsidRPr="004A5029">
        <w:rPr>
          <w:rFonts w:ascii="Times New Roman" w:eastAsia="Calibri" w:hAnsi="Times New Roman" w:cs="Times New Roman"/>
          <w:color w:val="000000" w:themeColor="text1"/>
          <w:lang w:eastAsia="zh-CN"/>
        </w:rPr>
        <w:t>a) delitti, consumati o tentati, di cui agli articoli 416, 416-</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del codice penale oppure delitti commessi avvalendosi delle condizioni previste dal predetto articolo 416-</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oppure al fine di agevolare l'attività delle associazioni previste dallo stesso articolo, nonché per i delitti, consumati o tentati, previsti dall'articolo 74 del </w:t>
      </w:r>
      <w:r w:rsidR="001B5CEA" w:rsidRPr="004A5029">
        <w:rPr>
          <w:rFonts w:ascii="Times New Roman" w:eastAsia="Calibri" w:hAnsi="Times New Roman" w:cs="Times New Roman"/>
          <w:b/>
          <w:bCs/>
          <w:color w:val="000000" w:themeColor="text1"/>
          <w:lang w:eastAsia="zh-CN"/>
        </w:rPr>
        <w:t>testo unico delle leggi in materia di disciplina degli stupefacenti e sostanze psicotrope, prevenzione, cura e riabilitazione dei relativi stati di tossicodipendenza</w:t>
      </w:r>
      <w:r w:rsidR="001006C5" w:rsidRPr="004A5029">
        <w:rPr>
          <w:rFonts w:ascii="Times New Roman" w:hAnsi="Times New Roman" w:cs="Times New Roman"/>
          <w:b/>
          <w:bCs/>
          <w:color w:val="000000" w:themeColor="text1"/>
        </w:rPr>
        <w:t>,</w:t>
      </w:r>
      <w:r w:rsidR="001B5CEA" w:rsidRPr="004A5029">
        <w:rPr>
          <w:rFonts w:ascii="Times New Roman" w:eastAsia="Calibri" w:hAnsi="Times New Roman" w:cs="Times New Roman"/>
          <w:b/>
          <w:bCs/>
          <w:color w:val="000000" w:themeColor="text1"/>
          <w:lang w:eastAsia="zh-CN"/>
        </w:rPr>
        <w:t xml:space="preserve"> di cui al</w:t>
      </w:r>
      <w:r w:rsidR="001B5CEA"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decreto del Presidente della Repubblica 9 ottobre 1990, n. 309, dall'articolo 291-</w:t>
      </w:r>
      <w:r w:rsidRPr="004A5029">
        <w:rPr>
          <w:rFonts w:ascii="Times New Roman" w:eastAsia="Calibri" w:hAnsi="Times New Roman" w:cs="Times New Roman"/>
          <w:i/>
          <w:iCs/>
          <w:color w:val="000000" w:themeColor="text1"/>
          <w:lang w:eastAsia="zh-CN"/>
        </w:rPr>
        <w:t xml:space="preserve">quater </w:t>
      </w:r>
      <w:r w:rsidRPr="004A5029">
        <w:rPr>
          <w:rFonts w:ascii="Times New Roman" w:eastAsia="Calibri" w:hAnsi="Times New Roman" w:cs="Times New Roman"/>
          <w:color w:val="000000" w:themeColor="text1"/>
          <w:lang w:eastAsia="zh-CN"/>
        </w:rPr>
        <w:t xml:space="preserve">del </w:t>
      </w:r>
      <w:r w:rsidR="00C33955" w:rsidRPr="004A5029">
        <w:rPr>
          <w:rFonts w:ascii="Times New Roman" w:eastAsia="Calibri" w:hAnsi="Times New Roman" w:cs="Times New Roman"/>
          <w:b/>
          <w:bCs/>
          <w:color w:val="000000" w:themeColor="text1"/>
          <w:lang w:eastAsia="zh-CN"/>
        </w:rPr>
        <w:t>testo unico delle disposizioni legislative in materia doganale</w:t>
      </w:r>
      <w:r w:rsidR="001006C5" w:rsidRPr="004A5029">
        <w:rPr>
          <w:rFonts w:ascii="Times New Roman" w:hAnsi="Times New Roman" w:cs="Times New Roman"/>
          <w:b/>
          <w:bCs/>
          <w:color w:val="000000" w:themeColor="text1"/>
        </w:rPr>
        <w:t>,</w:t>
      </w:r>
      <w:r w:rsidR="00C33955" w:rsidRPr="004A5029">
        <w:rPr>
          <w:rFonts w:ascii="Times New Roman" w:eastAsia="Calibri" w:hAnsi="Times New Roman" w:cs="Times New Roman"/>
          <w:b/>
          <w:bCs/>
          <w:color w:val="000000" w:themeColor="text1"/>
          <w:lang w:eastAsia="zh-CN"/>
        </w:rPr>
        <w:t xml:space="preserve"> di cui al</w:t>
      </w:r>
      <w:r w:rsidR="00C33955"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decreto del Presidente della Repubblica 23 gennaio 1973, n. 43 e dall'articolo </w:t>
      </w:r>
      <w:r w:rsidR="005A0EA5" w:rsidRPr="004A5029">
        <w:rPr>
          <w:rFonts w:ascii="Times New Roman" w:eastAsia="Calibri" w:hAnsi="Times New Roman" w:cs="Times New Roman"/>
          <w:bCs/>
          <w:color w:val="000000" w:themeColor="text1"/>
          <w:lang w:eastAsia="zh-CN"/>
        </w:rPr>
        <w:t>452-</w:t>
      </w:r>
      <w:r w:rsidR="005A0EA5" w:rsidRPr="004A5029">
        <w:rPr>
          <w:rFonts w:ascii="Times New Roman" w:eastAsia="Calibri" w:hAnsi="Times New Roman" w:cs="Times New Roman"/>
          <w:bCs/>
          <w:i/>
          <w:color w:val="000000" w:themeColor="text1"/>
          <w:lang w:eastAsia="zh-CN"/>
        </w:rPr>
        <w:t>quaterdieces</w:t>
      </w:r>
      <w:r w:rsidR="005A0EA5" w:rsidRPr="004A5029">
        <w:rPr>
          <w:rFonts w:ascii="Times New Roman" w:eastAsia="Calibri" w:hAnsi="Times New Roman" w:cs="Times New Roman"/>
          <w:bCs/>
          <w:color w:val="000000" w:themeColor="text1"/>
          <w:lang w:eastAsia="zh-CN"/>
        </w:rPr>
        <w:t xml:space="preserve"> del codice penale</w:t>
      </w:r>
      <w:r w:rsidRPr="004A5029">
        <w:rPr>
          <w:rFonts w:ascii="Times New Roman" w:eastAsia="Calibri" w:hAnsi="Times New Roman" w:cs="Times New Roman"/>
          <w:color w:val="000000" w:themeColor="text1"/>
          <w:lang w:eastAsia="zh-CN"/>
        </w:rPr>
        <w:t>, in quanto riconducibili alla partecipazione a un'organizzazione criminale, quale definita all'articolo 2 della decisione quadro 2008/841/GAI del Consiglio</w:t>
      </w:r>
      <w:r w:rsidR="00BF7ADA" w:rsidRPr="004A5029">
        <w:rPr>
          <w:rFonts w:ascii="Times New Roman" w:eastAsia="Calibri" w:hAnsi="Times New Roman" w:cs="Times New Roman"/>
          <w:color w:val="000000" w:themeColor="text1"/>
          <w:lang w:eastAsia="zh-CN"/>
        </w:rPr>
        <w:t xml:space="preserve"> </w:t>
      </w:r>
      <w:r w:rsidR="00BF7ADA" w:rsidRPr="004A5029">
        <w:rPr>
          <w:rFonts w:ascii="Times New Roman" w:eastAsia="Calibri" w:hAnsi="Times New Roman" w:cs="Times New Roman"/>
          <w:b/>
          <w:bCs/>
          <w:color w:val="000000" w:themeColor="text1"/>
          <w:lang w:eastAsia="zh-CN"/>
        </w:rPr>
        <w:t>dell’Unione europea</w:t>
      </w:r>
      <w:r w:rsidR="001101FD" w:rsidRPr="004A5029">
        <w:rPr>
          <w:rFonts w:ascii="Times New Roman" w:eastAsia="Calibri" w:hAnsi="Times New Roman" w:cs="Times New Roman"/>
          <w:b/>
          <w:bCs/>
          <w:color w:val="000000" w:themeColor="text1"/>
          <w:lang w:eastAsia="zh-CN"/>
        </w:rPr>
        <w:t>,</w:t>
      </w:r>
      <w:r w:rsidR="001101FD" w:rsidRPr="004A5029">
        <w:rPr>
          <w:rFonts w:ascii="Times New Roman" w:hAnsi="Times New Roman" w:cs="Times New Roman"/>
          <w:b/>
          <w:bCs/>
          <w:color w:val="000000" w:themeColor="text1"/>
          <w:shd w:val="clear" w:color="auto" w:fill="FFFFFF"/>
        </w:rPr>
        <w:t> </w:t>
      </w:r>
      <w:r w:rsidR="001101FD" w:rsidRPr="004A5029">
        <w:rPr>
          <w:rFonts w:ascii="Times New Roman" w:eastAsia="Calibri" w:hAnsi="Times New Roman" w:cs="Times New Roman"/>
          <w:b/>
          <w:bCs/>
          <w:color w:val="000000" w:themeColor="text1"/>
          <w:lang w:eastAsia="zh-CN"/>
        </w:rPr>
        <w:t>del 24 ottobre 2008</w:t>
      </w:r>
      <w:r w:rsidRPr="004A5029">
        <w:rPr>
          <w:rFonts w:ascii="Times New Roman" w:eastAsia="Calibri" w:hAnsi="Times New Roman" w:cs="Times New Roman"/>
          <w:b/>
          <w:bCs/>
          <w:color w:val="000000" w:themeColor="text1"/>
          <w:lang w:eastAsia="zh-CN"/>
        </w:rPr>
        <w:t>;</w:t>
      </w:r>
    </w:p>
    <w:p w14:paraId="64539A8A"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b) delitti, consumati o tentati, di cui agli articoli 317, 318, 319, 319-ter, 319-</w:t>
      </w:r>
      <w:r w:rsidRPr="004A5029">
        <w:rPr>
          <w:rFonts w:ascii="Times New Roman" w:eastAsia="Calibri" w:hAnsi="Times New Roman" w:cs="Times New Roman"/>
          <w:i/>
          <w:iCs/>
          <w:color w:val="000000" w:themeColor="text1"/>
          <w:lang w:eastAsia="zh-CN"/>
        </w:rPr>
        <w:t>quater</w:t>
      </w:r>
      <w:r w:rsidRPr="004A5029">
        <w:rPr>
          <w:rFonts w:ascii="Times New Roman" w:eastAsia="Calibri" w:hAnsi="Times New Roman" w:cs="Times New Roman"/>
          <w:color w:val="000000" w:themeColor="text1"/>
          <w:lang w:eastAsia="zh-CN"/>
        </w:rPr>
        <w:t>, 320, 321, 322, 322-</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346-</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353, 353-</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354, 355 e 356 del codice penale nonché all'articolo 2635 del codice civile; </w:t>
      </w:r>
    </w:p>
    <w:p w14:paraId="039D3FFA"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c) false comunicazioni sociali di cui agli articoli 2621 e 2622 del codice civile; </w:t>
      </w:r>
    </w:p>
    <w:p w14:paraId="2659552C" w14:textId="71167E68"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d) frode ai sensi dell'articolo 1 della convenzione relativa alla tutela degli interessi finanziari delle Comunità europee</w:t>
      </w:r>
      <w:r w:rsidR="000F6892" w:rsidRPr="004A5029">
        <w:rPr>
          <w:rFonts w:ascii="Times New Roman" w:eastAsia="Calibri" w:hAnsi="Times New Roman" w:cs="Times New Roman"/>
          <w:b/>
          <w:bCs/>
          <w:color w:val="000000" w:themeColor="text1"/>
          <w:lang w:eastAsia="zh-CN"/>
        </w:rPr>
        <w:t>, del 26 luglio 1995</w:t>
      </w:r>
      <w:r w:rsidRPr="004A5029">
        <w:rPr>
          <w:rFonts w:ascii="Times New Roman" w:eastAsia="Calibri" w:hAnsi="Times New Roman" w:cs="Times New Roman"/>
          <w:color w:val="000000" w:themeColor="text1"/>
          <w:lang w:eastAsia="zh-CN"/>
        </w:rPr>
        <w:t xml:space="preserve">; </w:t>
      </w:r>
    </w:p>
    <w:p w14:paraId="4269D3A3"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e) delitti, consumati o tentati, commessi con finalità di terrorismo, anche internazionale, e di eversione dell'ordine costituzionale reati terroristici o reati connessi alle attività terroristiche; </w:t>
      </w:r>
    </w:p>
    <w:p w14:paraId="06EB4457" w14:textId="2D76F364"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f) delitti di cui agli articoli 648-</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648-</w:t>
      </w:r>
      <w:r w:rsidRPr="004A5029">
        <w:rPr>
          <w:rFonts w:ascii="Times New Roman" w:eastAsia="Calibri" w:hAnsi="Times New Roman" w:cs="Times New Roman"/>
          <w:i/>
          <w:iCs/>
          <w:color w:val="000000" w:themeColor="text1"/>
          <w:lang w:eastAsia="zh-CN"/>
        </w:rPr>
        <w:t>ter</w:t>
      </w:r>
      <w:r w:rsidRPr="004A5029">
        <w:rPr>
          <w:rFonts w:ascii="Times New Roman" w:eastAsia="Calibri" w:hAnsi="Times New Roman" w:cs="Times New Roman"/>
          <w:color w:val="000000" w:themeColor="text1"/>
          <w:lang w:eastAsia="zh-CN"/>
        </w:rPr>
        <w:t xml:space="preserve"> e 648-</w:t>
      </w:r>
      <w:r w:rsidRPr="004A5029">
        <w:rPr>
          <w:rFonts w:ascii="Times New Roman" w:eastAsia="Calibri" w:hAnsi="Times New Roman" w:cs="Times New Roman"/>
          <w:i/>
          <w:iCs/>
          <w:color w:val="000000" w:themeColor="text1"/>
          <w:lang w:eastAsia="zh-CN"/>
        </w:rPr>
        <w:t>ter</w:t>
      </w:r>
      <w:r w:rsidRPr="004A5029">
        <w:rPr>
          <w:rFonts w:ascii="Times New Roman" w:eastAsia="Calibri" w:hAnsi="Times New Roman" w:cs="Times New Roman"/>
          <w:color w:val="000000" w:themeColor="text1"/>
          <w:lang w:eastAsia="zh-CN"/>
        </w:rPr>
        <w:t xml:space="preserve">.1 del codice penale, riciclaggio di proventi di attività criminose o finanziamento del terrorismo, quali definiti all'articolo 1 del decreto legislativo 22 giugno 2007, n. 109; </w:t>
      </w:r>
    </w:p>
    <w:p w14:paraId="1A53F7ED"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g) sfruttamento del lavoro minorile e altre forme di tratta di esseri umani definite con il decreto legislativo 4 marzo 2014, n. 24; </w:t>
      </w:r>
    </w:p>
    <w:p w14:paraId="257C8F09"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h) ogni altro delitto da cui derivi, quale pena accessoria, l'incapacità di contrattare con la pubblica amministrazione.</w:t>
      </w:r>
    </w:p>
    <w:p w14:paraId="7693227C" w14:textId="411A5F7A"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2. È altresì causa di esclusione la sussistenza, con riferimento ai soggetti indicati al comma 3, di ragioni di decadenza, di sospensione o di divieto previste dall'articolo 67 del </w:t>
      </w:r>
      <w:bookmarkStart w:id="36" w:name="_Hlk127797111"/>
      <w:r w:rsidR="00B56E30" w:rsidRPr="004A5029">
        <w:rPr>
          <w:rFonts w:ascii="Times New Roman" w:hAnsi="Times New Roman" w:cs="Times New Roman"/>
          <w:b/>
          <w:bCs/>
          <w:color w:val="000000" w:themeColor="text1"/>
          <w:shd w:val="clear" w:color="auto" w:fill="FFFFFF"/>
        </w:rPr>
        <w:t>codice delle leggi antimafia e delle misure di prevenzione</w:t>
      </w:r>
      <w:r w:rsidR="0030786B" w:rsidRPr="004A5029">
        <w:rPr>
          <w:rFonts w:ascii="Times New Roman" w:eastAsia="Calibri" w:hAnsi="Times New Roman" w:cs="Times New Roman"/>
          <w:b/>
          <w:bCs/>
          <w:color w:val="000000" w:themeColor="text1"/>
        </w:rPr>
        <w:t>,</w:t>
      </w:r>
      <w:r w:rsidR="00B56E30" w:rsidRPr="004A5029">
        <w:rPr>
          <w:rFonts w:ascii="Times New Roman" w:eastAsia="Calibri" w:hAnsi="Times New Roman" w:cs="Times New Roman"/>
          <w:b/>
          <w:bCs/>
          <w:color w:val="000000" w:themeColor="text1"/>
          <w:lang w:eastAsia="zh-CN"/>
        </w:rPr>
        <w:t xml:space="preserve"> di cui al</w:t>
      </w:r>
      <w:r w:rsidR="00B56E30" w:rsidRPr="004A5029">
        <w:rPr>
          <w:rFonts w:ascii="Times New Roman" w:eastAsia="Calibri" w:hAnsi="Times New Roman" w:cs="Times New Roman"/>
          <w:color w:val="000000" w:themeColor="text1"/>
          <w:lang w:eastAsia="zh-CN"/>
        </w:rPr>
        <w:t xml:space="preserve"> </w:t>
      </w:r>
      <w:bookmarkEnd w:id="36"/>
      <w:r w:rsidRPr="004A5029">
        <w:rPr>
          <w:rFonts w:ascii="Times New Roman" w:eastAsia="Calibri" w:hAnsi="Times New Roman" w:cs="Times New Roman"/>
          <w:color w:val="000000" w:themeColor="text1"/>
          <w:lang w:eastAsia="zh-CN"/>
        </w:rPr>
        <w:t xml:space="preserve">decreto legislativo 6 settembre 2011, n. 159 o di un tentativo di infiltrazione mafiosa di cui all'articolo 84, comma 4, del medesimo </w:t>
      </w:r>
      <w:r w:rsidRPr="004A5029">
        <w:rPr>
          <w:rFonts w:ascii="Times New Roman" w:eastAsia="Calibri" w:hAnsi="Times New Roman" w:cs="Times New Roman"/>
          <w:b/>
          <w:bCs/>
          <w:strike/>
          <w:color w:val="000000" w:themeColor="text1"/>
          <w:lang w:eastAsia="zh-CN"/>
        </w:rPr>
        <w:t>decreto</w:t>
      </w:r>
      <w:r w:rsidR="00B56E30" w:rsidRPr="004A5029">
        <w:rPr>
          <w:rFonts w:ascii="Times New Roman" w:hAnsi="Times New Roman" w:cs="Times New Roman"/>
          <w:b/>
          <w:bCs/>
          <w:color w:val="000000" w:themeColor="text1"/>
          <w:shd w:val="clear" w:color="auto" w:fill="FFFFFF"/>
        </w:rPr>
        <w:t xml:space="preserve"> codice</w:t>
      </w:r>
      <w:r w:rsidRPr="004A5029">
        <w:rPr>
          <w:rFonts w:ascii="Times New Roman" w:eastAsia="Calibri" w:hAnsi="Times New Roman" w:cs="Times New Roman"/>
          <w:color w:val="000000" w:themeColor="text1"/>
          <w:lang w:eastAsia="zh-CN"/>
        </w:rPr>
        <w:t>. Resta fermo quanto previsto dagli articoli 88, comma 4-</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e 92, commi 2 e 3, del </w:t>
      </w:r>
      <w:r w:rsidR="00B56E30" w:rsidRPr="004A5029">
        <w:rPr>
          <w:rFonts w:ascii="Times New Roman" w:hAnsi="Times New Roman" w:cs="Times New Roman"/>
          <w:b/>
          <w:bCs/>
          <w:color w:val="000000" w:themeColor="text1"/>
          <w:shd w:val="clear" w:color="auto" w:fill="FFFFFF"/>
        </w:rPr>
        <w:t xml:space="preserve">codice </w:t>
      </w:r>
      <w:r w:rsidR="009B3D9C" w:rsidRPr="004A5029">
        <w:rPr>
          <w:rFonts w:ascii="Times New Roman" w:eastAsia="Calibri" w:hAnsi="Times New Roman" w:cs="Times New Roman"/>
          <w:b/>
          <w:bCs/>
          <w:color w:val="000000" w:themeColor="text1"/>
          <w:lang w:eastAsia="zh-CN"/>
        </w:rPr>
        <w:t>di cui al</w:t>
      </w:r>
      <w:r w:rsidR="009B3D9C"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decreto legislativo</w:t>
      </w:r>
      <w:r w:rsidRPr="004A5029">
        <w:rPr>
          <w:rFonts w:ascii="Times New Roman" w:eastAsia="Calibri" w:hAnsi="Times New Roman" w:cs="Times New Roman"/>
          <w:strike/>
          <w:color w:val="000000" w:themeColor="text1"/>
          <w:lang w:eastAsia="zh-CN"/>
        </w:rPr>
        <w:t xml:space="preserve"> </w:t>
      </w:r>
      <w:r w:rsidRPr="004A5029">
        <w:rPr>
          <w:rFonts w:ascii="Times New Roman" w:eastAsia="Calibri" w:hAnsi="Times New Roman" w:cs="Times New Roman"/>
          <w:b/>
          <w:bCs/>
          <w:strike/>
          <w:color w:val="000000" w:themeColor="text1"/>
          <w:lang w:eastAsia="zh-CN"/>
        </w:rPr>
        <w:t xml:space="preserve">6 settembre 2011, </w:t>
      </w:r>
      <w:r w:rsidRPr="004A5029">
        <w:rPr>
          <w:rFonts w:ascii="Times New Roman" w:eastAsia="Calibri" w:hAnsi="Times New Roman" w:cs="Times New Roman"/>
          <w:color w:val="000000" w:themeColor="text1"/>
          <w:lang w:eastAsia="zh-CN"/>
        </w:rPr>
        <w:t>n. 159</w:t>
      </w:r>
      <w:r w:rsidR="009B3D9C" w:rsidRPr="004A5029">
        <w:rPr>
          <w:rFonts w:ascii="Times New Roman" w:eastAsia="Calibri" w:hAnsi="Times New Roman" w:cs="Times New Roman"/>
          <w:color w:val="000000" w:themeColor="text1"/>
          <w:lang w:eastAsia="zh-CN"/>
        </w:rPr>
        <w:t xml:space="preserve"> </w:t>
      </w:r>
      <w:r w:rsidR="009B3D9C" w:rsidRPr="004A5029">
        <w:rPr>
          <w:rFonts w:ascii="Times New Roman" w:eastAsia="Calibri" w:hAnsi="Times New Roman" w:cs="Times New Roman"/>
          <w:b/>
          <w:bCs/>
          <w:color w:val="000000" w:themeColor="text1"/>
          <w:lang w:eastAsia="zh-CN"/>
        </w:rPr>
        <w:t>del 2011</w:t>
      </w:r>
      <w:r w:rsidRPr="004A5029">
        <w:rPr>
          <w:rFonts w:ascii="Times New Roman" w:eastAsia="Calibri" w:hAnsi="Times New Roman" w:cs="Times New Roman"/>
          <w:b/>
          <w:bCs/>
          <w:color w:val="000000" w:themeColor="text1"/>
          <w:lang w:eastAsia="zh-CN"/>
        </w:rPr>
        <w:t>,</w:t>
      </w:r>
      <w:r w:rsidRPr="004A5029">
        <w:rPr>
          <w:rFonts w:ascii="Times New Roman" w:eastAsia="Calibri" w:hAnsi="Times New Roman" w:cs="Times New Roman"/>
          <w:color w:val="000000" w:themeColor="text1"/>
          <w:lang w:eastAsia="zh-CN"/>
        </w:rPr>
        <w:t xml:space="preserve"> con riferimento rispettivamente alle comunicazioni antimafia e alle informazioni antimafia. La causa di esclusione di cui all’articolo 84, comma 4, del</w:t>
      </w:r>
      <w:r w:rsidR="009B3D9C"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strike/>
          <w:color w:val="000000" w:themeColor="text1"/>
          <w:lang w:eastAsia="zh-CN"/>
        </w:rPr>
        <w:t xml:space="preserve">medesimo </w:t>
      </w:r>
      <w:r w:rsidR="009B3D9C" w:rsidRPr="004A5029">
        <w:rPr>
          <w:rFonts w:ascii="Times New Roman" w:hAnsi="Times New Roman" w:cs="Times New Roman"/>
          <w:b/>
          <w:bCs/>
          <w:color w:val="000000" w:themeColor="text1"/>
          <w:shd w:val="clear" w:color="auto" w:fill="FFFFFF"/>
        </w:rPr>
        <w:t>codice</w:t>
      </w:r>
      <w:r w:rsidR="009B3D9C" w:rsidRPr="004A5029">
        <w:rPr>
          <w:rFonts w:ascii="Times New Roman" w:eastAsia="Calibri" w:hAnsi="Times New Roman" w:cs="Times New Roman"/>
          <w:b/>
          <w:bCs/>
          <w:color w:val="000000" w:themeColor="text1"/>
          <w:lang w:eastAsia="zh-CN"/>
        </w:rPr>
        <w:t xml:space="preserve"> di cui al</w:t>
      </w:r>
      <w:r w:rsidR="009B3D9C"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decreto legislativo </w:t>
      </w:r>
      <w:r w:rsidR="00B56E30" w:rsidRPr="004A5029">
        <w:rPr>
          <w:rFonts w:ascii="Times New Roman" w:eastAsia="Calibri" w:hAnsi="Times New Roman" w:cs="Times New Roman"/>
          <w:b/>
          <w:bCs/>
          <w:strike/>
          <w:color w:val="000000" w:themeColor="text1"/>
          <w:lang w:eastAsia="zh-CN"/>
        </w:rPr>
        <w:t>6 settembre 2011</w:t>
      </w:r>
      <w:r w:rsidR="00B56E30" w:rsidRPr="004A5029">
        <w:rPr>
          <w:rFonts w:ascii="Times New Roman" w:eastAsia="Calibri" w:hAnsi="Times New Roman" w:cs="Times New Roman"/>
          <w:color w:val="000000" w:themeColor="text1"/>
          <w:lang w:eastAsia="zh-CN"/>
        </w:rPr>
        <w:t xml:space="preserve">, </w:t>
      </w:r>
      <w:r w:rsidR="00B56E30" w:rsidRPr="004A5029">
        <w:rPr>
          <w:rFonts w:ascii="Times New Roman" w:eastAsia="Calibri" w:hAnsi="Times New Roman" w:cs="Times New Roman"/>
          <w:b/>
          <w:bCs/>
          <w:color w:val="000000" w:themeColor="text1"/>
          <w:lang w:eastAsia="zh-CN"/>
        </w:rPr>
        <w:t>n. 159</w:t>
      </w:r>
      <w:r w:rsidR="009B3D9C" w:rsidRPr="004A5029">
        <w:rPr>
          <w:rFonts w:ascii="Times New Roman" w:eastAsia="Calibri" w:hAnsi="Times New Roman" w:cs="Times New Roman"/>
          <w:b/>
          <w:bCs/>
          <w:color w:val="000000" w:themeColor="text1"/>
          <w:lang w:eastAsia="zh-CN"/>
        </w:rPr>
        <w:t xml:space="preserve"> del 2011</w:t>
      </w:r>
      <w:r w:rsidR="00B56E30"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non opera se, entro la data dell’aggiudicazione, l’impresa sia stata ammessa al controllo giudiziario ai sensi dell’articolo 34-</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del medesimo </w:t>
      </w:r>
      <w:r w:rsidRPr="004A5029">
        <w:rPr>
          <w:rFonts w:ascii="Times New Roman" w:eastAsia="Calibri" w:hAnsi="Times New Roman" w:cs="Times New Roman"/>
          <w:b/>
          <w:bCs/>
          <w:strike/>
          <w:color w:val="000000" w:themeColor="text1"/>
          <w:lang w:eastAsia="zh-CN"/>
        </w:rPr>
        <w:t>decreto legislativo</w:t>
      </w:r>
      <w:r w:rsidR="00B56E30" w:rsidRPr="004A5029">
        <w:rPr>
          <w:rFonts w:ascii="Times New Roman" w:eastAsia="Calibri" w:hAnsi="Times New Roman" w:cs="Times New Roman"/>
          <w:b/>
          <w:bCs/>
          <w:color w:val="000000" w:themeColor="text1"/>
          <w:lang w:eastAsia="zh-CN"/>
        </w:rPr>
        <w:t xml:space="preserve"> </w:t>
      </w:r>
      <w:r w:rsidR="00B56E30" w:rsidRPr="004A5029">
        <w:rPr>
          <w:rFonts w:ascii="Times New Roman" w:hAnsi="Times New Roman" w:cs="Times New Roman"/>
          <w:b/>
          <w:bCs/>
          <w:color w:val="000000" w:themeColor="text1"/>
          <w:shd w:val="clear" w:color="auto" w:fill="FFFFFF"/>
        </w:rPr>
        <w:t>codice</w:t>
      </w:r>
      <w:r w:rsidRPr="004A5029">
        <w:rPr>
          <w:rFonts w:ascii="Times New Roman" w:eastAsia="Calibri" w:hAnsi="Times New Roman" w:cs="Times New Roman"/>
          <w:color w:val="000000" w:themeColor="text1"/>
          <w:lang w:eastAsia="zh-CN"/>
        </w:rPr>
        <w:t>. In nessun caso l’aggiudicazione può subire dilazioni in ragione della pendenza del procedimento suindicato.</w:t>
      </w:r>
    </w:p>
    <w:p w14:paraId="0660B1A4" w14:textId="5F6F7803"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3. L'esclusione di cui ai commi 1 e 2 </w:t>
      </w:r>
      <w:r w:rsidR="00C87027" w:rsidRPr="004A5029">
        <w:rPr>
          <w:rFonts w:ascii="Times New Roman" w:eastAsia="Calibri" w:hAnsi="Times New Roman" w:cs="Times New Roman"/>
          <w:color w:val="000000" w:themeColor="text1"/>
          <w:lang w:eastAsia="zh-CN"/>
        </w:rPr>
        <w:t>è</w:t>
      </w:r>
      <w:r w:rsidRPr="004A5029">
        <w:rPr>
          <w:rFonts w:ascii="Times New Roman" w:eastAsia="Calibri" w:hAnsi="Times New Roman" w:cs="Times New Roman"/>
          <w:color w:val="000000" w:themeColor="text1"/>
          <w:lang w:eastAsia="zh-CN"/>
        </w:rPr>
        <w:t xml:space="preserve"> disposta se la sentenza o il decreto oppure la misura interdittiva </w:t>
      </w:r>
      <w:r w:rsidR="005A0EA5" w:rsidRPr="004A5029">
        <w:rPr>
          <w:rFonts w:ascii="Times New Roman" w:eastAsia="Calibri" w:hAnsi="Times New Roman" w:cs="Times New Roman"/>
          <w:color w:val="000000" w:themeColor="text1"/>
          <w:lang w:eastAsia="zh-CN"/>
        </w:rPr>
        <w:t xml:space="preserve">ivi indicati </w:t>
      </w:r>
      <w:r w:rsidRPr="004A5029">
        <w:rPr>
          <w:rFonts w:ascii="Times New Roman" w:eastAsia="Calibri" w:hAnsi="Times New Roman" w:cs="Times New Roman"/>
          <w:color w:val="000000" w:themeColor="text1"/>
          <w:lang w:eastAsia="zh-CN"/>
        </w:rPr>
        <w:t>sono stati emessi nei confronti:</w:t>
      </w:r>
    </w:p>
    <w:p w14:paraId="031F5ED9"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a) dell’operatore economico ai sensi e nei termini di cui al decreto legislativo 8 giugno 2001, n. 231;</w:t>
      </w:r>
    </w:p>
    <w:p w14:paraId="6100FE3D"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b)</w:t>
      </w:r>
      <w:r w:rsidRPr="004A5029">
        <w:rPr>
          <w:rFonts w:ascii="Times New Roman" w:eastAsia="SimSun" w:hAnsi="Times New Roman" w:cs="Times New Roman"/>
          <w:color w:val="000000" w:themeColor="text1"/>
          <w:lang w:eastAsia="zh-CN"/>
        </w:rPr>
        <w:t xml:space="preserve"> del titolare o del direttore tecnico, se si tratta di impresa individuale; </w:t>
      </w:r>
    </w:p>
    <w:p w14:paraId="444D6095"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SimSun" w:hAnsi="Times New Roman" w:cs="Times New Roman"/>
          <w:color w:val="000000" w:themeColor="text1"/>
          <w:lang w:eastAsia="zh-CN"/>
        </w:rPr>
        <w:t>c) di un socio amministratore o del direttore tecnico, se si tratta di società in nome collettivo;</w:t>
      </w:r>
    </w:p>
    <w:p w14:paraId="33AD1294"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SimSun" w:hAnsi="Times New Roman" w:cs="Times New Roman"/>
          <w:color w:val="000000" w:themeColor="text1"/>
          <w:lang w:eastAsia="zh-CN"/>
        </w:rPr>
        <w:t xml:space="preserve">d) dei soci accomandatari o del direttore tecnico, se si tratta di società in accomandita semplice; </w:t>
      </w:r>
    </w:p>
    <w:p w14:paraId="0D9813F3"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SimSun" w:hAnsi="Times New Roman" w:cs="Times New Roman"/>
          <w:bCs/>
          <w:color w:val="000000" w:themeColor="text1"/>
          <w:lang w:eastAsia="zh-CN"/>
        </w:rPr>
        <w:t>e)</w:t>
      </w:r>
      <w:r w:rsidRPr="004A5029">
        <w:rPr>
          <w:rFonts w:ascii="Times New Roman" w:eastAsia="SimSun" w:hAnsi="Times New Roman" w:cs="Times New Roman"/>
          <w:color w:val="000000" w:themeColor="text1"/>
          <w:lang w:eastAsia="zh-CN"/>
        </w:rPr>
        <w:t xml:space="preserve"> dei membri del consiglio di amministrazione cui sia stata conferita la legale rappresentanza, ivi compresi gli institori e i procuratori generali;</w:t>
      </w:r>
    </w:p>
    <w:p w14:paraId="6602DE4F"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SimSun" w:hAnsi="Times New Roman" w:cs="Times New Roman"/>
          <w:color w:val="000000" w:themeColor="text1"/>
          <w:lang w:eastAsia="zh-CN"/>
        </w:rPr>
        <w:t>f) dei componenti degli organi con poteri di direzione o di vigilanza o dei soggetti muniti di poteri di rappresentanza, di direzione o di controllo;</w:t>
      </w:r>
    </w:p>
    <w:p w14:paraId="16C9F2CB" w14:textId="77777777" w:rsidR="00446F27" w:rsidRPr="004A5029" w:rsidRDefault="00446F27" w:rsidP="00446F27">
      <w:pPr>
        <w:jc w:val="both"/>
        <w:rPr>
          <w:rFonts w:ascii="Times New Roman" w:eastAsia="SimSun" w:hAnsi="Times New Roman" w:cs="Times New Roman"/>
          <w:color w:val="000000" w:themeColor="text1"/>
          <w:lang w:eastAsia="zh-CN"/>
        </w:rPr>
      </w:pPr>
      <w:r w:rsidRPr="004A5029">
        <w:rPr>
          <w:rFonts w:ascii="Times New Roman" w:eastAsia="SimSun" w:hAnsi="Times New Roman" w:cs="Times New Roman"/>
          <w:color w:val="000000" w:themeColor="text1"/>
          <w:lang w:eastAsia="zh-CN"/>
        </w:rPr>
        <w:t xml:space="preserve">g) del direttore tecnico o del socio unico; </w:t>
      </w:r>
    </w:p>
    <w:p w14:paraId="0805029E" w14:textId="2AAE6CEC" w:rsidR="00446F27" w:rsidRPr="004A5029" w:rsidRDefault="00446F27" w:rsidP="00446F27">
      <w:pPr>
        <w:jc w:val="both"/>
        <w:rPr>
          <w:rFonts w:ascii="Times New Roman" w:eastAsia="Calibri" w:hAnsi="Times New Roman" w:cs="Times New Roman"/>
          <w:strike/>
          <w:color w:val="000000" w:themeColor="text1"/>
          <w:lang w:eastAsia="zh-CN"/>
        </w:rPr>
      </w:pPr>
      <w:r w:rsidRPr="004A5029">
        <w:rPr>
          <w:rFonts w:ascii="Times New Roman" w:eastAsia="SimSun" w:hAnsi="Times New Roman" w:cs="Times New Roman"/>
          <w:bCs/>
          <w:color w:val="000000" w:themeColor="text1"/>
          <w:lang w:eastAsia="zh-CN"/>
        </w:rPr>
        <w:t>h)</w:t>
      </w:r>
      <w:r w:rsidRPr="004A5029">
        <w:rPr>
          <w:rFonts w:ascii="Times New Roman" w:eastAsia="SimSun" w:hAnsi="Times New Roman" w:cs="Times New Roman"/>
          <w:color w:val="000000" w:themeColor="text1"/>
          <w:lang w:eastAsia="zh-CN"/>
        </w:rPr>
        <w:t xml:space="preserve"> </w:t>
      </w:r>
      <w:r w:rsidRPr="004A5029">
        <w:rPr>
          <w:rFonts w:ascii="Times New Roman" w:eastAsia="SimSun" w:hAnsi="Times New Roman" w:cs="Times New Roman"/>
          <w:bCs/>
          <w:color w:val="000000" w:themeColor="text1"/>
          <w:lang w:eastAsia="zh-CN"/>
        </w:rPr>
        <w:t>dell’amministratore di fatto nelle ipotesi di cui alle lettere precedenti.</w:t>
      </w:r>
    </w:p>
    <w:p w14:paraId="114508E3" w14:textId="77777777" w:rsidR="00446F27" w:rsidRPr="004A5029" w:rsidRDefault="00446F27" w:rsidP="00446F27">
      <w:pPr>
        <w:jc w:val="both"/>
        <w:rPr>
          <w:rFonts w:ascii="Times New Roman" w:eastAsia="Calibri" w:hAnsi="Times New Roman" w:cs="Times New Roman"/>
          <w:strike/>
          <w:color w:val="000000" w:themeColor="text1"/>
          <w:highlight w:val="cyan"/>
          <w:lang w:eastAsia="zh-CN"/>
        </w:rPr>
      </w:pPr>
      <w:r w:rsidRPr="004A5029">
        <w:rPr>
          <w:rFonts w:ascii="Times New Roman" w:eastAsia="Calibri" w:hAnsi="Times New Roman" w:cs="Times New Roman"/>
          <w:color w:val="000000" w:themeColor="text1"/>
        </w:rPr>
        <w:t xml:space="preserve">4. Nel caso in cui il socio sia una persona giuridica l’esclusione va disposta se la sentenza o il decreto ovvero la misura interdittiva sono stati emessi nei confronti degli amministratori di quest’ultima. </w:t>
      </w:r>
    </w:p>
    <w:p w14:paraId="1BE3CFA9"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5. Sono altresì esclusi:</w:t>
      </w:r>
    </w:p>
    <w:p w14:paraId="4DF35554" w14:textId="50EF8633"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a) l'operatore economico destinatario della sanzione interdittiva di cui all'articolo </w:t>
      </w:r>
      <w:hyperlink r:id="rId18" w:anchor="id=10LX0000146502ART10,__m=document" w:history="1">
        <w:r w:rsidRPr="004A5029">
          <w:rPr>
            <w:rFonts w:ascii="Times New Roman" w:eastAsia="Calibri" w:hAnsi="Times New Roman" w:cs="Times New Roman"/>
            <w:color w:val="000000" w:themeColor="text1"/>
            <w:lang w:eastAsia="zh-CN"/>
          </w:rPr>
          <w:t>9, comma 2, lettera c)</w:t>
        </w:r>
      </w:hyperlink>
      <w:r w:rsidR="001C55D6" w:rsidRPr="004A5029">
        <w:rPr>
          <w:rFonts w:ascii="Times New Roman" w:eastAsia="Calibri" w:hAnsi="Times New Roman" w:cs="Times New Roman"/>
          <w:color w:val="000000" w:themeColor="text1"/>
          <w:lang w:eastAsia="zh-CN"/>
        </w:rPr>
        <w:t>,</w:t>
      </w:r>
      <w:r w:rsidRPr="004A5029">
        <w:rPr>
          <w:rFonts w:ascii="Times New Roman" w:eastAsia="Calibri" w:hAnsi="Times New Roman" w:cs="Times New Roman"/>
          <w:color w:val="000000" w:themeColor="text1"/>
          <w:lang w:eastAsia="zh-CN"/>
        </w:rPr>
        <w:t xml:space="preserve"> del </w:t>
      </w:r>
      <w:hyperlink r:id="rId19" w:anchor="id=10LX0000146502ART0,__m=document" w:history="1">
        <w:r w:rsidRPr="004A5029">
          <w:rPr>
            <w:rFonts w:ascii="Times New Roman" w:eastAsia="Calibri" w:hAnsi="Times New Roman" w:cs="Times New Roman"/>
            <w:color w:val="000000" w:themeColor="text1"/>
            <w:lang w:eastAsia="zh-CN"/>
          </w:rPr>
          <w:t>decreto legislativo 8 giugno 2001, n. 231</w:t>
        </w:r>
      </w:hyperlink>
      <w:r w:rsidR="001C55D6" w:rsidRPr="004A5029">
        <w:rPr>
          <w:rFonts w:ascii="Times New Roman" w:eastAsia="Calibri" w:hAnsi="Times New Roman" w:cs="Times New Roman"/>
          <w:color w:val="000000" w:themeColor="text1"/>
          <w:lang w:eastAsia="zh-CN"/>
        </w:rPr>
        <w:t>,</w:t>
      </w:r>
      <w:r w:rsidRPr="004A5029">
        <w:rPr>
          <w:rFonts w:ascii="Times New Roman" w:eastAsia="Calibri" w:hAnsi="Times New Roman" w:cs="Times New Roman"/>
          <w:color w:val="000000" w:themeColor="text1"/>
          <w:lang w:eastAsia="zh-CN"/>
        </w:rPr>
        <w:t xml:space="preserve"> o di altra sanzione che comporta il divieto di contrarre con la pubblica amministrazione, compresi i provvedimenti interdittivi di cui all'articolo </w:t>
      </w:r>
      <w:hyperlink r:id="rId20" w:anchor="id=10LX0000604861ART35,__m=document" w:history="1">
        <w:r w:rsidRPr="004A5029">
          <w:rPr>
            <w:rFonts w:ascii="Times New Roman" w:eastAsia="Calibri" w:hAnsi="Times New Roman" w:cs="Times New Roman"/>
            <w:color w:val="000000" w:themeColor="text1"/>
            <w:lang w:eastAsia="zh-CN"/>
          </w:rPr>
          <w:t>14</w:t>
        </w:r>
      </w:hyperlink>
      <w:r w:rsidRPr="004A5029">
        <w:rPr>
          <w:rFonts w:ascii="Times New Roman" w:eastAsia="Calibri" w:hAnsi="Times New Roman" w:cs="Times New Roman"/>
          <w:color w:val="000000" w:themeColor="text1"/>
          <w:lang w:eastAsia="zh-CN"/>
        </w:rPr>
        <w:t xml:space="preserve"> del </w:t>
      </w:r>
      <w:hyperlink r:id="rId21" w:anchor="id=10LX0000604861ART0,__m=document" w:history="1">
        <w:r w:rsidRPr="004A5029">
          <w:rPr>
            <w:rFonts w:ascii="Times New Roman" w:eastAsia="Calibri" w:hAnsi="Times New Roman" w:cs="Times New Roman"/>
            <w:color w:val="000000" w:themeColor="text1"/>
            <w:lang w:eastAsia="zh-CN"/>
          </w:rPr>
          <w:t>decreto legislativo 9 aprile 2008, n. 81</w:t>
        </w:r>
      </w:hyperlink>
      <w:r w:rsidRPr="004A5029">
        <w:rPr>
          <w:rFonts w:ascii="Times New Roman" w:eastAsia="Calibri" w:hAnsi="Times New Roman" w:cs="Times New Roman"/>
          <w:color w:val="000000" w:themeColor="text1"/>
          <w:lang w:eastAsia="zh-CN"/>
        </w:rPr>
        <w:t>;</w:t>
      </w:r>
    </w:p>
    <w:p w14:paraId="1D6A10B6"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b) l'operatore economico che non abbia presentato la certificazione di cui all'articolo </w:t>
      </w:r>
      <w:hyperlink r:id="rId22" w:anchor="id=10LX0000123602ART17,__m=document" w:history="1">
        <w:r w:rsidRPr="004A5029">
          <w:rPr>
            <w:rFonts w:ascii="Times New Roman" w:eastAsia="Calibri" w:hAnsi="Times New Roman" w:cs="Times New Roman"/>
            <w:color w:val="000000" w:themeColor="text1"/>
            <w:lang w:eastAsia="zh-CN"/>
          </w:rPr>
          <w:t>17</w:t>
        </w:r>
      </w:hyperlink>
      <w:r w:rsidRPr="004A5029">
        <w:rPr>
          <w:rFonts w:ascii="Times New Roman" w:eastAsia="Calibri" w:hAnsi="Times New Roman" w:cs="Times New Roman"/>
          <w:color w:val="000000" w:themeColor="text1"/>
          <w:lang w:eastAsia="zh-CN"/>
        </w:rPr>
        <w:t xml:space="preserve"> della </w:t>
      </w:r>
      <w:hyperlink r:id="rId23" w:anchor="id=10LX0000123602ART0,__m=document" w:history="1">
        <w:r w:rsidRPr="004A5029">
          <w:rPr>
            <w:rFonts w:ascii="Times New Roman" w:eastAsia="Calibri" w:hAnsi="Times New Roman" w:cs="Times New Roman"/>
            <w:color w:val="000000" w:themeColor="text1"/>
            <w:lang w:eastAsia="zh-CN"/>
          </w:rPr>
          <w:t>legge 12 marzo 1999, n. 68</w:t>
        </w:r>
      </w:hyperlink>
      <w:r w:rsidRPr="004A5029">
        <w:rPr>
          <w:rFonts w:ascii="Times New Roman" w:eastAsia="Calibri" w:hAnsi="Times New Roman" w:cs="Times New Roman"/>
          <w:color w:val="000000" w:themeColor="text1"/>
          <w:lang w:eastAsia="zh-CN"/>
        </w:rPr>
        <w:t>, ovvero non abbia presentato dichiarazione sostitutiva della sussistenza del medesimo requisito;</w:t>
      </w:r>
    </w:p>
    <w:p w14:paraId="491850E8" w14:textId="17610CFB"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c) in relazione alle procedure afferenti agli investimenti pubblici finanziati, in tutto o in parte, con le risorse previste dal </w:t>
      </w:r>
      <w:r w:rsidR="008525B3" w:rsidRPr="004A5029">
        <w:rPr>
          <w:rFonts w:ascii="Times New Roman" w:eastAsia="Calibri" w:hAnsi="Times New Roman" w:cs="Times New Roman"/>
          <w:color w:val="000000" w:themeColor="text1"/>
          <w:lang w:eastAsia="zh-CN"/>
        </w:rPr>
        <w:t>r</w:t>
      </w:r>
      <w:r w:rsidRPr="004A5029">
        <w:rPr>
          <w:rFonts w:ascii="Times New Roman" w:eastAsia="Calibri" w:hAnsi="Times New Roman" w:cs="Times New Roman"/>
          <w:color w:val="000000" w:themeColor="text1"/>
          <w:lang w:eastAsia="zh-CN"/>
        </w:rPr>
        <w:t xml:space="preserve">egolamento (UE) n. 240/2021 del Parlamento europeo e del Consiglio, del 10 febbraio 2021 e dal </w:t>
      </w:r>
      <w:r w:rsidR="008525B3" w:rsidRPr="004A5029">
        <w:rPr>
          <w:rFonts w:ascii="Times New Roman" w:eastAsia="Calibri" w:hAnsi="Times New Roman" w:cs="Times New Roman"/>
          <w:color w:val="000000" w:themeColor="text1"/>
          <w:lang w:eastAsia="zh-CN"/>
        </w:rPr>
        <w:t>r</w:t>
      </w:r>
      <w:r w:rsidRPr="004A5029">
        <w:rPr>
          <w:rFonts w:ascii="Times New Roman" w:eastAsia="Calibri" w:hAnsi="Times New Roman" w:cs="Times New Roman"/>
          <w:color w:val="000000" w:themeColor="text1"/>
          <w:lang w:eastAsia="zh-CN"/>
        </w:rPr>
        <w:t xml:space="preserve">egolamento (UE) n. 241/2021 del Parlamento europeo e del Consiglio, del 12 febbraio 2021, gli operatori economici tenuti alla redazione del rapporto sulla situazione del personale, ai sensi dell’articolo 46 del </w:t>
      </w:r>
      <w:bookmarkStart w:id="37" w:name="_Hlk127791222"/>
      <w:r w:rsidR="00E17B38" w:rsidRPr="004A5029">
        <w:rPr>
          <w:rFonts w:ascii="Times New Roman" w:hAnsi="Times New Roman" w:cs="Times New Roman"/>
          <w:b/>
          <w:bCs/>
          <w:color w:val="000000" w:themeColor="text1"/>
          <w:shd w:val="clear" w:color="auto" w:fill="FFFFFF"/>
        </w:rPr>
        <w:t>codice delle pari opportunità tra uomo e donna</w:t>
      </w:r>
      <w:r w:rsidR="0030786B" w:rsidRPr="004A5029">
        <w:rPr>
          <w:rFonts w:ascii="Times New Roman" w:eastAsia="Calibri" w:hAnsi="Times New Roman" w:cs="Times New Roman"/>
          <w:b/>
          <w:bCs/>
          <w:color w:val="000000" w:themeColor="text1"/>
        </w:rPr>
        <w:t>,</w:t>
      </w:r>
      <w:r w:rsidR="00E17B38" w:rsidRPr="004A5029">
        <w:rPr>
          <w:rFonts w:ascii="Times New Roman" w:eastAsia="Calibri" w:hAnsi="Times New Roman" w:cs="Times New Roman"/>
          <w:b/>
          <w:bCs/>
          <w:color w:val="000000" w:themeColor="text1"/>
          <w:lang w:eastAsia="zh-CN"/>
        </w:rPr>
        <w:t xml:space="preserve"> di cui al</w:t>
      </w:r>
      <w:bookmarkEnd w:id="37"/>
      <w:r w:rsidR="00E17B38"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decreto legislativo 11 aprile 2006, n. 198</w:t>
      </w:r>
      <w:r w:rsidR="009D4957" w:rsidRPr="004A5029">
        <w:rPr>
          <w:rFonts w:ascii="Times New Roman" w:eastAsia="Calibri" w:hAnsi="Times New Roman" w:cs="Times New Roman"/>
          <w:b/>
          <w:bCs/>
          <w:color w:val="000000" w:themeColor="text1"/>
          <w:lang w:eastAsia="zh-CN"/>
        </w:rPr>
        <w:t>,</w:t>
      </w:r>
      <w:r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rPr>
        <w:t>che non abbiano prodotto</w:t>
      </w:r>
      <w:r w:rsidRPr="004A5029">
        <w:rPr>
          <w:rFonts w:ascii="Times New Roman" w:eastAsia="Calibri" w:hAnsi="Times New Roman" w:cs="Times New Roman"/>
          <w:color w:val="000000" w:themeColor="text1"/>
          <w:lang w:eastAsia="zh-CN"/>
        </w:rPr>
        <w:t>,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w:t>
      </w:r>
      <w:r w:rsidR="008525B3" w:rsidRPr="004A5029">
        <w:rPr>
          <w:rFonts w:ascii="Times New Roman" w:eastAsia="Calibri" w:hAnsi="Times New Roman" w:cs="Times New Roman"/>
          <w:color w:val="000000" w:themeColor="text1"/>
          <w:lang w:eastAsia="zh-CN"/>
        </w:rPr>
        <w:t xml:space="preserve"> 2</w:t>
      </w:r>
      <w:r w:rsidRPr="004A5029">
        <w:rPr>
          <w:rFonts w:ascii="Times New Roman" w:eastAsia="Calibri" w:hAnsi="Times New Roman" w:cs="Times New Roman"/>
          <w:color w:val="000000" w:themeColor="text1"/>
          <w:lang w:eastAsia="zh-CN"/>
        </w:rPr>
        <w:t xml:space="preserve"> del citato articolo 46, oppure, in caso di inosservanza dei termini previsti dal comma 1 del medesimo articolo 46, con attestazione della sua contestuale trasmissione alle rappresentanze sindacali aziendali e alla consigliera e al consigliere regionale di parità;</w:t>
      </w:r>
    </w:p>
    <w:p w14:paraId="3EAA547B" w14:textId="013BC65D" w:rsidR="00446F27" w:rsidRPr="004A5029" w:rsidRDefault="00446F27" w:rsidP="00054484">
      <w:pPr>
        <w:jc w:val="both"/>
        <w:rPr>
          <w:rFonts w:ascii="Times New Roman" w:eastAsia="Calibri" w:hAnsi="Times New Roman" w:cs="Times New Roman"/>
          <w:strike/>
          <w:color w:val="000000" w:themeColor="text1"/>
          <w:lang w:eastAsia="zh-CN"/>
        </w:rPr>
      </w:pPr>
      <w:r w:rsidRPr="004A5029">
        <w:rPr>
          <w:rFonts w:ascii="Times New Roman" w:eastAsia="Calibri" w:hAnsi="Times New Roman" w:cs="Times New Roman"/>
          <w:color w:val="000000" w:themeColor="text1"/>
          <w:lang w:eastAsia="zh-CN"/>
        </w:rPr>
        <w:t xml:space="preserve">d) l'operatore economico che sia stato sottoposto a liquidazione giudiziale o si trovi in stato di liquidazione coatta o di concordato preventivo o nei cui confronti sia in corso un procedimento per </w:t>
      </w:r>
      <w:r w:rsidR="005A0EA5" w:rsidRPr="004A5029">
        <w:rPr>
          <w:rFonts w:ascii="Times New Roman" w:eastAsia="Calibri" w:hAnsi="Times New Roman" w:cs="Times New Roman"/>
          <w:bCs/>
          <w:color w:val="000000" w:themeColor="text1"/>
          <w:lang w:eastAsia="zh-CN"/>
        </w:rPr>
        <w:t>l’accesso a una di tali procedure,</w:t>
      </w:r>
      <w:r w:rsidR="005A0EA5" w:rsidRPr="004A5029">
        <w:rPr>
          <w:rFonts w:ascii="Times New Roman" w:eastAsia="Calibri" w:hAnsi="Times New Roman" w:cs="Times New Roman"/>
          <w:b/>
          <w:color w:val="000000" w:themeColor="text1"/>
          <w:lang w:eastAsia="zh-CN"/>
        </w:rPr>
        <w:t xml:space="preserve"> </w:t>
      </w:r>
      <w:r w:rsidRPr="004A5029">
        <w:rPr>
          <w:rFonts w:ascii="Times New Roman" w:eastAsia="Calibri" w:hAnsi="Times New Roman" w:cs="Times New Roman"/>
          <w:color w:val="000000" w:themeColor="text1"/>
          <w:lang w:eastAsia="zh-CN"/>
        </w:rPr>
        <w:t>fermo restando quanto previsto da</w:t>
      </w:r>
      <w:r w:rsidR="008525B3" w:rsidRPr="004A5029">
        <w:rPr>
          <w:rFonts w:ascii="Times New Roman" w:eastAsia="Calibri" w:hAnsi="Times New Roman" w:cs="Times New Roman"/>
          <w:color w:val="000000" w:themeColor="text1"/>
          <w:lang w:eastAsia="zh-CN"/>
        </w:rPr>
        <w:t>ll</w:t>
      </w:r>
      <w:r w:rsidRPr="004A5029">
        <w:rPr>
          <w:rFonts w:ascii="Times New Roman" w:eastAsia="Calibri" w:hAnsi="Times New Roman" w:cs="Times New Roman"/>
          <w:color w:val="000000" w:themeColor="text1"/>
          <w:lang w:eastAsia="zh-CN"/>
        </w:rPr>
        <w:t>’articolo 95 del codice della crisi di impresa e dell'insolvenza</w:t>
      </w:r>
      <w:r w:rsidR="0030786B" w:rsidRPr="004A5029">
        <w:rPr>
          <w:rFonts w:ascii="Times New Roman" w:eastAsia="Calibri" w:hAnsi="Times New Roman" w:cs="Times New Roman"/>
          <w:color w:val="000000" w:themeColor="text1"/>
        </w:rPr>
        <w:t>,</w:t>
      </w:r>
      <w:r w:rsidRPr="004A5029">
        <w:rPr>
          <w:rFonts w:ascii="Times New Roman" w:eastAsia="Calibri" w:hAnsi="Times New Roman" w:cs="Times New Roman"/>
          <w:color w:val="000000" w:themeColor="text1"/>
          <w:lang w:eastAsia="zh-CN"/>
        </w:rPr>
        <w:t xml:space="preserve"> </w:t>
      </w:r>
      <w:r w:rsidR="008525B3" w:rsidRPr="004A5029">
        <w:rPr>
          <w:rFonts w:ascii="Times New Roman" w:eastAsia="Calibri" w:hAnsi="Times New Roman" w:cs="Times New Roman"/>
          <w:color w:val="000000" w:themeColor="text1"/>
          <w:lang w:eastAsia="zh-CN"/>
        </w:rPr>
        <w:t>di cui al decreto legislativo 12 gennaio 2019, n. 14</w:t>
      </w:r>
      <w:r w:rsidRPr="004A5029">
        <w:rPr>
          <w:rFonts w:ascii="Times New Roman" w:eastAsia="Calibri" w:hAnsi="Times New Roman" w:cs="Times New Roman"/>
          <w:color w:val="000000" w:themeColor="text1"/>
          <w:lang w:eastAsia="zh-CN"/>
        </w:rPr>
        <w:t>, dall’articolo 186-</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comma 5, del regio decreto </w:t>
      </w:r>
      <w:r w:rsidR="00F90495" w:rsidRPr="004A5029">
        <w:rPr>
          <w:rFonts w:ascii="Times New Roman" w:eastAsia="Calibri" w:hAnsi="Times New Roman" w:cs="Times New Roman"/>
          <w:bCs/>
          <w:color w:val="000000" w:themeColor="text1"/>
        </w:rPr>
        <w:t>16 marzo 1942, n. 267</w:t>
      </w:r>
      <w:r w:rsidRPr="004A5029">
        <w:rPr>
          <w:rFonts w:ascii="Times New Roman" w:eastAsia="Calibri" w:hAnsi="Times New Roman" w:cs="Times New Roman"/>
          <w:color w:val="000000" w:themeColor="text1"/>
          <w:lang w:eastAsia="zh-CN"/>
        </w:rPr>
        <w:t xml:space="preserve"> e dall'articolo 124 del presente codice. </w:t>
      </w:r>
      <w:r w:rsidRPr="004A5029">
        <w:rPr>
          <w:rFonts w:ascii="Times New Roman" w:eastAsia="Times New Roman" w:hAnsi="Times New Roman" w:cs="Times New Roman"/>
          <w:color w:val="000000" w:themeColor="text1"/>
          <w:lang w:eastAsia="it-IT"/>
        </w:rPr>
        <w:t>L’esclusione non opera se, entro la data dell’aggiudicazione, sono stati adottati i provvedimenti di cui all’articolo 186-</w:t>
      </w:r>
      <w:r w:rsidRPr="004A5029">
        <w:rPr>
          <w:rFonts w:ascii="Times New Roman" w:eastAsia="Times New Roman" w:hAnsi="Times New Roman" w:cs="Times New Roman"/>
          <w:i/>
          <w:iCs/>
          <w:color w:val="000000" w:themeColor="text1"/>
          <w:lang w:eastAsia="it-IT"/>
        </w:rPr>
        <w:t>bis</w:t>
      </w:r>
      <w:r w:rsidRPr="004A5029">
        <w:rPr>
          <w:rFonts w:ascii="Times New Roman" w:eastAsia="Times New Roman" w:hAnsi="Times New Roman" w:cs="Times New Roman"/>
          <w:color w:val="000000" w:themeColor="text1"/>
          <w:lang w:eastAsia="it-IT"/>
        </w:rPr>
        <w:t xml:space="preserve">, comma 4, del regio decreto n. 267 del 1942 e </w:t>
      </w:r>
      <w:r w:rsidRPr="004A5029">
        <w:rPr>
          <w:rFonts w:ascii="Times New Roman" w:eastAsia="Times New Roman" w:hAnsi="Times New Roman" w:cs="Times New Roman"/>
          <w:b/>
          <w:bCs/>
          <w:strike/>
          <w:color w:val="000000" w:themeColor="text1"/>
          <w:lang w:eastAsia="it-IT"/>
        </w:rPr>
        <w:t>dell’</w:t>
      </w:r>
      <w:r w:rsidR="009D4957" w:rsidRPr="004A5029">
        <w:rPr>
          <w:rFonts w:ascii="Times New Roman" w:eastAsia="Times New Roman" w:hAnsi="Times New Roman" w:cs="Times New Roman"/>
          <w:b/>
          <w:bCs/>
          <w:color w:val="000000" w:themeColor="text1"/>
          <w:lang w:eastAsia="it-IT"/>
        </w:rPr>
        <w:t xml:space="preserve"> all’</w:t>
      </w:r>
      <w:r w:rsidRPr="004A5029">
        <w:rPr>
          <w:rFonts w:ascii="Times New Roman" w:eastAsia="Times New Roman" w:hAnsi="Times New Roman" w:cs="Times New Roman"/>
          <w:color w:val="000000" w:themeColor="text1"/>
          <w:lang w:eastAsia="it-IT"/>
        </w:rPr>
        <w:t xml:space="preserve">articolo 95, commi 3 e 4, </w:t>
      </w:r>
      <w:r w:rsidRPr="004A5029">
        <w:rPr>
          <w:rFonts w:ascii="Times New Roman" w:eastAsia="Calibri" w:hAnsi="Times New Roman" w:cs="Times New Roman"/>
          <w:color w:val="000000" w:themeColor="text1"/>
          <w:lang w:eastAsia="zh-CN"/>
        </w:rPr>
        <w:t xml:space="preserve">del codice </w:t>
      </w:r>
      <w:r w:rsidRPr="004A5029">
        <w:rPr>
          <w:rFonts w:ascii="Times New Roman" w:eastAsia="Calibri" w:hAnsi="Times New Roman" w:cs="Times New Roman"/>
          <w:b/>
          <w:bCs/>
          <w:strike/>
          <w:color w:val="000000" w:themeColor="text1"/>
          <w:lang w:eastAsia="zh-CN"/>
        </w:rPr>
        <w:t>della crisi di impresa e dell'insolvenza</w:t>
      </w:r>
      <w:r w:rsidR="00AD4F72" w:rsidRPr="004A5029">
        <w:rPr>
          <w:rFonts w:ascii="Times New Roman" w:eastAsia="Calibri" w:hAnsi="Times New Roman" w:cs="Times New Roman"/>
          <w:b/>
          <w:bCs/>
          <w:color w:val="000000" w:themeColor="text1"/>
          <w:lang w:eastAsia="zh-CN"/>
        </w:rPr>
        <w:t xml:space="preserve"> di cui al decreto legislativo n. 14 del 2019</w:t>
      </w:r>
      <w:r w:rsidRPr="004A5029">
        <w:rPr>
          <w:rFonts w:ascii="Times New Roman" w:eastAsia="Times New Roman" w:hAnsi="Times New Roman" w:cs="Times New Roman"/>
          <w:color w:val="000000" w:themeColor="text1"/>
          <w:lang w:eastAsia="it-IT"/>
        </w:rPr>
        <w:t>, a meno che non intervengano ulteriori circostanze escludenti relative alle procedure concorsuali;</w:t>
      </w:r>
    </w:p>
    <w:p w14:paraId="28373F57" w14:textId="77777777" w:rsidR="00446F27" w:rsidRPr="004A5029" w:rsidRDefault="00446F27" w:rsidP="00446F27">
      <w:pPr>
        <w:jc w:val="both"/>
        <w:rPr>
          <w:rFonts w:ascii="Times New Roman" w:eastAsia="Calibri" w:hAnsi="Times New Roman" w:cs="Times New Roman"/>
          <w:color w:val="000000" w:themeColor="text1"/>
          <w:highlight w:val="yellow"/>
          <w:lang w:eastAsia="zh-CN"/>
        </w:rPr>
      </w:pPr>
      <w:r w:rsidRPr="004A5029">
        <w:rPr>
          <w:rFonts w:ascii="Times New Roman" w:eastAsia="Calibri" w:hAnsi="Times New Roman" w:cs="Times New Roman"/>
          <w:color w:val="000000" w:themeColor="text1"/>
          <w:lang w:eastAsia="zh-CN"/>
        </w:rPr>
        <w:t>e) l'operatore economico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1A7665E8" w14:textId="77777777" w:rsidR="00446F27" w:rsidRPr="004A5029" w:rsidRDefault="00446F27" w:rsidP="00446F27">
      <w:pPr>
        <w:jc w:val="both"/>
        <w:rPr>
          <w:rFonts w:ascii="Times New Roman" w:eastAsia="Calibri" w:hAnsi="Times New Roman" w:cs="Times New Roman"/>
          <w:color w:val="000000" w:themeColor="text1"/>
          <w:highlight w:val="yellow"/>
          <w:lang w:eastAsia="zh-CN"/>
        </w:rPr>
      </w:pPr>
      <w:r w:rsidRPr="004A5029">
        <w:rPr>
          <w:rFonts w:ascii="Times New Roman" w:eastAsia="Calibri" w:hAnsi="Times New Roman" w:cs="Times New Roman"/>
          <w:color w:val="000000" w:themeColor="text1"/>
          <w:lang w:eastAsia="zh-CN"/>
        </w:rPr>
        <w:t>f) l'operatore economico iscritto nel casellario informatico tenuto dall'ANAC per aver presentato false dichiarazioni o falsa documentazione ai fini del rilascio dell'attestazione di qualificazione, per il periodo durante il quale perdura l'iscrizione.</w:t>
      </w:r>
    </w:p>
    <w:p w14:paraId="67AF2402"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6</w:t>
      </w:r>
      <w:r w:rsidRPr="004A5029">
        <w:rPr>
          <w:rFonts w:ascii="Times New Roman" w:eastAsia="Calibri" w:hAnsi="Times New Roman" w:cs="Times New Roman"/>
          <w:bCs/>
          <w:color w:val="000000" w:themeColor="text1"/>
          <w:lang w:eastAsia="zh-CN"/>
        </w:rPr>
        <w:t>. È inoltre escluso l’operatore economico</w:t>
      </w:r>
      <w:r w:rsidRPr="004A5029">
        <w:rPr>
          <w:rFonts w:ascii="Times New Roman" w:eastAsia="Calibri" w:hAnsi="Times New Roman" w:cs="Times New Roman"/>
          <w:color w:val="000000" w:themeColor="text1"/>
          <w:lang w:eastAsia="zh-CN"/>
        </w:rPr>
        <w:t xml:space="preserve"> che ha commesso violazioni gravi, definitivamente accertate, degli obblighi relativi al pagamento delle imposte e tasse o dei contributi previdenziali, secondo la legislazione italiana o quella dello Stato in cui sono stabiliti. Costituiscono gravi violazioni definitivamente accertate quelle indicate nell’allegato </w:t>
      </w:r>
      <w:r w:rsidRPr="004A5029">
        <w:rPr>
          <w:rFonts w:ascii="Times New Roman" w:eastAsia="Calibri" w:hAnsi="Times New Roman" w:cs="Times New Roman"/>
          <w:bCs/>
          <w:color w:val="000000" w:themeColor="text1"/>
          <w:lang w:eastAsia="zh-CN"/>
        </w:rPr>
        <w:t>II.10</w:t>
      </w:r>
      <w:r w:rsidRPr="004A5029">
        <w:rPr>
          <w:rFonts w:ascii="Times New Roman" w:eastAsia="Calibri" w:hAnsi="Times New Roman" w:cs="Times New Roman"/>
          <w:color w:val="000000" w:themeColor="text1"/>
          <w:lang w:eastAsia="zh-CN"/>
        </w:rPr>
        <w:t>.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p w14:paraId="3AA9F37D" w14:textId="554B60AF" w:rsidR="00446F27" w:rsidRPr="004A5029" w:rsidRDefault="00F6070C"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7.</w:t>
      </w:r>
      <w:r w:rsidR="00446F27" w:rsidRPr="004A5029">
        <w:rPr>
          <w:rFonts w:ascii="Times New Roman" w:eastAsia="Calibri" w:hAnsi="Times New Roman" w:cs="Times New Roman"/>
          <w:color w:val="000000" w:themeColor="text1"/>
          <w:lang w:eastAsia="zh-CN"/>
        </w:rPr>
        <w:t xml:space="preserve"> L’esclusione non è disposta e il divieto di aggiudicare non si applica quando il reato è stato depenalizzato oppure quando è intervenuta la riabilitazione oppure, nei casi di condanna ad una pena accessoria perpetua, quando questa è stata dichiarata estinta ai sensi dell’</w:t>
      </w:r>
      <w:hyperlink r:id="rId24" w:anchor="179" w:history="1">
        <w:r w:rsidR="00446F27" w:rsidRPr="004A5029">
          <w:rPr>
            <w:rFonts w:ascii="Times New Roman" w:eastAsia="Calibri" w:hAnsi="Times New Roman" w:cs="Times New Roman"/>
            <w:color w:val="000000" w:themeColor="text1"/>
            <w:lang w:eastAsia="zh-CN"/>
          </w:rPr>
          <w:t>articolo 179, settimo comma, del codice penale</w:t>
        </w:r>
      </w:hyperlink>
      <w:r w:rsidR="00446F27" w:rsidRPr="004A5029">
        <w:rPr>
          <w:rFonts w:ascii="Times New Roman" w:eastAsia="Calibri" w:hAnsi="Times New Roman" w:cs="Times New Roman"/>
          <w:color w:val="000000" w:themeColor="text1"/>
          <w:lang w:eastAsia="zh-CN"/>
        </w:rPr>
        <w:t>, oppure quando il reato è stato dichiarato estinto dopo la condanna oppure in caso di revoca della condanna medesima.</w:t>
      </w:r>
    </w:p>
    <w:p w14:paraId="698536F5" w14:textId="77777777" w:rsidR="00446F27" w:rsidRPr="004A5029" w:rsidRDefault="00446F27" w:rsidP="00446F27">
      <w:pPr>
        <w:rPr>
          <w:rFonts w:ascii="Times New Roman" w:eastAsia="SimSun" w:hAnsi="Times New Roman" w:cs="Times New Roman"/>
          <w:color w:val="000000" w:themeColor="text1"/>
          <w:lang w:eastAsia="zh-CN"/>
        </w:rPr>
      </w:pPr>
    </w:p>
    <w:p w14:paraId="4BB7D781" w14:textId="77777777" w:rsidR="00446F27" w:rsidRPr="004A5029" w:rsidRDefault="00446F27" w:rsidP="00446F27">
      <w:pPr>
        <w:jc w:val="both"/>
        <w:rPr>
          <w:rFonts w:ascii="Times New Roman" w:eastAsia="Calibri" w:hAnsi="Times New Roman" w:cs="Times New Roman"/>
          <w:b/>
          <w:color w:val="000000" w:themeColor="text1"/>
          <w:lang w:eastAsia="zh-CN"/>
        </w:rPr>
      </w:pPr>
      <w:r w:rsidRPr="004A5029">
        <w:rPr>
          <w:rFonts w:ascii="Times New Roman" w:eastAsia="Calibri" w:hAnsi="Times New Roman" w:cs="Times New Roman"/>
          <w:b/>
          <w:color w:val="000000" w:themeColor="text1"/>
          <w:lang w:eastAsia="zh-CN"/>
        </w:rPr>
        <w:t>Articolo 95.</w:t>
      </w:r>
    </w:p>
    <w:p w14:paraId="25CDE71D"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i/>
          <w:iCs/>
          <w:color w:val="000000" w:themeColor="text1"/>
          <w:lang w:eastAsia="zh-CN"/>
        </w:rPr>
        <w:t>Cause di esclusione non automatica.</w:t>
      </w:r>
    </w:p>
    <w:p w14:paraId="575F8D91"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1. La stazione appaltante esclude dalla partecipazione alla procedura un operatore economico qualora accerti:</w:t>
      </w:r>
    </w:p>
    <w:p w14:paraId="4EF4F0C6"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a) </w:t>
      </w:r>
      <w:r w:rsidRPr="004A5029">
        <w:rPr>
          <w:rFonts w:ascii="Times New Roman" w:eastAsia="Calibri" w:hAnsi="Times New Roman" w:cs="Times New Roman"/>
          <w:bCs/>
          <w:color w:val="000000" w:themeColor="text1"/>
          <w:lang w:eastAsia="zh-CN"/>
        </w:rPr>
        <w:t>sussistere</w:t>
      </w:r>
      <w:r w:rsidRPr="004A5029">
        <w:rPr>
          <w:rFonts w:ascii="Times New Roman" w:eastAsia="Calibri" w:hAnsi="Times New Roman" w:cs="Times New Roman"/>
          <w:color w:val="000000" w:themeColor="text1"/>
          <w:lang w:eastAsia="zh-CN"/>
        </w:rPr>
        <w:t xml:space="preserve"> gravi infrazioni, debitamente accertate </w:t>
      </w:r>
      <w:r w:rsidRPr="004A5029">
        <w:rPr>
          <w:rFonts w:ascii="Times New Roman" w:eastAsia="Calibri" w:hAnsi="Times New Roman" w:cs="Times New Roman"/>
          <w:bCs/>
          <w:color w:val="000000" w:themeColor="text1"/>
          <w:lang w:eastAsia="zh-CN"/>
        </w:rPr>
        <w:t>con qualunque mezzo adeguato</w:t>
      </w:r>
      <w:r w:rsidRPr="004A5029">
        <w:rPr>
          <w:rFonts w:ascii="Times New Roman" w:eastAsia="Calibri" w:hAnsi="Times New Roman" w:cs="Times New Roman"/>
          <w:color w:val="000000" w:themeColor="text1"/>
          <w:lang w:eastAsia="zh-CN"/>
        </w:rPr>
        <w:t>,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5D446518" w14:textId="77777777" w:rsidR="00446F27" w:rsidRPr="004A5029" w:rsidRDefault="00446F27" w:rsidP="00446F27">
      <w:pPr>
        <w:jc w:val="both"/>
        <w:rPr>
          <w:rFonts w:ascii="Times New Roman" w:eastAsia="Calibri" w:hAnsi="Times New Roman" w:cs="Times New Roman"/>
          <w:strike/>
          <w:color w:val="000000" w:themeColor="text1"/>
          <w:lang w:eastAsia="zh-CN"/>
        </w:rPr>
      </w:pPr>
      <w:r w:rsidRPr="004A5029">
        <w:rPr>
          <w:rFonts w:ascii="Times New Roman" w:eastAsia="Calibri" w:hAnsi="Times New Roman" w:cs="Times New Roman"/>
          <w:color w:val="000000" w:themeColor="text1"/>
          <w:lang w:eastAsia="zh-CN"/>
        </w:rPr>
        <w:t>b) che la partecipazione dell'operatore economico determini una situazione di conflitto di interesse di cui all’articolo 16 non diversamente risolvibile;</w:t>
      </w:r>
    </w:p>
    <w:p w14:paraId="6839DEE8"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c) sussistere una distorsione della concorrenza derivante dal precedente coinvolgimento degli operatori economici nella preparazione della procedura d'appalto che non possa essere risolta con misure meno intrusive;</w:t>
      </w:r>
    </w:p>
    <w:p w14:paraId="405FC3A7"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bCs/>
          <w:color w:val="000000" w:themeColor="text1"/>
          <w:lang w:eastAsia="zh-CN"/>
        </w:rPr>
        <w:t>d) sussistere rilevanti indizi tali da far ritenere che le offerte degli operatori economici siano imputabili ad un unico centro decisionale a cagione di accordi intercorsi con altri operatori economici partecipanti alla stessa gara;</w:t>
      </w:r>
    </w:p>
    <w:p w14:paraId="3C98CF64" w14:textId="77777777" w:rsidR="00446F27" w:rsidRPr="004A5029" w:rsidRDefault="00446F27" w:rsidP="00446F27">
      <w:pPr>
        <w:jc w:val="both"/>
        <w:rPr>
          <w:rFonts w:ascii="Times New Roman" w:eastAsia="Calibri" w:hAnsi="Times New Roman" w:cs="Times New Roman"/>
          <w:bCs/>
          <w:color w:val="000000" w:themeColor="text1"/>
          <w:lang w:eastAsia="zh-CN"/>
        </w:rPr>
      </w:pPr>
      <w:r w:rsidRPr="004A5029">
        <w:rPr>
          <w:rFonts w:ascii="Times New Roman" w:eastAsia="Calibri" w:hAnsi="Times New Roman" w:cs="Times New Roman"/>
          <w:bCs/>
          <w:color w:val="000000" w:themeColor="text1"/>
          <w:lang w:eastAsia="zh-CN"/>
        </w:rPr>
        <w:t>e) che l’offerente abbia commesso un illecito professionale grave, tale da rendere dubbia la sua integrità o affidabilità, dimostrato dalla stazione appaltante con mezzi adeguati. All’articolo 98 sono indicati, in modo tassativo, i gravi illeciti professionali, nonché i mezzi adeguati a dimostrare i medesimi.</w:t>
      </w:r>
    </w:p>
    <w:p w14:paraId="151DA63B" w14:textId="1D8C7752"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2. </w:t>
      </w:r>
      <w:r w:rsidRPr="004A5029">
        <w:rPr>
          <w:rFonts w:ascii="Times New Roman" w:eastAsia="Calibri" w:hAnsi="Times New Roman" w:cs="Times New Roman"/>
          <w:bCs/>
          <w:color w:val="000000" w:themeColor="text1"/>
          <w:lang w:eastAsia="zh-CN"/>
        </w:rPr>
        <w:t>La stazione appaltante esclude altresì</w:t>
      </w:r>
      <w:r w:rsidRPr="004A5029">
        <w:rPr>
          <w:rFonts w:ascii="Times New Roman" w:eastAsia="Calibri" w:hAnsi="Times New Roman" w:cs="Times New Roman"/>
          <w:color w:val="000000" w:themeColor="text1"/>
          <w:lang w:eastAsia="zh-CN"/>
        </w:rPr>
        <w:t xml:space="preserve"> un operatore economico qualora </w:t>
      </w:r>
      <w:r w:rsidRPr="004A5029">
        <w:rPr>
          <w:rFonts w:ascii="Times New Roman" w:eastAsia="Calibri" w:hAnsi="Times New Roman" w:cs="Times New Roman"/>
          <w:bCs/>
          <w:color w:val="000000" w:themeColor="text1"/>
          <w:lang w:eastAsia="zh-CN"/>
        </w:rPr>
        <w:t xml:space="preserve">ritenga, </w:t>
      </w:r>
      <w:r w:rsidRPr="004A5029">
        <w:rPr>
          <w:rFonts w:ascii="Times New Roman" w:eastAsia="Calibri" w:hAnsi="Times New Roman" w:cs="Times New Roman"/>
          <w:b/>
          <w:strike/>
          <w:color w:val="000000" w:themeColor="text1"/>
          <w:lang w:eastAsia="zh-CN"/>
        </w:rPr>
        <w:t>sulla base di qualunque mezzo di prova adeguato,</w:t>
      </w:r>
      <w:r w:rsidRPr="004A5029">
        <w:rPr>
          <w:rFonts w:ascii="Times New Roman" w:eastAsia="Calibri" w:hAnsi="Times New Roman" w:cs="Times New Roman"/>
          <w:bCs/>
          <w:color w:val="000000" w:themeColor="text1"/>
          <w:lang w:eastAsia="zh-CN"/>
        </w:rPr>
        <w:t xml:space="preserve"> </w:t>
      </w:r>
      <w:r w:rsidRPr="004A5029">
        <w:rPr>
          <w:rFonts w:ascii="Times New Roman" w:eastAsia="Calibri" w:hAnsi="Times New Roman" w:cs="Times New Roman"/>
          <w:color w:val="000000" w:themeColor="text1"/>
          <w:lang w:eastAsia="zh-CN"/>
        </w:rPr>
        <w:t>che lo stesso ha</w:t>
      </w:r>
      <w:r w:rsidR="00660E72"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commesso gravi violazioni non definitivamente accertate agli obblighi relativi al pagamento di imposte e tasse o contributi previdenziali. </w:t>
      </w:r>
      <w:r w:rsidRPr="004A5029">
        <w:rPr>
          <w:rFonts w:ascii="Times New Roman" w:eastAsia="Calibri" w:hAnsi="Times New Roman" w:cs="Times New Roman"/>
          <w:bCs/>
          <w:color w:val="000000" w:themeColor="text1"/>
          <w:lang w:eastAsia="zh-CN"/>
        </w:rPr>
        <w:t>Costituiscono gravi violazioni non definitivamente accertate in materia fiscale quelle indicate nell’allegato II.10.</w:t>
      </w:r>
      <w:r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bCs/>
          <w:color w:val="000000" w:themeColor="text1"/>
          <w:lang w:eastAsia="zh-CN"/>
        </w:rPr>
        <w:t xml:space="preserve">La gravità va in ogni caso valutata anche tenendo conto </w:t>
      </w:r>
      <w:r w:rsidRPr="004A5029">
        <w:rPr>
          <w:rFonts w:ascii="Times New Roman" w:eastAsia="Calibri" w:hAnsi="Times New Roman" w:cs="Times New Roman"/>
          <w:color w:val="000000" w:themeColor="text1"/>
          <w:lang w:eastAsia="zh-CN"/>
        </w:rPr>
        <w:t>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r w:rsidR="00A06565" w:rsidRPr="004A5029">
        <w:rPr>
          <w:rFonts w:ascii="Times New Roman" w:eastAsia="Calibri" w:hAnsi="Times New Roman" w:cs="Times New Roman"/>
          <w:color w:val="000000" w:themeColor="text1"/>
          <w:lang w:eastAsia="zh-CN"/>
        </w:rPr>
        <w:t xml:space="preserve">, </w:t>
      </w:r>
      <w:r w:rsidR="00A06565" w:rsidRPr="004A5029">
        <w:rPr>
          <w:rFonts w:ascii="Times New Roman" w:hAnsi="Times New Roman" w:cs="Times New Roman"/>
          <w:b/>
          <w:bCs/>
          <w:color w:val="000000" w:themeColor="text1"/>
        </w:rPr>
        <w:t xml:space="preserve">oppure nel caso in cui l’operatore </w:t>
      </w:r>
      <w:r w:rsidR="009803AF" w:rsidRPr="00BD54D8">
        <w:rPr>
          <w:rFonts w:ascii="Times New Roman" w:hAnsi="Times New Roman" w:cs="Times New Roman"/>
          <w:b/>
          <w:bCs/>
        </w:rPr>
        <w:t>economico</w:t>
      </w:r>
      <w:r w:rsidR="009803AF" w:rsidRPr="00BD54D8">
        <w:rPr>
          <w:rFonts w:ascii="Times New Roman" w:hAnsi="Times New Roman" w:cs="Times New Roman"/>
          <w:b/>
          <w:bCs/>
          <w:color w:val="000000" w:themeColor="text1"/>
        </w:rPr>
        <w:t xml:space="preserve"> </w:t>
      </w:r>
      <w:r w:rsidR="00A06565" w:rsidRPr="00BD54D8">
        <w:rPr>
          <w:rFonts w:ascii="Times New Roman" w:hAnsi="Times New Roman" w:cs="Times New Roman"/>
          <w:b/>
          <w:bCs/>
          <w:color w:val="000000" w:themeColor="text1"/>
        </w:rPr>
        <w:t>abb</w:t>
      </w:r>
      <w:r w:rsidR="00A06565" w:rsidRPr="004A5029">
        <w:rPr>
          <w:rFonts w:ascii="Times New Roman" w:hAnsi="Times New Roman" w:cs="Times New Roman"/>
          <w:b/>
          <w:bCs/>
          <w:color w:val="000000" w:themeColor="text1"/>
        </w:rPr>
        <w:t xml:space="preserve">ia </w:t>
      </w:r>
      <w:r w:rsidR="00D97357" w:rsidRPr="004A5029">
        <w:rPr>
          <w:rFonts w:ascii="Times New Roman" w:hAnsi="Times New Roman" w:cs="Times New Roman"/>
          <w:b/>
          <w:bCs/>
          <w:color w:val="000000" w:themeColor="text1"/>
        </w:rPr>
        <w:t xml:space="preserve">compensato il </w:t>
      </w:r>
      <w:r w:rsidR="00A06565" w:rsidRPr="004A5029">
        <w:rPr>
          <w:rFonts w:ascii="Times New Roman" w:hAnsi="Times New Roman" w:cs="Times New Roman"/>
          <w:b/>
          <w:bCs/>
          <w:color w:val="000000" w:themeColor="text1"/>
        </w:rPr>
        <w:t>debito tributario con</w:t>
      </w:r>
      <w:r w:rsidR="00DC74FC" w:rsidRPr="004A5029">
        <w:rPr>
          <w:rFonts w:ascii="Times New Roman" w:hAnsi="Times New Roman" w:cs="Times New Roman"/>
          <w:b/>
          <w:bCs/>
          <w:color w:val="000000" w:themeColor="text1"/>
        </w:rPr>
        <w:t xml:space="preserve"> </w:t>
      </w:r>
      <w:r w:rsidR="00A06565" w:rsidRPr="004A5029">
        <w:rPr>
          <w:rFonts w:ascii="Times New Roman" w:hAnsi="Times New Roman" w:cs="Times New Roman"/>
          <w:b/>
          <w:bCs/>
          <w:color w:val="000000" w:themeColor="text1"/>
        </w:rPr>
        <w:t>crediti certificati vantati nei confronti della pubblica amministrazione</w:t>
      </w:r>
      <w:r w:rsidR="00A06565" w:rsidRPr="004A5029">
        <w:rPr>
          <w:rFonts w:ascii="Times New Roman" w:hAnsi="Times New Roman" w:cs="Times New Roman"/>
          <w:color w:val="000000" w:themeColor="text1"/>
        </w:rPr>
        <w:t>.</w:t>
      </w:r>
    </w:p>
    <w:p w14:paraId="02C0375E" w14:textId="4736ACDF" w:rsidR="00446F27" w:rsidRPr="004A5029" w:rsidRDefault="00446F27" w:rsidP="00446F27">
      <w:pPr>
        <w:jc w:val="both"/>
        <w:rPr>
          <w:rFonts w:ascii="Times New Roman" w:eastAsia="Calibri" w:hAnsi="Times New Roman" w:cs="Times New Roman"/>
          <w:bCs/>
          <w:color w:val="000000" w:themeColor="text1"/>
          <w:lang w:eastAsia="zh-CN"/>
        </w:rPr>
      </w:pPr>
      <w:r w:rsidRPr="004A5029">
        <w:rPr>
          <w:rFonts w:ascii="Times New Roman" w:eastAsia="Calibri" w:hAnsi="Times New Roman" w:cs="Times New Roman"/>
          <w:bCs/>
          <w:color w:val="000000" w:themeColor="text1"/>
          <w:lang w:eastAsia="zh-CN"/>
        </w:rPr>
        <w:t>3. Con riferimento alle fattispecie di cui al comma</w:t>
      </w:r>
      <w:r w:rsidR="0094791B" w:rsidRPr="0094791B">
        <w:rPr>
          <w:rFonts w:ascii="Times New Roman" w:eastAsia="Calibri" w:hAnsi="Times New Roman" w:cs="Times New Roman"/>
          <w:b/>
          <w:color w:val="000000" w:themeColor="text1"/>
          <w:lang w:eastAsia="zh-CN"/>
        </w:rPr>
        <w:t xml:space="preserve"> 3</w:t>
      </w:r>
      <w:r w:rsidR="00324968">
        <w:rPr>
          <w:rFonts w:ascii="Times New Roman" w:eastAsia="Calibri" w:hAnsi="Times New Roman" w:cs="Times New Roman"/>
          <w:bCs/>
          <w:color w:val="000000" w:themeColor="text1"/>
          <w:lang w:eastAsia="zh-CN"/>
        </w:rPr>
        <w:t xml:space="preserve">, </w:t>
      </w:r>
      <w:r w:rsidRPr="004A5029">
        <w:rPr>
          <w:rFonts w:ascii="Times New Roman" w:eastAsia="Calibri" w:hAnsi="Times New Roman" w:cs="Times New Roman"/>
          <w:bCs/>
          <w:color w:val="000000" w:themeColor="text1"/>
          <w:lang w:eastAsia="zh-CN"/>
        </w:rPr>
        <w:t>lettera h), dell’articolo 98, l’esclusione non è disposta e il divieto di aggiudicare non si applica quando:</w:t>
      </w:r>
    </w:p>
    <w:p w14:paraId="011D47C2" w14:textId="77777777" w:rsidR="00446F27" w:rsidRPr="004A5029" w:rsidRDefault="00446F27" w:rsidP="00446F27">
      <w:pPr>
        <w:jc w:val="both"/>
        <w:rPr>
          <w:rFonts w:ascii="Times New Roman" w:eastAsia="Calibri" w:hAnsi="Times New Roman" w:cs="Times New Roman"/>
          <w:strike/>
          <w:color w:val="000000" w:themeColor="text1"/>
          <w:lang w:eastAsia="zh-CN"/>
        </w:rPr>
      </w:pPr>
      <w:r w:rsidRPr="004A5029">
        <w:rPr>
          <w:rFonts w:ascii="Times New Roman" w:eastAsia="Calibri" w:hAnsi="Times New Roman" w:cs="Times New Roman"/>
          <w:color w:val="000000" w:themeColor="text1"/>
          <w:lang w:eastAsia="zh-CN"/>
        </w:rPr>
        <w:t xml:space="preserve">a) il reato è stato depenalizzato; </w:t>
      </w:r>
    </w:p>
    <w:p w14:paraId="7DE3A6D4"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b) è intervenuta la riabilitazione; </w:t>
      </w:r>
    </w:p>
    <w:p w14:paraId="66C34E69"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c) nei casi di condanna a una pena accessoria perpetua, questa è stata dichiarata estinta ai sensi dell’</w:t>
      </w:r>
      <w:hyperlink r:id="rId25" w:anchor="179" w:history="1">
        <w:r w:rsidRPr="004A5029">
          <w:rPr>
            <w:rFonts w:ascii="Times New Roman" w:eastAsia="Calibri" w:hAnsi="Times New Roman" w:cs="Times New Roman"/>
            <w:color w:val="000000" w:themeColor="text1"/>
            <w:lang w:eastAsia="zh-CN"/>
          </w:rPr>
          <w:t>articolo 179, settimo comma, del codice penale</w:t>
        </w:r>
      </w:hyperlink>
      <w:r w:rsidRPr="004A5029">
        <w:rPr>
          <w:rFonts w:ascii="Times New Roman" w:eastAsia="Calibri" w:hAnsi="Times New Roman" w:cs="Times New Roman"/>
          <w:color w:val="000000" w:themeColor="text1"/>
          <w:lang w:eastAsia="zh-CN"/>
        </w:rPr>
        <w:t>;</w:t>
      </w:r>
    </w:p>
    <w:p w14:paraId="0770A630"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d) il reato è stato dichiarato estinto dopo la condanna;</w:t>
      </w:r>
    </w:p>
    <w:p w14:paraId="6A477350" w14:textId="77777777" w:rsidR="00446F27" w:rsidRPr="004A5029" w:rsidRDefault="00446F27" w:rsidP="00446F27">
      <w:pPr>
        <w:jc w:val="both"/>
        <w:rPr>
          <w:rFonts w:ascii="Times New Roman" w:eastAsia="Calibri" w:hAnsi="Times New Roman" w:cs="Times New Roman"/>
          <w:strike/>
          <w:color w:val="000000" w:themeColor="text1"/>
          <w:lang w:eastAsia="zh-CN"/>
        </w:rPr>
      </w:pPr>
      <w:r w:rsidRPr="004A5029">
        <w:rPr>
          <w:rFonts w:ascii="Times New Roman" w:eastAsia="Calibri" w:hAnsi="Times New Roman" w:cs="Times New Roman"/>
          <w:color w:val="000000" w:themeColor="text1"/>
          <w:lang w:eastAsia="zh-CN"/>
        </w:rPr>
        <w:t>e) la condanna è stata revocata.</w:t>
      </w:r>
    </w:p>
    <w:p w14:paraId="7BC1BAF2" w14:textId="77777777" w:rsidR="00446F27" w:rsidRPr="004A5029" w:rsidRDefault="00446F27" w:rsidP="00446F27">
      <w:pPr>
        <w:rPr>
          <w:rFonts w:ascii="Times New Roman" w:eastAsia="SimSun" w:hAnsi="Times New Roman" w:cs="Times New Roman"/>
          <w:color w:val="000000" w:themeColor="text1"/>
          <w:lang w:eastAsia="zh-CN"/>
        </w:rPr>
      </w:pPr>
    </w:p>
    <w:p w14:paraId="64CBEDA0" w14:textId="77777777" w:rsidR="00446F27" w:rsidRPr="004A5029" w:rsidRDefault="00446F27" w:rsidP="00446F27">
      <w:pPr>
        <w:jc w:val="both"/>
        <w:rPr>
          <w:rFonts w:ascii="Times New Roman" w:eastAsia="Calibri" w:hAnsi="Times New Roman" w:cs="Times New Roman"/>
          <w:b/>
          <w:bCs/>
          <w:color w:val="000000" w:themeColor="text1"/>
          <w:lang w:eastAsia="zh-CN"/>
        </w:rPr>
      </w:pPr>
      <w:r w:rsidRPr="004A5029">
        <w:rPr>
          <w:rFonts w:ascii="Times New Roman" w:eastAsia="Calibri" w:hAnsi="Times New Roman" w:cs="Times New Roman"/>
          <w:b/>
          <w:bCs/>
          <w:color w:val="000000" w:themeColor="text1"/>
          <w:lang w:eastAsia="zh-CN"/>
        </w:rPr>
        <w:t>Articolo 96.</w:t>
      </w:r>
    </w:p>
    <w:p w14:paraId="17820C45"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i/>
          <w:color w:val="000000" w:themeColor="text1"/>
          <w:lang w:eastAsia="zh-CN"/>
        </w:rPr>
        <w:t>Disciplina dell’esclusione.</w:t>
      </w:r>
    </w:p>
    <w:p w14:paraId="58C73869" w14:textId="0AF90A26"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1. Salvo quanto previsto </w:t>
      </w:r>
      <w:r w:rsidR="00F90495" w:rsidRPr="004A5029">
        <w:rPr>
          <w:rFonts w:ascii="Times New Roman" w:eastAsia="Calibri" w:hAnsi="Times New Roman" w:cs="Times New Roman"/>
          <w:color w:val="000000" w:themeColor="text1"/>
          <w:lang w:eastAsia="zh-CN"/>
        </w:rPr>
        <w:t>d</w:t>
      </w:r>
      <w:r w:rsidRPr="004A5029">
        <w:rPr>
          <w:rFonts w:ascii="Times New Roman" w:eastAsia="Calibri" w:hAnsi="Times New Roman" w:cs="Times New Roman"/>
          <w:color w:val="000000" w:themeColor="text1"/>
          <w:lang w:eastAsia="zh-CN"/>
        </w:rPr>
        <w:t>ai commi 2, 3, 4, 5 e 6, le stazioni appaltanti escludono un operatore economico in qualunque momento della procedura d’appalto, qualora risulti che questi si trovi, a causa di atti compiuti od omessi prima o nel corso della procedura, in una delle situazioni di cui agli articoli 94 e 95.</w:t>
      </w:r>
    </w:p>
    <w:p w14:paraId="7B510F3F"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2. L’operatore economico che si trovi in una delle situazioni di cui all’articolo 94, a eccezione del comma 6, e all’articolo 95, a eccezione del comma 2, non è escluso se si sono verificate le condizioni di cui al comma 6 del presente articolo e ha adempiuto agli oneri di cui ai commi 3 o 4 del presente articolo.</w:t>
      </w:r>
    </w:p>
    <w:p w14:paraId="642E5569"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3. Se la causa di esclusione si è verificata prima della presentazione dell’offerta, l’operatore economico, contestualmente all’offerta, la comunica alla stazione appaltante e, alternativamente:</w:t>
      </w:r>
    </w:p>
    <w:p w14:paraId="07B616F3"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a) comprova di avere adottato le misure di cui al comma 6;</w:t>
      </w:r>
    </w:p>
    <w:p w14:paraId="4A85F92F"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b) comprova l’impossibilità di adottare tali misure prima della presentazione dell’offerta e successivamente ottempera ai sensi del comma 4.</w:t>
      </w:r>
    </w:p>
    <w:p w14:paraId="01157FBB"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4. Se la causa di esclusione si è verificata successivamente alla presentazione dell’offerta, l’operatore economico adotta e comunica le misure di cui al comma 6.</w:t>
      </w:r>
    </w:p>
    <w:p w14:paraId="623A7F5D"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5. In nessun caso l’aggiudicazione può subire dilazioni in ragione dell’adozione delle misure di cui al comma 6.</w:t>
      </w:r>
    </w:p>
    <w:p w14:paraId="17434843" w14:textId="5A93A874"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6. Un operatore economico che si trovi in una delle situazioni di cui all’articolo 94, a eccezione del comma 6, e all’articolo 95, a eccezione del comma 2, può fornire prova del fatto che le misure da lui adottate sono sufficienti a dimostrare la sua affidabilità. Se tali misure sono ritenute sufficienti e tempestivamente adottate, esso</w:t>
      </w:r>
      <w:r w:rsidR="00325EDE"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non è escluso dalla procedura d'appalto. A tal fine,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 Le misure adottate dagli operatori economici sono valutate considerando la gravità e le particolari circostanze del reato o dell'illecito, nonché la tempestività della loro assunzione. Se la stazione appaltante ritiene che le misure siano intempestive o insufficienti, ne comunica le ragioni all'operatore economico.</w:t>
      </w:r>
    </w:p>
    <w:p w14:paraId="06563339" w14:textId="352C1FC2"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7. Un operatore economico escluso con sentenza definitiva dalla partecipazione alle procedure di appalto o</w:t>
      </w:r>
      <w:r w:rsidR="00660E72" w:rsidRPr="004A5029">
        <w:rPr>
          <w:rFonts w:ascii="Times New Roman" w:eastAsia="Calibri" w:hAnsi="Times New Roman" w:cs="Times New Roman"/>
          <w:color w:val="000000" w:themeColor="text1"/>
          <w:lang w:eastAsia="zh-CN"/>
        </w:rPr>
        <w:t xml:space="preserve"> </w:t>
      </w:r>
      <w:r w:rsidR="00660E72" w:rsidRPr="004A5029">
        <w:rPr>
          <w:rFonts w:ascii="Times New Roman" w:eastAsia="Calibri" w:hAnsi="Times New Roman" w:cs="Times New Roman"/>
          <w:b/>
          <w:bCs/>
          <w:color w:val="000000" w:themeColor="text1"/>
          <w:lang w:eastAsia="zh-CN"/>
        </w:rPr>
        <w:t>di</w:t>
      </w:r>
      <w:r w:rsidR="00660E72"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 concessione non può avvalersi della possibilità prevista dai commi 2, 3, 4, 5 e 6 nel corso del periodo di esclusione derivante da tale sentenza.</w:t>
      </w:r>
    </w:p>
    <w:p w14:paraId="4CBA85E7"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8. Se la sentenza penale di condanna definitiva non fissa la durata della pena accessoria della incapacità di contrattare con la pubblica amministrazione, la condanna produce effetto escludente dalle procedure d’appalto:</w:t>
      </w:r>
    </w:p>
    <w:p w14:paraId="13F5B80F" w14:textId="2B000FDE"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a) in perpetuo, nei casi in cui alla condanna consegue di diritto la pena accessoria perpetua, ai sensi dell'articolo 317-</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w:t>
      </w:r>
      <w:r w:rsidR="00D76159" w:rsidRPr="00D76159">
        <w:rPr>
          <w:rFonts w:ascii="Times New Roman" w:eastAsia="Calibri" w:hAnsi="Times New Roman" w:cs="Times New Roman"/>
          <w:b/>
          <w:bCs/>
          <w:color w:val="000000" w:themeColor="text1"/>
          <w:lang w:eastAsia="zh-CN"/>
        </w:rPr>
        <w:t>primo comma</w:t>
      </w:r>
      <w:r w:rsidR="00D76159">
        <w:rPr>
          <w:rFonts w:ascii="Times New Roman" w:eastAsia="Calibri" w:hAnsi="Times New Roman" w:cs="Times New Roman"/>
          <w:color w:val="000000" w:themeColor="text1"/>
          <w:lang w:eastAsia="zh-CN"/>
        </w:rPr>
        <w:t>,</w:t>
      </w:r>
      <w:r w:rsidR="00D76159" w:rsidRPr="00D7615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primo periodo, del codice penale, salvo che la pena sia dichiarata estinta ai sensi dell'articolo 179, settimo comma, del codice penale; </w:t>
      </w:r>
    </w:p>
    <w:p w14:paraId="70B916F6" w14:textId="111B9078"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b) per un periodo pari a</w:t>
      </w:r>
      <w:r w:rsidRPr="004A5029">
        <w:rPr>
          <w:rFonts w:ascii="Times New Roman" w:eastAsia="Calibri" w:hAnsi="Times New Roman" w:cs="Times New Roman"/>
          <w:i/>
          <w:iCs/>
          <w:color w:val="000000" w:themeColor="text1"/>
          <w:lang w:eastAsia="zh-CN"/>
        </w:rPr>
        <w:t xml:space="preserve"> </w:t>
      </w:r>
      <w:r w:rsidRPr="004A5029">
        <w:rPr>
          <w:rFonts w:ascii="Times New Roman" w:eastAsia="Calibri" w:hAnsi="Times New Roman" w:cs="Times New Roman"/>
          <w:color w:val="000000" w:themeColor="text1"/>
          <w:lang w:eastAsia="zh-CN"/>
        </w:rPr>
        <w:t>sette anni nei casi previsti dall'articolo 317-</w:t>
      </w:r>
      <w:r w:rsidRPr="004A5029">
        <w:rPr>
          <w:rFonts w:ascii="Times New Roman" w:eastAsia="Calibri" w:hAnsi="Times New Roman" w:cs="Times New Roman"/>
          <w:i/>
          <w:iCs/>
          <w:color w:val="000000" w:themeColor="text1"/>
          <w:lang w:eastAsia="zh-CN"/>
        </w:rPr>
        <w:t>bis</w:t>
      </w:r>
      <w:r w:rsidRPr="004A5029">
        <w:rPr>
          <w:rFonts w:ascii="Times New Roman" w:eastAsia="Calibri" w:hAnsi="Times New Roman" w:cs="Times New Roman"/>
          <w:color w:val="000000" w:themeColor="text1"/>
          <w:lang w:eastAsia="zh-CN"/>
        </w:rPr>
        <w:t xml:space="preserve">, </w:t>
      </w:r>
      <w:r w:rsidR="00D76159" w:rsidRPr="00D76159">
        <w:rPr>
          <w:rFonts w:ascii="Times New Roman" w:eastAsia="Calibri" w:hAnsi="Times New Roman" w:cs="Times New Roman"/>
          <w:b/>
          <w:bCs/>
          <w:color w:val="000000" w:themeColor="text1"/>
          <w:lang w:eastAsia="zh-CN"/>
        </w:rPr>
        <w:t>primo comma,</w:t>
      </w:r>
      <w:r w:rsidR="00D7615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 xml:space="preserve">secondo periodo, del codice penale, salvo che sia intervenuta riabilitazione; </w:t>
      </w:r>
    </w:p>
    <w:p w14:paraId="188D8C7B"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c) per un periodo pari a</w:t>
      </w:r>
      <w:r w:rsidRPr="004A5029">
        <w:rPr>
          <w:rFonts w:ascii="Times New Roman" w:eastAsia="Calibri" w:hAnsi="Times New Roman" w:cs="Times New Roman"/>
          <w:i/>
          <w:color w:val="000000" w:themeColor="text1"/>
          <w:lang w:eastAsia="zh-CN"/>
        </w:rPr>
        <w:t xml:space="preserve"> </w:t>
      </w:r>
      <w:r w:rsidRPr="004A5029">
        <w:rPr>
          <w:rFonts w:ascii="Times New Roman" w:eastAsia="Calibri" w:hAnsi="Times New Roman" w:cs="Times New Roman"/>
          <w:color w:val="000000" w:themeColor="text1"/>
          <w:lang w:eastAsia="zh-CN"/>
        </w:rPr>
        <w:t>cinque anni nei casi diversi da quelli di cui alle lettere a) e b), salvo che sia intervenuta riabilitazione.</w:t>
      </w:r>
    </w:p>
    <w:p w14:paraId="619FF0D4"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9. Nei casi di cui alle lettere b) e c) del comma 8, se la pena principale ha una durata inferiore, rispettivamente, a sette e cinque anni di reclusione,</w:t>
      </w:r>
      <w:r w:rsidRPr="004A5029">
        <w:rPr>
          <w:rFonts w:ascii="Times New Roman" w:eastAsia="Calibri" w:hAnsi="Times New Roman" w:cs="Times New Roman"/>
          <w:i/>
          <w:iCs/>
          <w:color w:val="000000" w:themeColor="text1"/>
          <w:lang w:eastAsia="zh-CN"/>
        </w:rPr>
        <w:t xml:space="preserve"> </w:t>
      </w:r>
      <w:r w:rsidRPr="004A5029">
        <w:rPr>
          <w:rFonts w:ascii="Times New Roman" w:eastAsia="Calibri" w:hAnsi="Times New Roman" w:cs="Times New Roman"/>
          <w:color w:val="000000" w:themeColor="text1"/>
          <w:lang w:eastAsia="zh-CN"/>
        </w:rPr>
        <w:t>l’effetto escludente che ne deriva si produce per un periodo avente durata pari alla durata della pena principale.</w:t>
      </w:r>
    </w:p>
    <w:p w14:paraId="63303B4A"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10. Le cause di esclusione di cui all’articolo 95 rilevano:</w:t>
      </w:r>
    </w:p>
    <w:p w14:paraId="11C44F43"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a) per tre anni decorrenti dalla commissione del fatto, nel caso di cui all’articolo 95, comma 1, lettera a);</w:t>
      </w:r>
    </w:p>
    <w:p w14:paraId="105E1D8A"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b) per la sola gara cui la condotta si riferisce, nei casi di cui all’articolo 95, comma 1, lettere b), c) e d);</w:t>
      </w:r>
    </w:p>
    <w:p w14:paraId="1737DBA8" w14:textId="40CA61FB"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c) nel caso di cui all’articolo 95, comma 1, lettera e), salvo che ricorra la condotta di cui al </w:t>
      </w:r>
      <w:r w:rsidRPr="00D076E1">
        <w:rPr>
          <w:rFonts w:ascii="Times New Roman" w:eastAsia="Calibri" w:hAnsi="Times New Roman" w:cs="Times New Roman"/>
          <w:color w:val="000000" w:themeColor="text1"/>
          <w:lang w:eastAsia="zh-CN"/>
        </w:rPr>
        <w:t xml:space="preserve">comma </w:t>
      </w:r>
      <w:r w:rsidR="005665F7">
        <w:rPr>
          <w:rFonts w:ascii="Times New Roman" w:eastAsia="Calibri" w:hAnsi="Times New Roman" w:cs="Times New Roman"/>
          <w:b/>
          <w:bCs/>
          <w:color w:val="000000" w:themeColor="text1"/>
          <w:lang w:eastAsia="zh-CN"/>
        </w:rPr>
        <w:t>3</w:t>
      </w:r>
      <w:r w:rsidRPr="004A5029">
        <w:rPr>
          <w:rFonts w:ascii="Times New Roman" w:eastAsia="Calibri" w:hAnsi="Times New Roman" w:cs="Times New Roman"/>
          <w:color w:val="000000" w:themeColor="text1"/>
          <w:lang w:eastAsia="zh-CN"/>
        </w:rPr>
        <w:t xml:space="preserve">, lettera b), dell’articolo 98, </w:t>
      </w:r>
      <w:r w:rsidRPr="004A5029">
        <w:rPr>
          <w:rFonts w:ascii="Times New Roman" w:eastAsia="Calibri" w:hAnsi="Times New Roman" w:cs="Times New Roman"/>
          <w:b/>
          <w:bCs/>
          <w:strike/>
          <w:color w:val="000000" w:themeColor="text1"/>
          <w:lang w:eastAsia="zh-CN"/>
        </w:rPr>
        <w:t xml:space="preserve">rileva </w:t>
      </w:r>
      <w:r w:rsidRPr="004A5029">
        <w:rPr>
          <w:rFonts w:ascii="Times New Roman" w:eastAsia="Calibri" w:hAnsi="Times New Roman" w:cs="Times New Roman"/>
          <w:color w:val="000000" w:themeColor="text1"/>
          <w:lang w:eastAsia="zh-CN"/>
        </w:rPr>
        <w:t xml:space="preserve">per tre anni decorrenti rispettivamente: </w:t>
      </w:r>
    </w:p>
    <w:p w14:paraId="285BBC21" w14:textId="21C3F08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1) dalla data di emissione di uno degli atti di cui all’articolo </w:t>
      </w:r>
      <w:r w:rsidR="00B12AA0" w:rsidRPr="004A5029">
        <w:rPr>
          <w:rFonts w:ascii="Times New Roman" w:eastAsia="Calibri" w:hAnsi="Times New Roman" w:cs="Times New Roman"/>
          <w:b/>
          <w:strike/>
          <w:color w:val="000000" w:themeColor="text1"/>
        </w:rPr>
        <w:t>405</w:t>
      </w:r>
      <w:r w:rsidR="00B12AA0" w:rsidRPr="004A5029">
        <w:rPr>
          <w:rFonts w:ascii="Times New Roman" w:eastAsia="Calibri" w:hAnsi="Times New Roman" w:cs="Times New Roman"/>
          <w:b/>
          <w:color w:val="000000" w:themeColor="text1"/>
        </w:rPr>
        <w:t xml:space="preserve"> 407-</w:t>
      </w:r>
      <w:r w:rsidR="00B12AA0" w:rsidRPr="004A5029">
        <w:rPr>
          <w:rFonts w:ascii="Times New Roman" w:eastAsia="Calibri" w:hAnsi="Times New Roman" w:cs="Times New Roman"/>
          <w:b/>
          <w:i/>
          <w:iCs/>
          <w:color w:val="000000" w:themeColor="text1"/>
        </w:rPr>
        <w:t>bis</w:t>
      </w:r>
      <w:r w:rsidRPr="004A5029">
        <w:rPr>
          <w:rFonts w:ascii="Times New Roman" w:eastAsia="Calibri" w:hAnsi="Times New Roman" w:cs="Times New Roman"/>
          <w:b/>
          <w:color w:val="000000" w:themeColor="text1"/>
          <w:lang w:eastAsia="zh-CN"/>
        </w:rPr>
        <w:t>,</w:t>
      </w:r>
      <w:r w:rsidRPr="004A5029">
        <w:rPr>
          <w:rFonts w:ascii="Times New Roman" w:eastAsia="Calibri" w:hAnsi="Times New Roman" w:cs="Times New Roman"/>
          <w:color w:val="000000" w:themeColor="text1"/>
          <w:lang w:eastAsia="zh-CN"/>
        </w:rPr>
        <w:t xml:space="preserve">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w:t>
      </w:r>
      <w:r w:rsidR="005665F7" w:rsidRPr="005665F7">
        <w:rPr>
          <w:rFonts w:ascii="Times New Roman" w:eastAsia="Calibri" w:hAnsi="Times New Roman" w:cs="Times New Roman"/>
          <w:b/>
          <w:bCs/>
          <w:color w:val="000000" w:themeColor="text1"/>
          <w:lang w:eastAsia="zh-CN"/>
        </w:rPr>
        <w:t>3</w:t>
      </w:r>
      <w:r w:rsidR="005D6931" w:rsidRPr="00D076E1">
        <w:rPr>
          <w:rFonts w:ascii="Times New Roman" w:eastAsia="Calibri" w:hAnsi="Times New Roman" w:cs="Times New Roman"/>
          <w:color w:val="000000" w:themeColor="text1"/>
          <w:lang w:eastAsia="zh-CN"/>
        </w:rPr>
        <w:t>,</w:t>
      </w:r>
      <w:r w:rsidR="005D6931"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lettera h), dell’articolo 98;</w:t>
      </w:r>
    </w:p>
    <w:p w14:paraId="2692C06C" w14:textId="7B481743"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2) dalla data del provvedimento sanzionatorio </w:t>
      </w:r>
      <w:r w:rsidRPr="004A5029">
        <w:rPr>
          <w:rFonts w:ascii="Times New Roman" w:eastAsia="Times New Roman" w:hAnsi="Times New Roman" w:cs="Times New Roman"/>
          <w:color w:val="000000" w:themeColor="text1"/>
          <w:lang w:eastAsia="it-IT"/>
        </w:rPr>
        <w:t xml:space="preserve">irrogato dall’Autorità </w:t>
      </w:r>
      <w:r w:rsidRPr="004A5029">
        <w:rPr>
          <w:rFonts w:ascii="Times New Roman" w:eastAsia="Times New Roman" w:hAnsi="Times New Roman" w:cs="Times New Roman"/>
          <w:b/>
          <w:bCs/>
          <w:strike/>
          <w:color w:val="000000" w:themeColor="text1"/>
          <w:lang w:eastAsia="it-IT"/>
        </w:rPr>
        <w:t>G</w:t>
      </w:r>
      <w:r w:rsidR="003750A7" w:rsidRPr="004A5029">
        <w:rPr>
          <w:rFonts w:ascii="Times New Roman" w:eastAsia="Times New Roman" w:hAnsi="Times New Roman" w:cs="Times New Roman"/>
          <w:b/>
          <w:bCs/>
          <w:color w:val="000000" w:themeColor="text1"/>
          <w:lang w:eastAsia="it-IT"/>
        </w:rPr>
        <w:t>g</w:t>
      </w:r>
      <w:r w:rsidRPr="004A5029">
        <w:rPr>
          <w:rFonts w:ascii="Times New Roman" w:eastAsia="Times New Roman" w:hAnsi="Times New Roman" w:cs="Times New Roman"/>
          <w:color w:val="000000" w:themeColor="text1"/>
          <w:lang w:eastAsia="it-IT"/>
        </w:rPr>
        <w:t xml:space="preserve">arante della </w:t>
      </w:r>
      <w:r w:rsidRPr="004A5029">
        <w:rPr>
          <w:rFonts w:ascii="Times New Roman" w:eastAsia="Times New Roman" w:hAnsi="Times New Roman" w:cs="Times New Roman"/>
          <w:b/>
          <w:bCs/>
          <w:strike/>
          <w:color w:val="000000" w:themeColor="text1"/>
          <w:lang w:eastAsia="it-IT"/>
        </w:rPr>
        <w:t>C</w:t>
      </w:r>
      <w:r w:rsidR="003750A7" w:rsidRPr="004A5029">
        <w:rPr>
          <w:rFonts w:ascii="Times New Roman" w:eastAsia="Times New Roman" w:hAnsi="Times New Roman" w:cs="Times New Roman"/>
          <w:b/>
          <w:bCs/>
          <w:color w:val="000000" w:themeColor="text1"/>
          <w:lang w:eastAsia="it-IT"/>
        </w:rPr>
        <w:t>c</w:t>
      </w:r>
      <w:r w:rsidRPr="004A5029">
        <w:rPr>
          <w:rFonts w:ascii="Times New Roman" w:eastAsia="Times New Roman" w:hAnsi="Times New Roman" w:cs="Times New Roman"/>
          <w:color w:val="000000" w:themeColor="text1"/>
          <w:lang w:eastAsia="it-IT"/>
        </w:rPr>
        <w:t xml:space="preserve">oncorrenza e del </w:t>
      </w:r>
      <w:r w:rsidRPr="004A5029">
        <w:rPr>
          <w:rFonts w:ascii="Times New Roman" w:eastAsia="Times New Roman" w:hAnsi="Times New Roman" w:cs="Times New Roman"/>
          <w:b/>
          <w:bCs/>
          <w:strike/>
          <w:color w:val="000000" w:themeColor="text1"/>
          <w:lang w:eastAsia="it-IT"/>
        </w:rPr>
        <w:t>M</w:t>
      </w:r>
      <w:r w:rsidR="003750A7" w:rsidRPr="004A5029">
        <w:rPr>
          <w:rFonts w:ascii="Times New Roman" w:eastAsia="Times New Roman" w:hAnsi="Times New Roman" w:cs="Times New Roman"/>
          <w:b/>
          <w:bCs/>
          <w:color w:val="000000" w:themeColor="text1"/>
          <w:lang w:eastAsia="it-IT"/>
        </w:rPr>
        <w:t>m</w:t>
      </w:r>
      <w:r w:rsidRPr="004A5029">
        <w:rPr>
          <w:rFonts w:ascii="Times New Roman" w:eastAsia="Times New Roman" w:hAnsi="Times New Roman" w:cs="Times New Roman"/>
          <w:color w:val="000000" w:themeColor="text1"/>
          <w:lang w:eastAsia="it-IT"/>
        </w:rPr>
        <w:t xml:space="preserve">ercato o da altra autorità di settore </w:t>
      </w:r>
      <w:r w:rsidRPr="004A5029">
        <w:rPr>
          <w:rFonts w:ascii="Times New Roman" w:eastAsia="Calibri" w:hAnsi="Times New Roman" w:cs="Times New Roman"/>
          <w:color w:val="000000" w:themeColor="text1"/>
          <w:lang w:eastAsia="zh-CN"/>
        </w:rPr>
        <w:t>nel caso in cui la situazione escludente discenda da tale atto;</w:t>
      </w:r>
    </w:p>
    <w:p w14:paraId="7F58C35C"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3) dalla commissione del fatto in tutti gli altri casi. </w:t>
      </w:r>
    </w:p>
    <w:p w14:paraId="4EB1CF4D"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11. L’eventuale impugnazione di taluno dei provvedimenti suindicati non rileva ai fini della decorrenza del triennio.</w:t>
      </w:r>
    </w:p>
    <w:p w14:paraId="5AFE18EC" w14:textId="77777777"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12. L’operatore economico ha l’onere di comunicare immediatamente alla stazione appaltante la sussistenza di taluno dei provvedimenti menzionati ai numeri 1) e 2) della lettera c) del comma 10, ove non menzionati nel proprio fascicolo virtuale. Se contravviene all’onere di comunicazione il triennio inizia a decorrere dalla data in cui la stazione appaltante ha acquisito taluno di detti provvedimenti.</w:t>
      </w:r>
    </w:p>
    <w:p w14:paraId="3C853A59" w14:textId="6D3594B5"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13. Le cause di esclusione previste dagli articoli 94 e 95 non si applicano alle aziende o società sottoposte a sequestro o confisca ai sensi dell'articolo </w:t>
      </w:r>
      <w:r w:rsidR="005A0EA5" w:rsidRPr="004A5029">
        <w:rPr>
          <w:rFonts w:ascii="Times New Roman" w:eastAsia="Calibri" w:hAnsi="Times New Roman" w:cs="Times New Roman"/>
          <w:bCs/>
          <w:color w:val="000000" w:themeColor="text1"/>
          <w:lang w:eastAsia="zh-CN"/>
        </w:rPr>
        <w:t>240-</w:t>
      </w:r>
      <w:r w:rsidR="005A0EA5" w:rsidRPr="004A5029">
        <w:rPr>
          <w:rFonts w:ascii="Times New Roman" w:eastAsia="Calibri" w:hAnsi="Times New Roman" w:cs="Times New Roman"/>
          <w:bCs/>
          <w:i/>
          <w:color w:val="000000" w:themeColor="text1"/>
          <w:lang w:eastAsia="zh-CN"/>
        </w:rPr>
        <w:t xml:space="preserve">bis </w:t>
      </w:r>
      <w:r w:rsidR="005A0EA5" w:rsidRPr="004A5029">
        <w:rPr>
          <w:rFonts w:ascii="Times New Roman" w:eastAsia="Calibri" w:hAnsi="Times New Roman" w:cs="Times New Roman"/>
          <w:bCs/>
          <w:color w:val="000000" w:themeColor="text1"/>
          <w:lang w:eastAsia="zh-CN"/>
        </w:rPr>
        <w:t xml:space="preserve">del codice penale </w:t>
      </w:r>
      <w:r w:rsidRPr="004A5029">
        <w:rPr>
          <w:rFonts w:ascii="Times New Roman" w:eastAsia="Calibri" w:hAnsi="Times New Roman" w:cs="Times New Roman"/>
          <w:color w:val="000000" w:themeColor="text1"/>
          <w:lang w:eastAsia="zh-CN"/>
        </w:rPr>
        <w:t xml:space="preserve">o degli articoli 20 e 24 del </w:t>
      </w:r>
      <w:r w:rsidR="004F0C0B" w:rsidRPr="004A5029">
        <w:rPr>
          <w:rFonts w:ascii="Times New Roman" w:hAnsi="Times New Roman" w:cs="Times New Roman"/>
          <w:b/>
          <w:bCs/>
          <w:color w:val="000000" w:themeColor="text1"/>
          <w:shd w:val="clear" w:color="auto" w:fill="FFFFFF"/>
        </w:rPr>
        <w:t>codice delle leggi antimafia e delle misure di prevenzione</w:t>
      </w:r>
      <w:r w:rsidR="0030786B" w:rsidRPr="004A5029">
        <w:rPr>
          <w:rFonts w:ascii="Times New Roman" w:eastAsia="Calibri" w:hAnsi="Times New Roman" w:cs="Times New Roman"/>
          <w:b/>
          <w:bCs/>
          <w:color w:val="000000" w:themeColor="text1"/>
        </w:rPr>
        <w:t>,</w:t>
      </w:r>
      <w:r w:rsidR="004F0C0B" w:rsidRPr="004A5029">
        <w:rPr>
          <w:rFonts w:ascii="Times New Roman" w:eastAsia="Calibri" w:hAnsi="Times New Roman" w:cs="Times New Roman"/>
          <w:b/>
          <w:bCs/>
          <w:color w:val="000000" w:themeColor="text1"/>
          <w:lang w:eastAsia="zh-CN"/>
        </w:rPr>
        <w:t xml:space="preserve"> di cui al</w:t>
      </w:r>
      <w:r w:rsidR="004F0C0B"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decreto legislativo 6 settembre 2011, n. 159, e affidate ad un custode o amministratore giudiziario o finanziario, limitatamente a quelle riferite al periodo precedente al predetto affidamento.</w:t>
      </w:r>
    </w:p>
    <w:p w14:paraId="30E3DC91" w14:textId="19270FCE" w:rsidR="00446F27" w:rsidRPr="004A5029" w:rsidRDefault="00446F27" w:rsidP="00446F27">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14. L’operatore economico ha l’obbligo di comunicare alla stazione appaltante la sussistenza dei fatti e dei provvedimenti che possono costituire causa di esclusione ai sensi de</w:t>
      </w:r>
      <w:r w:rsidR="00F90495" w:rsidRPr="004A5029">
        <w:rPr>
          <w:rFonts w:ascii="Times New Roman" w:eastAsia="Calibri" w:hAnsi="Times New Roman" w:cs="Times New Roman"/>
          <w:color w:val="000000" w:themeColor="text1"/>
          <w:lang w:eastAsia="zh-CN"/>
        </w:rPr>
        <w:t>gl</w:t>
      </w:r>
      <w:r w:rsidRPr="004A5029">
        <w:rPr>
          <w:rFonts w:ascii="Times New Roman" w:eastAsia="Calibri" w:hAnsi="Times New Roman" w:cs="Times New Roman"/>
          <w:color w:val="000000" w:themeColor="text1"/>
          <w:lang w:eastAsia="zh-CN"/>
        </w:rPr>
        <w:t xml:space="preserve">i articoli 94 e 95, ove non menzionati nel proprio fascicolo virtuale. L’omissione di tale comunicazione o la non veridicità della medesima, pur non costituendo di per sé causa di esclusione, può rilevare ai sensi del comma </w:t>
      </w:r>
      <w:r w:rsidR="005665F7" w:rsidRPr="005665F7">
        <w:rPr>
          <w:rFonts w:ascii="Times New Roman" w:eastAsia="Calibri" w:hAnsi="Times New Roman" w:cs="Times New Roman"/>
          <w:b/>
          <w:bCs/>
          <w:color w:val="000000" w:themeColor="text1"/>
          <w:lang w:eastAsia="zh-CN"/>
        </w:rPr>
        <w:t>4</w:t>
      </w:r>
      <w:r w:rsidRPr="005665F7">
        <w:rPr>
          <w:rFonts w:ascii="Times New Roman" w:eastAsia="Calibri" w:hAnsi="Times New Roman" w:cs="Times New Roman"/>
          <w:b/>
          <w:bCs/>
          <w:color w:val="000000" w:themeColor="text1"/>
          <w:lang w:eastAsia="zh-CN"/>
        </w:rPr>
        <w:t xml:space="preserve"> </w:t>
      </w:r>
      <w:r w:rsidRPr="004A5029">
        <w:rPr>
          <w:rFonts w:ascii="Times New Roman" w:eastAsia="Calibri" w:hAnsi="Times New Roman" w:cs="Times New Roman"/>
          <w:color w:val="000000" w:themeColor="text1"/>
          <w:lang w:eastAsia="zh-CN"/>
        </w:rPr>
        <w:t>dell’articolo 98.</w:t>
      </w:r>
    </w:p>
    <w:p w14:paraId="32B04756" w14:textId="58330B99" w:rsidR="00446F27" w:rsidRPr="004A5029" w:rsidRDefault="00446F27" w:rsidP="008A256F">
      <w:pPr>
        <w:jc w:val="both"/>
        <w:rPr>
          <w:rFonts w:ascii="Times New Roman" w:eastAsia="Calibri" w:hAnsi="Times New Roman" w:cs="Times New Roman"/>
          <w:color w:val="000000" w:themeColor="text1"/>
          <w:lang w:eastAsia="zh-CN"/>
        </w:rPr>
      </w:pPr>
      <w:r w:rsidRPr="004A5029">
        <w:rPr>
          <w:rFonts w:ascii="Times New Roman" w:eastAsia="Calibri" w:hAnsi="Times New Roman" w:cs="Times New Roman"/>
          <w:color w:val="000000" w:themeColor="text1"/>
          <w:lang w:eastAsia="zh-CN"/>
        </w:rPr>
        <w:t xml:space="preserve">15. In caso di presentazione di falsa dichiarazione o falsa documentazione, nelle procedure di gara e negli affidamenti di subappalto, la stazione appaltante ne dà segnalazione </w:t>
      </w:r>
      <w:r w:rsidRPr="004A5029">
        <w:rPr>
          <w:rFonts w:ascii="Times New Roman" w:eastAsia="Calibri" w:hAnsi="Times New Roman" w:cs="Times New Roman"/>
          <w:b/>
          <w:bCs/>
          <w:strike/>
          <w:color w:val="000000" w:themeColor="text1"/>
          <w:lang w:eastAsia="zh-CN"/>
        </w:rPr>
        <w:t>all'Autorità nazionale anticorruzione</w:t>
      </w:r>
      <w:r w:rsidR="008A256F" w:rsidRPr="004A5029">
        <w:rPr>
          <w:rFonts w:ascii="Times New Roman" w:eastAsia="Calibri" w:hAnsi="Times New Roman" w:cs="Times New Roman"/>
          <w:b/>
          <w:bCs/>
          <w:strike/>
          <w:color w:val="000000" w:themeColor="text1"/>
          <w:lang w:eastAsia="zh-CN"/>
        </w:rPr>
        <w:t xml:space="preserve"> </w:t>
      </w:r>
      <w:r w:rsidR="008A256F" w:rsidRPr="004A5029">
        <w:rPr>
          <w:rFonts w:ascii="Times New Roman" w:eastAsia="Calibri" w:hAnsi="Times New Roman" w:cs="Times New Roman"/>
          <w:b/>
          <w:bCs/>
          <w:color w:val="000000" w:themeColor="text1"/>
          <w:lang w:eastAsia="zh-CN"/>
        </w:rPr>
        <w:t>all’ANAC</w:t>
      </w:r>
      <w:r w:rsidRPr="004A5029">
        <w:rPr>
          <w:rFonts w:ascii="Times New Roman" w:eastAsia="Calibri" w:hAnsi="Times New Roman" w:cs="Times New Roman"/>
          <w:color w:val="000000" w:themeColor="text1"/>
          <w:lang w:eastAsia="zh-CN"/>
        </w:rPr>
        <w:t xml:space="preserve"> che, se ritiene che siano state rese con dolo</w:t>
      </w:r>
      <w:r w:rsidR="008F1F44"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o colpa grave</w:t>
      </w:r>
      <w:r w:rsidRPr="004A5029">
        <w:rPr>
          <w:rFonts w:ascii="Times New Roman" w:eastAsia="Calibri" w:hAnsi="Times New Roman" w:cs="Times New Roman"/>
          <w:b/>
          <w:bCs/>
          <w:color w:val="000000" w:themeColor="text1"/>
          <w:lang w:eastAsia="zh-CN"/>
        </w:rPr>
        <w:t xml:space="preserve"> </w:t>
      </w:r>
      <w:r w:rsidRPr="004A5029">
        <w:rPr>
          <w:rFonts w:ascii="Times New Roman" w:eastAsia="Calibri" w:hAnsi="Times New Roman" w:cs="Times New Roman"/>
          <w:color w:val="000000" w:themeColor="text1"/>
          <w:lang w:eastAsia="zh-CN"/>
        </w:rPr>
        <w:t xml:space="preserve">tenuto conto della rilevanza o della gravità dei fatti oggetto della falsa dichiarazione o della presentazione di falsa documentazione, dispone l'iscrizione nel casellario informatico ai fini dell'esclusione dalle procedure di gara e dagli affidamenti di subappalto ai sensi dell’articolo 94, comma 5, lettera e), </w:t>
      </w:r>
      <w:r w:rsidR="0010251F" w:rsidRPr="004A5029">
        <w:rPr>
          <w:rFonts w:ascii="Times New Roman" w:eastAsia="Calibri" w:hAnsi="Times New Roman" w:cs="Times New Roman"/>
          <w:b/>
          <w:bCs/>
          <w:color w:val="000000" w:themeColor="text1"/>
          <w:lang w:eastAsia="zh-CN"/>
        </w:rPr>
        <w:t>per un periodo</w:t>
      </w:r>
      <w:r w:rsidR="0010251F" w:rsidRPr="004A5029">
        <w:rPr>
          <w:rFonts w:ascii="Times New Roman" w:eastAsia="Calibri" w:hAnsi="Times New Roman" w:cs="Times New Roman"/>
          <w:color w:val="000000" w:themeColor="text1"/>
          <w:lang w:eastAsia="zh-CN"/>
        </w:rPr>
        <w:t xml:space="preserve"> </w:t>
      </w:r>
      <w:r w:rsidRPr="004A5029">
        <w:rPr>
          <w:rFonts w:ascii="Times New Roman" w:eastAsia="Calibri" w:hAnsi="Times New Roman" w:cs="Times New Roman"/>
          <w:color w:val="000000" w:themeColor="text1"/>
          <w:lang w:eastAsia="zh-CN"/>
        </w:rPr>
        <w:t>fino a due anni, decorso il quale l'iscrizione è cancellata e perde comunque efficacia.</w:t>
      </w:r>
      <w:r w:rsidR="008105C5" w:rsidRPr="004A5029">
        <w:rPr>
          <w:rFonts w:ascii="Times New Roman" w:eastAsia="Calibri" w:hAnsi="Times New Roman" w:cs="Times New Roman"/>
          <w:color w:val="000000" w:themeColor="text1"/>
          <w:lang w:eastAsia="zh-CN"/>
        </w:rPr>
        <w:t xml:space="preserve"> </w:t>
      </w:r>
    </w:p>
    <w:p w14:paraId="61C988F9" w14:textId="77777777" w:rsidR="00446F27" w:rsidRPr="004A5029" w:rsidRDefault="00446F27" w:rsidP="00446F27">
      <w:pPr>
        <w:jc w:val="both"/>
        <w:rPr>
          <w:rFonts w:ascii="Times New Roman" w:eastAsia="Times New Roman" w:hAnsi="Times New Roman" w:cs="Times New Roman"/>
          <w:color w:val="000000" w:themeColor="text1"/>
        </w:rPr>
      </w:pPr>
    </w:p>
    <w:p w14:paraId="4783EADA"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
          <w:color w:val="000000" w:themeColor="text1"/>
          <w:lang w:eastAsia="it-IT"/>
        </w:rPr>
        <w:t>Articolo 97.</w:t>
      </w:r>
    </w:p>
    <w:p w14:paraId="5B8CB07E" w14:textId="77777777" w:rsidR="00446F27" w:rsidRPr="004A5029" w:rsidRDefault="00446F27" w:rsidP="00446F27">
      <w:pPr>
        <w:jc w:val="both"/>
        <w:rPr>
          <w:rFonts w:ascii="Times New Roman" w:eastAsia="Times New Roman" w:hAnsi="Times New Roman" w:cs="Times New Roman"/>
          <w:b/>
          <w:color w:val="000000" w:themeColor="text1"/>
          <w:highlight w:val="yellow"/>
          <w:lang w:eastAsia="it-IT"/>
        </w:rPr>
      </w:pPr>
      <w:r w:rsidRPr="004A5029">
        <w:rPr>
          <w:rFonts w:ascii="Times New Roman" w:eastAsia="Times New Roman" w:hAnsi="Times New Roman" w:cs="Times New Roman"/>
          <w:i/>
          <w:color w:val="000000" w:themeColor="text1"/>
          <w:lang w:eastAsia="it-IT"/>
        </w:rPr>
        <w:t>Cause di esclusione di partecipanti a raggruppamenti.</w:t>
      </w:r>
    </w:p>
    <w:p w14:paraId="326789B7"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1. Fermo restando quanto previsto dall’articolo 96, </w:t>
      </w:r>
      <w:r w:rsidRPr="004A5029">
        <w:rPr>
          <w:rFonts w:ascii="Times New Roman" w:eastAsia="Calibri" w:hAnsi="Times New Roman" w:cs="Times New Roman"/>
          <w:bCs/>
          <w:color w:val="000000" w:themeColor="text1"/>
          <w:lang w:eastAsia="zh-CN"/>
        </w:rPr>
        <w:t>commi 2, 3, 4, 5 e 6</w:t>
      </w:r>
      <w:r w:rsidRPr="004A5029">
        <w:rPr>
          <w:rFonts w:ascii="Times New Roman" w:eastAsia="Times New Roman" w:hAnsi="Times New Roman" w:cs="Times New Roman"/>
          <w:bCs/>
          <w:color w:val="000000" w:themeColor="text1"/>
          <w:lang w:eastAsia="it-IT"/>
        </w:rPr>
        <w:t>, il raggruppamento non è escluso qualora un suo partecipante sia interessato da una causa automatica o non automatica di esclusione o dal venir meno di un requisito di qualificazione, se si sono verificate le condizioni di cui al comma 2 e ha adempiuto ai seguenti oneri:</w:t>
      </w:r>
    </w:p>
    <w:p w14:paraId="6F57EB4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in sede di presentazione dell’offerta:</w:t>
      </w:r>
    </w:p>
    <w:p w14:paraId="0465C25B"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ha comunicato alla stazione appaltante la causa escludente verificatasi prima della presentazione dell’offerta e il venir meno, prima della presentazione dell’offerta, del requisito di qualificazione, nonché il soggetto che ne è interessato;</w:t>
      </w:r>
    </w:p>
    <w:p w14:paraId="3572B78C"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2) ha comprovato le misure adottate ai sensi del comma 2 o l’impossibilità di adottarle prima di quella data;</w:t>
      </w:r>
    </w:p>
    <w:p w14:paraId="6837B967"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b) ha adottato e comunicato le misure di cui al comma 2 prima dell’aggiudicazione, se la causa escludente si è verificata successivamente alla presentazione dell’offerta o il requisito di qualificazione è venuto meno successivamente alla presentazione dell’offerta.</w:t>
      </w:r>
    </w:p>
    <w:p w14:paraId="580BBF29" w14:textId="768943FA"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2. Fermo restando l’articolo 96, se un partecipante al raggruppamento si trova in una delle situazioni di cui agli articoli 94 e 95 o non è in possesso di uno dei requisiti di cui all’articolo 100, il raggruppamento può comprovare di averlo estromesso o sostituito con altro soggetto munito dei necessari requisiti, fatta salva l’immodificabilità sostanziale dell’offerta presentata. Se tali misure sono ritenute sufficienti e tempestivamente adottate, il raggruppamento non è escluso dalla procedura d'appalto. Se la stazione appaltante ritiene che le misure siano intempestive o insufficienti, l'operatore economico </w:t>
      </w:r>
      <w:r w:rsidR="00E07A23" w:rsidRPr="004A5029">
        <w:rPr>
          <w:rFonts w:ascii="Times New Roman" w:eastAsia="Times New Roman" w:hAnsi="Times New Roman" w:cs="Times New Roman"/>
          <w:bCs/>
          <w:color w:val="000000" w:themeColor="text1"/>
          <w:lang w:eastAsia="it-IT"/>
        </w:rPr>
        <w:t>è</w:t>
      </w:r>
      <w:r w:rsidRPr="004A5029">
        <w:rPr>
          <w:rFonts w:ascii="Times New Roman" w:eastAsia="Times New Roman" w:hAnsi="Times New Roman" w:cs="Times New Roman"/>
          <w:bCs/>
          <w:color w:val="000000" w:themeColor="text1"/>
          <w:lang w:eastAsia="it-IT"/>
        </w:rPr>
        <w:t xml:space="preserve"> escluso con decisione motivata. </w:t>
      </w:r>
    </w:p>
    <w:p w14:paraId="3D4B9A9E"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3. I commi 1 e 2 si applicano anche ai consorzi ordinari. Si applicano altresì ai consorzi fra imprese artigiane, nonché ai consorzi stabili limitatamente alle consorziate esecutrici e alle consorziate aventi i requisiti di cui i consorzi si avvalgono.</w:t>
      </w:r>
    </w:p>
    <w:p w14:paraId="3B22BB7D" w14:textId="77777777" w:rsidR="00446F27" w:rsidRPr="004A5029" w:rsidRDefault="00446F27" w:rsidP="00446F27">
      <w:pPr>
        <w:rPr>
          <w:rFonts w:ascii="Times New Roman" w:hAnsi="Times New Roman" w:cs="Times New Roman"/>
          <w:color w:val="000000" w:themeColor="text1"/>
        </w:rPr>
      </w:pPr>
    </w:p>
    <w:p w14:paraId="67B7885E" w14:textId="77777777" w:rsidR="00446F27" w:rsidRPr="004A5029" w:rsidRDefault="00446F27" w:rsidP="00446F27">
      <w:pPr>
        <w:jc w:val="both"/>
        <w:rPr>
          <w:rFonts w:ascii="Times New Roman" w:eastAsia="Calibri" w:hAnsi="Times New Roman" w:cs="Times New Roman"/>
          <w:bCs/>
          <w:i/>
          <w:color w:val="000000" w:themeColor="text1"/>
        </w:rPr>
      </w:pPr>
      <w:r w:rsidRPr="004A5029">
        <w:rPr>
          <w:rFonts w:ascii="Times New Roman" w:eastAsia="Calibri" w:hAnsi="Times New Roman" w:cs="Times New Roman"/>
          <w:b/>
          <w:bCs/>
          <w:color w:val="000000" w:themeColor="text1"/>
        </w:rPr>
        <w:t>Articolo 98</w:t>
      </w:r>
      <w:r w:rsidRPr="004A5029">
        <w:rPr>
          <w:rFonts w:ascii="Times New Roman" w:eastAsia="Calibri" w:hAnsi="Times New Roman" w:cs="Times New Roman"/>
          <w:bCs/>
          <w:i/>
          <w:color w:val="000000" w:themeColor="text1"/>
        </w:rPr>
        <w:t>.</w:t>
      </w:r>
    </w:p>
    <w:p w14:paraId="4129BD0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Calibri" w:hAnsi="Times New Roman" w:cs="Times New Roman"/>
          <w:i/>
          <w:iCs/>
          <w:color w:val="000000" w:themeColor="text1"/>
        </w:rPr>
        <w:t>Illecito professionale grave.</w:t>
      </w:r>
    </w:p>
    <w:p w14:paraId="54189457" w14:textId="7E5A360A" w:rsidR="00446F27" w:rsidRPr="004A5029" w:rsidRDefault="00446F27" w:rsidP="00446F27">
      <w:pPr>
        <w:jc w:val="both"/>
        <w:rPr>
          <w:rFonts w:ascii="Times New Roman" w:hAnsi="Times New Roman" w:cs="Times New Roman"/>
          <w:bCs/>
          <w:color w:val="000000" w:themeColor="text1"/>
        </w:rPr>
      </w:pPr>
      <w:r w:rsidRPr="004A5029">
        <w:rPr>
          <w:rFonts w:ascii="Times New Roman" w:eastAsia="Calibri" w:hAnsi="Times New Roman" w:cs="Times New Roman"/>
          <w:bCs/>
          <w:color w:val="000000" w:themeColor="text1"/>
        </w:rPr>
        <w:t>1. L’illecito professionale grave rileva solo se compiuto dall’operatore economico offerente, salvo quanto previsto dal comma</w:t>
      </w:r>
      <w:r w:rsidR="00967601">
        <w:rPr>
          <w:rFonts w:ascii="Times New Roman" w:eastAsia="Calibri" w:hAnsi="Times New Roman" w:cs="Times New Roman"/>
          <w:bCs/>
          <w:color w:val="000000" w:themeColor="text1"/>
        </w:rPr>
        <w:t xml:space="preserve"> </w:t>
      </w:r>
      <w:r w:rsidR="00967601" w:rsidRPr="00967601">
        <w:rPr>
          <w:rFonts w:ascii="Times New Roman" w:eastAsia="Calibri" w:hAnsi="Times New Roman" w:cs="Times New Roman"/>
          <w:b/>
          <w:color w:val="000000" w:themeColor="text1"/>
        </w:rPr>
        <w:t>3</w:t>
      </w:r>
      <w:r w:rsidR="005665F7">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Cs/>
          <w:color w:val="000000" w:themeColor="text1"/>
        </w:rPr>
        <w:t>lettere g) ed h).</w:t>
      </w:r>
    </w:p>
    <w:p w14:paraId="1161EACB"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2. L’esclusione di un operatore economico ai sensi dell’articolo 95, comma 1, lettera e) è disposta e comunicata dalla stazione appaltante quando ricorrono tutte le seguenti condizioni:</w:t>
      </w:r>
    </w:p>
    <w:p w14:paraId="49FBC432"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a) elementi sufficienti ad integrare il grave illecito professionale;</w:t>
      </w:r>
    </w:p>
    <w:p w14:paraId="3D7AA2BE"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b) idoneità del grave illecito professionale ad incidere sull’affidabilità e integrità dell’operatore;</w:t>
      </w:r>
    </w:p>
    <w:p w14:paraId="44D73400" w14:textId="66013146"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c) adeguati mezzi di prova di cui al comma</w:t>
      </w:r>
      <w:r w:rsidRPr="001D0982">
        <w:rPr>
          <w:rFonts w:ascii="Times New Roman" w:eastAsia="Calibri" w:hAnsi="Times New Roman" w:cs="Times New Roman"/>
          <w:b/>
          <w:color w:val="000000" w:themeColor="text1"/>
        </w:rPr>
        <w:t xml:space="preserve"> </w:t>
      </w:r>
      <w:r w:rsidR="00043468" w:rsidRPr="001D0982">
        <w:rPr>
          <w:rFonts w:ascii="Times New Roman" w:eastAsia="Calibri" w:hAnsi="Times New Roman" w:cs="Times New Roman"/>
          <w:b/>
          <w:color w:val="000000" w:themeColor="text1"/>
        </w:rPr>
        <w:t>6</w:t>
      </w:r>
      <w:r w:rsidR="005665F7">
        <w:rPr>
          <w:rFonts w:ascii="Times New Roman" w:eastAsia="Calibri" w:hAnsi="Times New Roman" w:cs="Times New Roman"/>
          <w:bCs/>
          <w:color w:val="000000" w:themeColor="text1"/>
        </w:rPr>
        <w:t xml:space="preserve">. </w:t>
      </w:r>
    </w:p>
    <w:p w14:paraId="0AC371FC" w14:textId="77777777" w:rsidR="00446F27" w:rsidRPr="00324968" w:rsidRDefault="00446F27" w:rsidP="00446F27">
      <w:pPr>
        <w:jc w:val="both"/>
        <w:rPr>
          <w:rFonts w:ascii="Times New Roman" w:eastAsia="Calibri" w:hAnsi="Times New Roman" w:cs="Times New Roman"/>
          <w:b/>
          <w:strike/>
          <w:color w:val="000000" w:themeColor="text1"/>
        </w:rPr>
      </w:pPr>
      <w:r w:rsidRPr="00324968">
        <w:rPr>
          <w:rFonts w:ascii="Times New Roman" w:eastAsia="Calibri" w:hAnsi="Times New Roman" w:cs="Times New Roman"/>
          <w:b/>
          <w:strike/>
          <w:color w:val="000000" w:themeColor="text1"/>
        </w:rPr>
        <w:t>3. Se la stazione appaltante opera nell’interesse di un altro soggetto, l’esclusione è disposta previa motivata determinazione di quest’ultimo.</w:t>
      </w:r>
    </w:p>
    <w:p w14:paraId="3193BE99" w14:textId="7D623DCE" w:rsidR="00446F27" w:rsidRPr="004A5029" w:rsidRDefault="0093247B" w:rsidP="00446F27">
      <w:pPr>
        <w:jc w:val="both"/>
        <w:rPr>
          <w:rFonts w:ascii="Times New Roman" w:eastAsia="Calibri" w:hAnsi="Times New Roman" w:cs="Times New Roman"/>
          <w:bCs/>
          <w:color w:val="000000" w:themeColor="text1"/>
        </w:rPr>
      </w:pPr>
      <w:r w:rsidRPr="0093247B">
        <w:rPr>
          <w:rFonts w:ascii="Times New Roman" w:eastAsia="Calibri" w:hAnsi="Times New Roman" w:cs="Times New Roman"/>
          <w:b/>
          <w:color w:val="000000" w:themeColor="text1"/>
        </w:rPr>
        <w:t>3.</w:t>
      </w:r>
      <w:r>
        <w:rPr>
          <w:rFonts w:ascii="Times New Roman" w:eastAsia="Calibri" w:hAnsi="Times New Roman" w:cs="Times New Roman"/>
          <w:bCs/>
          <w:color w:val="000000" w:themeColor="text1"/>
        </w:rPr>
        <w:t xml:space="preserve"> </w:t>
      </w:r>
      <w:r w:rsidR="00446F27" w:rsidRPr="004A5029">
        <w:rPr>
          <w:rFonts w:ascii="Times New Roman" w:eastAsia="Calibri" w:hAnsi="Times New Roman" w:cs="Times New Roman"/>
          <w:bCs/>
          <w:color w:val="000000" w:themeColor="text1"/>
        </w:rPr>
        <w:t xml:space="preserve">L’illecito professionale si può desumere al verificarsi di almeno uno dei seguenti elementi: </w:t>
      </w:r>
    </w:p>
    <w:p w14:paraId="3EC85C98" w14:textId="0B46BD59"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a) sanzione esecutiva irrogata dall’Autorità </w:t>
      </w:r>
      <w:r w:rsidR="00F90495" w:rsidRPr="004A5029">
        <w:rPr>
          <w:rFonts w:ascii="Times New Roman" w:eastAsia="Times New Roman" w:hAnsi="Times New Roman" w:cs="Times New Roman"/>
          <w:color w:val="000000" w:themeColor="text1"/>
          <w:lang w:eastAsia="it-IT"/>
        </w:rPr>
        <w:t>g</w:t>
      </w:r>
      <w:r w:rsidRPr="004A5029">
        <w:rPr>
          <w:rFonts w:ascii="Times New Roman" w:eastAsia="Times New Roman" w:hAnsi="Times New Roman" w:cs="Times New Roman"/>
          <w:color w:val="000000" w:themeColor="text1"/>
          <w:lang w:eastAsia="it-IT"/>
        </w:rPr>
        <w:t xml:space="preserve">arante della </w:t>
      </w:r>
      <w:r w:rsidR="00F90495" w:rsidRPr="004A5029">
        <w:rPr>
          <w:rFonts w:ascii="Times New Roman" w:eastAsia="Times New Roman" w:hAnsi="Times New Roman" w:cs="Times New Roman"/>
          <w:color w:val="000000" w:themeColor="text1"/>
          <w:lang w:eastAsia="it-IT"/>
        </w:rPr>
        <w:t>c</w:t>
      </w:r>
      <w:r w:rsidRPr="004A5029">
        <w:rPr>
          <w:rFonts w:ascii="Times New Roman" w:eastAsia="Times New Roman" w:hAnsi="Times New Roman" w:cs="Times New Roman"/>
          <w:color w:val="000000" w:themeColor="text1"/>
          <w:lang w:eastAsia="it-IT"/>
        </w:rPr>
        <w:t xml:space="preserve">oncorrenza e del </w:t>
      </w:r>
      <w:r w:rsidR="00F90495" w:rsidRPr="004A5029">
        <w:rPr>
          <w:rFonts w:ascii="Times New Roman" w:eastAsia="Times New Roman" w:hAnsi="Times New Roman" w:cs="Times New Roman"/>
          <w:color w:val="000000" w:themeColor="text1"/>
          <w:lang w:eastAsia="it-IT"/>
        </w:rPr>
        <w:t>m</w:t>
      </w:r>
      <w:r w:rsidRPr="004A5029">
        <w:rPr>
          <w:rFonts w:ascii="Times New Roman" w:eastAsia="Times New Roman" w:hAnsi="Times New Roman" w:cs="Times New Roman"/>
          <w:color w:val="000000" w:themeColor="text1"/>
          <w:lang w:eastAsia="it-IT"/>
        </w:rPr>
        <w:t>ercato o da altra autorità di settore, rilevante in relazione all’oggetto specifico dell’appalto;</w:t>
      </w:r>
    </w:p>
    <w:p w14:paraId="778BCD2E"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Times New Roman" w:hAnsi="Times New Roman" w:cs="Times New Roman"/>
          <w:bCs/>
          <w:color w:val="000000" w:themeColor="text1"/>
          <w:lang w:eastAsia="it-IT"/>
        </w:rPr>
        <w:t>b) condotta del</w:t>
      </w:r>
      <w:r w:rsidRPr="004A5029">
        <w:rPr>
          <w:rFonts w:ascii="Times New Roman" w:eastAsia="Calibri" w:hAnsi="Times New Roman" w:cs="Times New Roman"/>
          <w:bCs/>
          <w:color w:val="000000" w:themeColor="text1"/>
        </w:rPr>
        <w:t>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14:paraId="0D74F4F2" w14:textId="77777777" w:rsidR="00446F27" w:rsidRPr="004A5029" w:rsidRDefault="00446F27" w:rsidP="00446F27">
      <w:pPr>
        <w:autoSpaceDE w:val="0"/>
        <w:autoSpaceDN w:val="0"/>
        <w:adjustRightInd w:val="0"/>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4F0E3578"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d) condotta dell'operatore economico che abbia commesso grave inadempimento nei confronti di uno o più subappaltatori; </w:t>
      </w:r>
    </w:p>
    <w:p w14:paraId="229EE9C2"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e) condotta dell'operatore economico che abbia violato il divieto di intestazione fiduciaria di cui all'</w:t>
      </w:r>
      <w:hyperlink r:id="rId26" w:anchor="/ricerca/fonti_documento?idDatabank=7&amp;idDocMaster=2106394&amp;idUnitaDoc=6406351&amp;nVigUnitaDoc=1&amp;docIdx=1&amp;isCorrelazioniSearch=true&amp;correlatoA=Normativa" w:history="1">
        <w:r w:rsidRPr="004A5029">
          <w:rPr>
            <w:rFonts w:ascii="Times New Roman" w:eastAsia="Calibri" w:hAnsi="Times New Roman" w:cs="Times New Roman"/>
            <w:color w:val="000000" w:themeColor="text1"/>
          </w:rPr>
          <w:t>articolo 17 della legge 19 marzo 1990, n. 55</w:t>
        </w:r>
      </w:hyperlink>
      <w:r w:rsidRPr="004A5029">
        <w:rPr>
          <w:rFonts w:ascii="Times New Roman" w:eastAsia="Calibri" w:hAnsi="Times New Roman" w:cs="Times New Roman"/>
          <w:color w:val="000000" w:themeColor="text1"/>
        </w:rPr>
        <w:t>, laddove la violazione non sia stata rimossa;</w:t>
      </w:r>
    </w:p>
    <w:p w14:paraId="30327F0D" w14:textId="5CE80DDC"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 xml:space="preserve">f) omessa denuncia all'autorità giudiziaria da parte dell'operatore economico </w:t>
      </w:r>
      <w:r w:rsidR="005A0EA5" w:rsidRPr="004A5029">
        <w:rPr>
          <w:rFonts w:ascii="Times New Roman" w:eastAsia="Calibri" w:hAnsi="Times New Roman" w:cs="Times New Roman"/>
          <w:color w:val="000000" w:themeColor="text1"/>
        </w:rPr>
        <w:t xml:space="preserve">persona offesa </w:t>
      </w:r>
      <w:r w:rsidRPr="004A5029">
        <w:rPr>
          <w:rFonts w:ascii="Times New Roman" w:eastAsia="Calibri" w:hAnsi="Times New Roman" w:cs="Times New Roman"/>
          <w:color w:val="000000" w:themeColor="text1"/>
        </w:rPr>
        <w:t xml:space="preserve">dei reati previsti e puniti dagli articoli 317 e 629 del codice penale aggravati ai sensi </w:t>
      </w:r>
      <w:r w:rsidR="000B0F3A" w:rsidRPr="004A5029">
        <w:rPr>
          <w:rFonts w:ascii="Times New Roman" w:eastAsia="Calibri" w:hAnsi="Times New Roman" w:cs="Times New Roman"/>
          <w:color w:val="000000" w:themeColor="text1"/>
        </w:rPr>
        <w:t>dell’art</w:t>
      </w:r>
      <w:r w:rsidR="00DA0DD8" w:rsidRPr="004A5029">
        <w:rPr>
          <w:rFonts w:ascii="Times New Roman" w:eastAsia="Calibri" w:hAnsi="Times New Roman" w:cs="Times New Roman"/>
          <w:color w:val="000000" w:themeColor="text1"/>
        </w:rPr>
        <w:t>icolo</w:t>
      </w:r>
      <w:r w:rsidR="0068394C" w:rsidRPr="004A5029">
        <w:rPr>
          <w:rFonts w:ascii="Times New Roman" w:eastAsia="Calibri" w:hAnsi="Times New Roman" w:cs="Times New Roman"/>
          <w:color w:val="000000" w:themeColor="text1"/>
        </w:rPr>
        <w:t xml:space="preserve"> </w:t>
      </w:r>
      <w:r w:rsidR="008819AE" w:rsidRPr="004A5029">
        <w:rPr>
          <w:rFonts w:ascii="Times New Roman" w:eastAsia="Calibri" w:hAnsi="Times New Roman" w:cs="Times New Roman"/>
          <w:color w:val="000000" w:themeColor="text1"/>
        </w:rPr>
        <w:t>416-</w:t>
      </w:r>
      <w:r w:rsidR="008819AE" w:rsidRPr="004A5029">
        <w:rPr>
          <w:rFonts w:ascii="Times New Roman" w:eastAsia="Calibri" w:hAnsi="Times New Roman" w:cs="Times New Roman"/>
          <w:i/>
          <w:color w:val="000000" w:themeColor="text1"/>
        </w:rPr>
        <w:t>bis</w:t>
      </w:r>
      <w:r w:rsidR="008819AE" w:rsidRPr="004A5029">
        <w:rPr>
          <w:rFonts w:ascii="Times New Roman" w:eastAsia="Calibri" w:hAnsi="Times New Roman" w:cs="Times New Roman"/>
          <w:color w:val="000000" w:themeColor="text1"/>
        </w:rPr>
        <w:t>.1 del medesimo codice</w:t>
      </w:r>
      <w:r w:rsidRPr="004A5029">
        <w:rPr>
          <w:rFonts w:ascii="Times New Roman" w:eastAsia="Calibri" w:hAnsi="Times New Roman" w:cs="Times New Roman"/>
          <w:color w:val="000000" w:themeColor="text1"/>
        </w:rPr>
        <w:t xml:space="preserve"> salvo che ricorrano i casi previsti dall'articolo 4, primo comma, della legge 24 novembre 1981, n. 689. </w:t>
      </w:r>
      <w:r w:rsidR="005A0EA5" w:rsidRPr="004A5029">
        <w:rPr>
          <w:rFonts w:ascii="Times New Roman" w:eastAsia="Calibri" w:hAnsi="Times New Roman" w:cs="Times New Roman"/>
          <w:color w:val="000000" w:themeColor="text1"/>
        </w:rPr>
        <w:t xml:space="preserve">Tale </w:t>
      </w:r>
      <w:r w:rsidRPr="004A5029">
        <w:rPr>
          <w:rFonts w:ascii="Times New Roman" w:eastAsia="Calibri" w:hAnsi="Times New Roman" w:cs="Times New Roman"/>
          <w:color w:val="000000" w:themeColor="text1"/>
        </w:rPr>
        <w:t xml:space="preserve">circostanza deve emergere dagli indizi a base della richiesta di rinvio a giudizio formulata nei confronti dell'imputato </w:t>
      </w:r>
      <w:r w:rsidR="005A0EA5" w:rsidRPr="004A5029">
        <w:rPr>
          <w:rFonts w:ascii="Times New Roman" w:eastAsia="Calibri" w:hAnsi="Times New Roman" w:cs="Times New Roman"/>
          <w:color w:val="000000" w:themeColor="text1"/>
        </w:rPr>
        <w:t>per i reati di cui al primo periodo</w:t>
      </w:r>
      <w:r w:rsidR="005A0EA5"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bCs/>
          <w:color w:val="000000" w:themeColor="text1"/>
        </w:rPr>
        <w:t>nell'anno antecedente alla pubblicazione del bando e deve essere comunicata, unitamente alle generalità del soggetto che ha omesso la predetta denuncia, dal procuratore della Repubblica procedente all'ANAC, la quale ne cura la pubblicazione;</w:t>
      </w:r>
    </w:p>
    <w:p w14:paraId="30AD68CE" w14:textId="2CB51379"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g) contestata commissione da parte dell’operatore economico, ovvero dei soggetti di cui al comma 3 dell’articolo 94 di taluno dei reati consumati o tentati di cui al comma 1 del medesimo articolo</w:t>
      </w:r>
      <w:r w:rsidR="00F90495" w:rsidRPr="004A5029">
        <w:rPr>
          <w:rFonts w:ascii="Times New Roman" w:eastAsia="Calibri" w:hAnsi="Times New Roman" w:cs="Times New Roman"/>
          <w:bCs/>
          <w:color w:val="000000" w:themeColor="text1"/>
        </w:rPr>
        <w:t xml:space="preserve"> 94</w:t>
      </w:r>
      <w:r w:rsidRPr="004A5029">
        <w:rPr>
          <w:rFonts w:ascii="Times New Roman" w:eastAsia="Calibri" w:hAnsi="Times New Roman" w:cs="Times New Roman"/>
          <w:bCs/>
          <w:color w:val="000000" w:themeColor="text1"/>
        </w:rPr>
        <w:t>;</w:t>
      </w:r>
    </w:p>
    <w:p w14:paraId="29082F49" w14:textId="708A11D5"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h) contestata o accertata commissione, da parte dell’operatore economico oppure dei soggetti di cui al comma 3 dell’articolo 94</w:t>
      </w:r>
      <w:r w:rsidR="00167C2E"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Cs/>
          <w:color w:val="000000" w:themeColor="text1"/>
        </w:rPr>
        <w:t>di taluno dei seguenti reati consumati:</w:t>
      </w:r>
    </w:p>
    <w:p w14:paraId="130796E0" w14:textId="1AC17DDF"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1) abusivo esercizio di una professione</w:t>
      </w:r>
      <w:r w:rsidR="002E2C4E" w:rsidRPr="004A5029">
        <w:rPr>
          <w:rFonts w:ascii="Times New Roman" w:eastAsia="Calibri" w:hAnsi="Times New Roman" w:cs="Times New Roman"/>
          <w:bCs/>
          <w:color w:val="000000" w:themeColor="text1"/>
        </w:rPr>
        <w:t xml:space="preserve">, </w:t>
      </w:r>
      <w:r w:rsidR="00C910AF" w:rsidRPr="004A5029">
        <w:rPr>
          <w:rFonts w:ascii="Times New Roman" w:eastAsia="Calibri" w:hAnsi="Times New Roman" w:cs="Times New Roman"/>
          <w:bCs/>
          <w:color w:val="000000" w:themeColor="text1"/>
        </w:rPr>
        <w:t xml:space="preserve">ai sensi dell’articolo 348 </w:t>
      </w:r>
      <w:r w:rsidR="002C22F8" w:rsidRPr="004A5029">
        <w:rPr>
          <w:rFonts w:ascii="Times New Roman" w:eastAsia="Calibri" w:hAnsi="Times New Roman" w:cs="Times New Roman"/>
          <w:bCs/>
          <w:color w:val="000000" w:themeColor="text1"/>
        </w:rPr>
        <w:t>del codice penale</w:t>
      </w:r>
      <w:r w:rsidRPr="004A5029">
        <w:rPr>
          <w:rFonts w:ascii="Times New Roman" w:eastAsia="Calibri" w:hAnsi="Times New Roman" w:cs="Times New Roman"/>
          <w:bCs/>
          <w:color w:val="000000" w:themeColor="text1"/>
        </w:rPr>
        <w:t xml:space="preserve">; </w:t>
      </w:r>
    </w:p>
    <w:p w14:paraId="0C129D51" w14:textId="0FE2F894"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eastAsia="Calibri" w:hAnsi="Times New Roman" w:cs="Times New Roman"/>
          <w:bCs/>
          <w:color w:val="000000" w:themeColor="text1"/>
        </w:rPr>
        <w:t xml:space="preserve">2) </w:t>
      </w:r>
      <w:r w:rsidR="001E59AD" w:rsidRPr="004A5029">
        <w:rPr>
          <w:rFonts w:ascii="Times New Roman" w:hAnsi="Times New Roman" w:cs="Times New Roman"/>
          <w:color w:val="000000" w:themeColor="text1"/>
        </w:rPr>
        <w:t>bancarotta semplice, bancarotta fraudolenta, omessa dichiarazione di beni da comprendere nell’inventario fallimentare</w:t>
      </w:r>
      <w:r w:rsidR="00DF698C" w:rsidRPr="004A5029">
        <w:rPr>
          <w:rFonts w:ascii="Times New Roman" w:hAnsi="Times New Roman" w:cs="Times New Roman"/>
          <w:color w:val="000000" w:themeColor="text1"/>
        </w:rPr>
        <w:t xml:space="preserve"> o</w:t>
      </w:r>
      <w:r w:rsidR="001E59AD" w:rsidRPr="004A5029">
        <w:rPr>
          <w:rFonts w:ascii="Times New Roman" w:hAnsi="Times New Roman" w:cs="Times New Roman"/>
          <w:color w:val="000000" w:themeColor="text1"/>
        </w:rPr>
        <w:t xml:space="preserve"> ricorso abusivo al credito</w:t>
      </w:r>
      <w:r w:rsidR="00DF698C" w:rsidRPr="004A5029">
        <w:rPr>
          <w:rFonts w:ascii="Times New Roman" w:eastAsia="Calibri" w:hAnsi="Times New Roman" w:cs="Times New Roman"/>
          <w:bCs/>
          <w:color w:val="000000" w:themeColor="text1"/>
        </w:rPr>
        <w:t xml:space="preserve">, </w:t>
      </w:r>
      <w:r w:rsidR="0066318E" w:rsidRPr="004A5029">
        <w:rPr>
          <w:rFonts w:ascii="Times New Roman" w:eastAsia="Calibri" w:hAnsi="Times New Roman" w:cs="Times New Roman"/>
          <w:bCs/>
          <w:color w:val="000000" w:themeColor="text1"/>
        </w:rPr>
        <w:t xml:space="preserve">di cui agli articoli 216, 217, 218 e 220 del </w:t>
      </w:r>
      <w:r w:rsidR="00F90495" w:rsidRPr="004A5029">
        <w:rPr>
          <w:rFonts w:ascii="Times New Roman" w:eastAsia="Calibri" w:hAnsi="Times New Roman" w:cs="Times New Roman"/>
          <w:bCs/>
          <w:color w:val="000000" w:themeColor="text1"/>
        </w:rPr>
        <w:t xml:space="preserve">regio decreto </w:t>
      </w:r>
      <w:r w:rsidR="00967CA0" w:rsidRPr="004A5029">
        <w:rPr>
          <w:rFonts w:ascii="Times New Roman" w:eastAsia="Calibri" w:hAnsi="Times New Roman" w:cs="Times New Roman"/>
          <w:bCs/>
          <w:color w:val="000000" w:themeColor="text1"/>
        </w:rPr>
        <w:t>16 marzo 1942, n. 267</w:t>
      </w:r>
      <w:r w:rsidR="002E2ECC" w:rsidRPr="004A5029">
        <w:rPr>
          <w:rFonts w:ascii="Times New Roman" w:eastAsia="Calibri" w:hAnsi="Times New Roman" w:cs="Times New Roman"/>
          <w:bCs/>
          <w:color w:val="000000" w:themeColor="text1"/>
        </w:rPr>
        <w:t>;</w:t>
      </w:r>
    </w:p>
    <w:p w14:paraId="0A539E29" w14:textId="67A8085A"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3)</w:t>
      </w:r>
      <w:r w:rsidR="00162F66" w:rsidRPr="004A5029">
        <w:rPr>
          <w:rFonts w:ascii="Times New Roman" w:eastAsia="Calibri" w:hAnsi="Times New Roman" w:cs="Times New Roman"/>
          <w:bCs/>
          <w:color w:val="000000" w:themeColor="text1"/>
        </w:rPr>
        <w:t xml:space="preserve"> i</w:t>
      </w:r>
      <w:r w:rsidRPr="004A5029">
        <w:rPr>
          <w:rFonts w:ascii="Times New Roman" w:eastAsia="Calibri" w:hAnsi="Times New Roman" w:cs="Times New Roman"/>
          <w:bCs/>
          <w:color w:val="000000" w:themeColor="text1"/>
        </w:rPr>
        <w:t xml:space="preserve"> reati tributari ai sensi del decreto legislativo 10 marzo 2000, n. 74, </w:t>
      </w:r>
      <w:r w:rsidR="00DF698C" w:rsidRPr="004A5029">
        <w:rPr>
          <w:rFonts w:ascii="Times New Roman" w:eastAsia="Calibri" w:hAnsi="Times New Roman" w:cs="Times New Roman"/>
          <w:bCs/>
          <w:color w:val="000000" w:themeColor="text1"/>
        </w:rPr>
        <w:t xml:space="preserve">i </w:t>
      </w:r>
      <w:r w:rsidRPr="004A5029">
        <w:rPr>
          <w:rFonts w:ascii="Times New Roman" w:eastAsia="Calibri" w:hAnsi="Times New Roman" w:cs="Times New Roman"/>
          <w:bCs/>
          <w:color w:val="000000" w:themeColor="text1"/>
        </w:rPr>
        <w:t>delitti societari</w:t>
      </w:r>
      <w:r w:rsidR="002E2ECC" w:rsidRPr="004A5029">
        <w:rPr>
          <w:rFonts w:ascii="Times New Roman" w:eastAsia="Calibri" w:hAnsi="Times New Roman" w:cs="Times New Roman"/>
          <w:bCs/>
          <w:color w:val="000000" w:themeColor="text1"/>
        </w:rPr>
        <w:t xml:space="preserve"> di cui </w:t>
      </w:r>
      <w:r w:rsidR="002C22F8" w:rsidRPr="004A5029">
        <w:rPr>
          <w:rFonts w:ascii="Times New Roman" w:eastAsia="Calibri" w:hAnsi="Times New Roman" w:cs="Times New Roman"/>
          <w:bCs/>
          <w:color w:val="000000" w:themeColor="text1"/>
        </w:rPr>
        <w:t xml:space="preserve">agli </w:t>
      </w:r>
      <w:r w:rsidR="002E2ECC" w:rsidRPr="004A5029">
        <w:rPr>
          <w:rFonts w:ascii="Times New Roman" w:eastAsia="Calibri" w:hAnsi="Times New Roman" w:cs="Times New Roman"/>
          <w:bCs/>
          <w:color w:val="000000" w:themeColor="text1"/>
        </w:rPr>
        <w:t>articoli 26</w:t>
      </w:r>
      <w:r w:rsidR="009E4591" w:rsidRPr="004A5029">
        <w:rPr>
          <w:rFonts w:ascii="Times New Roman" w:eastAsia="Calibri" w:hAnsi="Times New Roman" w:cs="Times New Roman"/>
          <w:bCs/>
          <w:color w:val="000000" w:themeColor="text1"/>
        </w:rPr>
        <w:t>2</w:t>
      </w:r>
      <w:r w:rsidR="002E2ECC" w:rsidRPr="004A5029">
        <w:rPr>
          <w:rFonts w:ascii="Times New Roman" w:eastAsia="Calibri" w:hAnsi="Times New Roman" w:cs="Times New Roman"/>
          <w:bCs/>
          <w:color w:val="000000" w:themeColor="text1"/>
        </w:rPr>
        <w:t xml:space="preserve">1 e </w:t>
      </w:r>
      <w:r w:rsidR="002C22F8" w:rsidRPr="004A5029">
        <w:rPr>
          <w:rFonts w:ascii="Times New Roman" w:eastAsia="Calibri" w:hAnsi="Times New Roman" w:cs="Times New Roman"/>
          <w:bCs/>
          <w:color w:val="000000" w:themeColor="text1"/>
        </w:rPr>
        <w:t>seguenti del codice civile</w:t>
      </w:r>
      <w:r w:rsidR="00926DA9" w:rsidRPr="004A5029">
        <w:rPr>
          <w:rFonts w:ascii="Times New Roman" w:eastAsia="Calibri" w:hAnsi="Times New Roman" w:cs="Times New Roman"/>
          <w:bCs/>
          <w:color w:val="000000" w:themeColor="text1"/>
        </w:rPr>
        <w:t xml:space="preserve"> o i </w:t>
      </w:r>
      <w:r w:rsidRPr="004A5029">
        <w:rPr>
          <w:rFonts w:ascii="Times New Roman" w:eastAsia="Calibri" w:hAnsi="Times New Roman" w:cs="Times New Roman"/>
          <w:bCs/>
          <w:color w:val="000000" w:themeColor="text1"/>
        </w:rPr>
        <w:t>delitti contro l’industria e il commercio</w:t>
      </w:r>
      <w:r w:rsidR="00926DA9" w:rsidRPr="004A5029">
        <w:rPr>
          <w:rFonts w:ascii="Times New Roman" w:eastAsia="Calibri" w:hAnsi="Times New Roman" w:cs="Times New Roman"/>
          <w:bCs/>
          <w:color w:val="000000" w:themeColor="text1"/>
        </w:rPr>
        <w:t xml:space="preserve"> di cui agli articoli </w:t>
      </w:r>
      <w:r w:rsidR="00162F66" w:rsidRPr="004A5029">
        <w:rPr>
          <w:rFonts w:ascii="Times New Roman" w:eastAsia="Calibri" w:hAnsi="Times New Roman" w:cs="Times New Roman"/>
          <w:bCs/>
          <w:color w:val="000000" w:themeColor="text1"/>
        </w:rPr>
        <w:t xml:space="preserve">da </w:t>
      </w:r>
      <w:r w:rsidR="00926DA9" w:rsidRPr="004A5029">
        <w:rPr>
          <w:rFonts w:ascii="Times New Roman" w:eastAsia="Calibri" w:hAnsi="Times New Roman" w:cs="Times New Roman"/>
          <w:bCs/>
          <w:color w:val="000000" w:themeColor="text1"/>
        </w:rPr>
        <w:t>513</w:t>
      </w:r>
      <w:r w:rsidR="00162F66" w:rsidRPr="004A5029">
        <w:rPr>
          <w:rFonts w:ascii="Times New Roman" w:eastAsia="Calibri" w:hAnsi="Times New Roman" w:cs="Times New Roman"/>
          <w:bCs/>
          <w:color w:val="000000" w:themeColor="text1"/>
        </w:rPr>
        <w:t xml:space="preserve"> a 517 </w:t>
      </w:r>
      <w:r w:rsidR="002C22F8" w:rsidRPr="004A5029">
        <w:rPr>
          <w:rFonts w:ascii="Times New Roman" w:eastAsia="Calibri" w:hAnsi="Times New Roman" w:cs="Times New Roman"/>
          <w:bCs/>
          <w:color w:val="000000" w:themeColor="text1"/>
        </w:rPr>
        <w:t>del codice penale</w:t>
      </w:r>
      <w:r w:rsidRPr="004A5029">
        <w:rPr>
          <w:rFonts w:ascii="Times New Roman" w:eastAsia="Calibri" w:hAnsi="Times New Roman" w:cs="Times New Roman"/>
          <w:bCs/>
          <w:color w:val="000000" w:themeColor="text1"/>
        </w:rPr>
        <w:t xml:space="preserve">; </w:t>
      </w:r>
    </w:p>
    <w:p w14:paraId="66DEAA9C" w14:textId="3B96C311"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4) </w:t>
      </w:r>
      <w:r w:rsidR="00162F66" w:rsidRPr="004A5029">
        <w:rPr>
          <w:rFonts w:ascii="Times New Roman" w:eastAsia="Calibri" w:hAnsi="Times New Roman" w:cs="Times New Roman"/>
          <w:bCs/>
          <w:color w:val="000000" w:themeColor="text1"/>
        </w:rPr>
        <w:t xml:space="preserve">i </w:t>
      </w:r>
      <w:r w:rsidRPr="004A5029">
        <w:rPr>
          <w:rFonts w:ascii="Times New Roman" w:eastAsia="Calibri" w:hAnsi="Times New Roman" w:cs="Times New Roman"/>
          <w:bCs/>
          <w:color w:val="000000" w:themeColor="text1"/>
        </w:rPr>
        <w:t>reati urbanistici di cui all’articolo 44, comma 1</w:t>
      </w:r>
      <w:r w:rsidR="00F90495" w:rsidRPr="004A5029">
        <w:rPr>
          <w:rFonts w:ascii="Times New Roman" w:eastAsia="Calibri" w:hAnsi="Times New Roman" w:cs="Times New Roman"/>
          <w:bCs/>
          <w:color w:val="000000" w:themeColor="text1"/>
        </w:rPr>
        <w:t>,</w:t>
      </w:r>
      <w:r w:rsidRPr="004A5029">
        <w:rPr>
          <w:rFonts w:ascii="Times New Roman" w:eastAsia="Calibri" w:hAnsi="Times New Roman" w:cs="Times New Roman"/>
          <w:bCs/>
          <w:color w:val="000000" w:themeColor="text1"/>
        </w:rPr>
        <w:t xml:space="preserve"> lettere b) e c)</w:t>
      </w:r>
      <w:r w:rsidR="00F90495" w:rsidRPr="004A5029">
        <w:rPr>
          <w:rFonts w:ascii="Times New Roman" w:eastAsia="Calibri" w:hAnsi="Times New Roman" w:cs="Times New Roman"/>
          <w:bCs/>
          <w:color w:val="000000" w:themeColor="text1"/>
        </w:rPr>
        <w:t>,</w:t>
      </w:r>
      <w:r w:rsidRPr="004A5029">
        <w:rPr>
          <w:rFonts w:ascii="Times New Roman" w:eastAsia="Calibri" w:hAnsi="Times New Roman" w:cs="Times New Roman"/>
          <w:bCs/>
          <w:color w:val="000000" w:themeColor="text1"/>
        </w:rPr>
        <w:t xml:space="preserve"> del </w:t>
      </w:r>
      <w:r w:rsidR="00C33955" w:rsidRPr="004A5029">
        <w:rPr>
          <w:rFonts w:ascii="Times New Roman" w:hAnsi="Times New Roman" w:cs="Times New Roman"/>
          <w:b/>
          <w:bCs/>
          <w:color w:val="000000" w:themeColor="text1"/>
        </w:rPr>
        <w:t>testo unico delle disposizioni legislative e regolamentari in materia di edilizia</w:t>
      </w:r>
      <w:r w:rsidR="0030786B" w:rsidRPr="004A5029">
        <w:rPr>
          <w:rFonts w:ascii="Times New Roman" w:eastAsia="Calibri" w:hAnsi="Times New Roman" w:cs="Times New Roman"/>
          <w:b/>
          <w:bCs/>
          <w:color w:val="000000" w:themeColor="text1"/>
        </w:rPr>
        <w:t>,</w:t>
      </w:r>
      <w:r w:rsidR="00C33955" w:rsidRPr="004A5029">
        <w:rPr>
          <w:rFonts w:ascii="Times New Roman" w:hAnsi="Times New Roman" w:cs="Times New Roman"/>
          <w:b/>
          <w:bCs/>
          <w:color w:val="000000" w:themeColor="text1"/>
        </w:rPr>
        <w:t xml:space="preserve"> di cui al</w:t>
      </w:r>
      <w:r w:rsidR="00C33955"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decreto del Presidente della Repubblica 6 giugno 2001, n. 380, con riferimento agli affidamenti aventi a</w:t>
      </w:r>
      <w:r w:rsidR="002C22F8" w:rsidRPr="004A5029">
        <w:rPr>
          <w:rFonts w:ascii="Times New Roman" w:eastAsia="Calibri" w:hAnsi="Times New Roman" w:cs="Times New Roman"/>
          <w:bCs/>
          <w:color w:val="000000" w:themeColor="text1"/>
        </w:rPr>
        <w:t>d</w:t>
      </w:r>
      <w:r w:rsidRPr="004A5029">
        <w:rPr>
          <w:rFonts w:ascii="Times New Roman" w:eastAsia="Calibri" w:hAnsi="Times New Roman" w:cs="Times New Roman"/>
          <w:bCs/>
          <w:color w:val="000000" w:themeColor="text1"/>
        </w:rPr>
        <w:t xml:space="preserve"> oggetto lavori o servizi di architettura e ingegneria; </w:t>
      </w:r>
    </w:p>
    <w:p w14:paraId="1A28A992" w14:textId="44CA5162"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5) </w:t>
      </w:r>
      <w:r w:rsidR="00162F66" w:rsidRPr="004A5029">
        <w:rPr>
          <w:rFonts w:ascii="Times New Roman" w:eastAsia="Calibri" w:hAnsi="Times New Roman" w:cs="Times New Roman"/>
          <w:bCs/>
          <w:color w:val="000000" w:themeColor="text1"/>
        </w:rPr>
        <w:t xml:space="preserve">i </w:t>
      </w:r>
      <w:r w:rsidRPr="004A5029">
        <w:rPr>
          <w:rFonts w:ascii="Times New Roman" w:eastAsia="Calibri" w:hAnsi="Times New Roman" w:cs="Times New Roman"/>
          <w:bCs/>
          <w:color w:val="000000" w:themeColor="text1"/>
        </w:rPr>
        <w:t>reati previsti dal decreto legislativo 8 giugno 2001, n. 231</w:t>
      </w:r>
      <w:r w:rsidR="00C20C69" w:rsidRPr="004A5029">
        <w:rPr>
          <w:rFonts w:ascii="Times New Roman" w:eastAsia="Calibri" w:hAnsi="Times New Roman" w:cs="Times New Roman"/>
          <w:b/>
          <w:color w:val="000000" w:themeColor="text1"/>
        </w:rPr>
        <w:t>.</w:t>
      </w:r>
      <w:r w:rsidRPr="004A5029">
        <w:rPr>
          <w:rFonts w:ascii="Times New Roman" w:eastAsia="Calibri" w:hAnsi="Times New Roman" w:cs="Times New Roman"/>
          <w:bCs/>
          <w:color w:val="000000" w:themeColor="text1"/>
        </w:rPr>
        <w:t xml:space="preserve"> </w:t>
      </w:r>
    </w:p>
    <w:p w14:paraId="185887AE" w14:textId="639A9015" w:rsidR="00446F27" w:rsidRPr="004A5029" w:rsidRDefault="00446F27" w:rsidP="00446F27">
      <w:pPr>
        <w:ind w:left="10"/>
        <w:jc w:val="both"/>
        <w:rPr>
          <w:rFonts w:ascii="Times New Roman" w:eastAsia="Calibri" w:hAnsi="Times New Roman" w:cs="Times New Roman"/>
          <w:b/>
          <w:bCs/>
          <w:strike/>
          <w:color w:val="000000" w:themeColor="text1"/>
        </w:rPr>
      </w:pPr>
      <w:r w:rsidRPr="004A5029">
        <w:rPr>
          <w:rFonts w:ascii="Times New Roman" w:eastAsia="Calibri" w:hAnsi="Times New Roman" w:cs="Times New Roman"/>
          <w:b/>
          <w:bCs/>
          <w:strike/>
          <w:color w:val="000000" w:themeColor="text1"/>
        </w:rPr>
        <w:t>i) commissione, da parte dell’operatore economico, di condotte diverse da quelle di cui alle precedenti lettere, la cui gravità incida in modo evidente sull’affidabilità ed integrità del medesimo in misura tale da compromettere l’interesse pubblico.</w:t>
      </w:r>
    </w:p>
    <w:p w14:paraId="31BC978F" w14:textId="0FFFB730" w:rsidR="00446F27" w:rsidRPr="004A5029" w:rsidRDefault="0093247B" w:rsidP="00446F27">
      <w:pPr>
        <w:ind w:left="10"/>
        <w:jc w:val="both"/>
        <w:rPr>
          <w:rFonts w:ascii="Times New Roman" w:eastAsia="Calibri" w:hAnsi="Times New Roman" w:cs="Times New Roman"/>
          <w:bCs/>
          <w:color w:val="000000" w:themeColor="text1"/>
        </w:rPr>
      </w:pPr>
      <w:r w:rsidRPr="0093247B">
        <w:rPr>
          <w:rFonts w:ascii="Times New Roman" w:eastAsia="Calibri" w:hAnsi="Times New Roman" w:cs="Times New Roman"/>
          <w:b/>
          <w:color w:val="000000" w:themeColor="text1"/>
        </w:rPr>
        <w:t xml:space="preserve">4. </w:t>
      </w:r>
      <w:r w:rsidR="00446F27" w:rsidRPr="004A5029">
        <w:rPr>
          <w:rFonts w:ascii="Times New Roman" w:eastAsia="Calibri" w:hAnsi="Times New Roman" w:cs="Times New Roman"/>
          <w:bCs/>
          <w:color w:val="000000" w:themeColor="text1"/>
        </w:rPr>
        <w:t xml:space="preserve">La valutazione di gravità tiene conto del bene giuridico e dell’entità della lesione inferta dalla condotta integrante uno degli elementi </w:t>
      </w:r>
      <w:r w:rsidR="00446F27" w:rsidRPr="002F694E">
        <w:rPr>
          <w:rFonts w:ascii="Times New Roman" w:eastAsia="Calibri" w:hAnsi="Times New Roman" w:cs="Times New Roman"/>
          <w:bCs/>
          <w:color w:val="000000" w:themeColor="text1"/>
        </w:rPr>
        <w:t xml:space="preserve">di cui al comma </w:t>
      </w:r>
      <w:r w:rsidR="0085711D" w:rsidRPr="00686598">
        <w:rPr>
          <w:rFonts w:ascii="Times New Roman" w:eastAsia="Calibri" w:hAnsi="Times New Roman" w:cs="Times New Roman"/>
          <w:b/>
          <w:color w:val="000000" w:themeColor="text1"/>
        </w:rPr>
        <w:t>3</w:t>
      </w:r>
      <w:r w:rsidR="00446F27" w:rsidRPr="00686598">
        <w:rPr>
          <w:rFonts w:ascii="Times New Roman" w:eastAsia="Calibri" w:hAnsi="Times New Roman" w:cs="Times New Roman"/>
          <w:bCs/>
          <w:color w:val="000000" w:themeColor="text1"/>
        </w:rPr>
        <w:t xml:space="preserve"> </w:t>
      </w:r>
      <w:r w:rsidR="00446F27" w:rsidRPr="004A5029">
        <w:rPr>
          <w:rFonts w:ascii="Times New Roman" w:eastAsia="Calibri" w:hAnsi="Times New Roman" w:cs="Times New Roman"/>
          <w:bCs/>
          <w:color w:val="000000" w:themeColor="text1"/>
        </w:rPr>
        <w:t>e del tempo trascorso dalla violazione, anche in relazione a modifiche intervenute nel frattempo nell’organizzazione dell’impresa.</w:t>
      </w:r>
    </w:p>
    <w:p w14:paraId="2B80FAEC" w14:textId="109B3CB8" w:rsidR="00446F27" w:rsidRPr="004A5029" w:rsidRDefault="0093247B" w:rsidP="00446F27">
      <w:pPr>
        <w:ind w:left="10"/>
        <w:jc w:val="both"/>
        <w:rPr>
          <w:rFonts w:ascii="Times New Roman" w:eastAsia="Calibri" w:hAnsi="Times New Roman" w:cs="Times New Roman"/>
          <w:bCs/>
          <w:color w:val="000000" w:themeColor="text1"/>
        </w:rPr>
      </w:pPr>
      <w:r w:rsidRPr="0093247B">
        <w:rPr>
          <w:rFonts w:ascii="Times New Roman" w:eastAsia="Calibri" w:hAnsi="Times New Roman" w:cs="Times New Roman"/>
          <w:b/>
          <w:color w:val="000000" w:themeColor="text1"/>
        </w:rPr>
        <w:t xml:space="preserve">5. </w:t>
      </w:r>
      <w:r w:rsidR="00446F27" w:rsidRPr="004A5029">
        <w:rPr>
          <w:rFonts w:ascii="Times New Roman" w:eastAsia="Calibri" w:hAnsi="Times New Roman" w:cs="Times New Roman"/>
          <w:bCs/>
          <w:color w:val="000000" w:themeColor="text1"/>
        </w:rPr>
        <w:t xml:space="preserve">Le dichiarazioni omesse o non veritiere rese nella stessa gara e diverse da quelle di cui alla lettera b) del comma </w:t>
      </w:r>
      <w:r w:rsidR="009D4B59" w:rsidRPr="009D4B59">
        <w:rPr>
          <w:rFonts w:ascii="Times New Roman" w:eastAsia="Calibri" w:hAnsi="Times New Roman" w:cs="Times New Roman"/>
          <w:b/>
          <w:color w:val="000000" w:themeColor="text1"/>
        </w:rPr>
        <w:t>3</w:t>
      </w:r>
      <w:r w:rsidR="0085711D" w:rsidRPr="004A5029">
        <w:rPr>
          <w:rFonts w:ascii="Times New Roman" w:eastAsia="Calibri" w:hAnsi="Times New Roman" w:cs="Times New Roman"/>
          <w:b/>
          <w:color w:val="000000" w:themeColor="text1"/>
        </w:rPr>
        <w:t xml:space="preserve"> </w:t>
      </w:r>
      <w:r w:rsidR="00446F27" w:rsidRPr="004A5029">
        <w:rPr>
          <w:rFonts w:ascii="Times New Roman" w:eastAsia="Calibri" w:hAnsi="Times New Roman" w:cs="Times New Roman"/>
          <w:bCs/>
          <w:color w:val="000000" w:themeColor="text1"/>
        </w:rPr>
        <w:t xml:space="preserve">possono essere utilizzate a supporto della valutazione di gravità riferita agli elementi di cui al comma </w:t>
      </w:r>
      <w:r w:rsidR="009D4B59" w:rsidRPr="00DA694D">
        <w:rPr>
          <w:rFonts w:ascii="Times New Roman" w:eastAsia="Calibri" w:hAnsi="Times New Roman" w:cs="Times New Roman"/>
          <w:b/>
          <w:color w:val="000000" w:themeColor="text1"/>
        </w:rPr>
        <w:t>3</w:t>
      </w:r>
      <w:r w:rsidR="005665F7">
        <w:rPr>
          <w:rFonts w:ascii="Times New Roman" w:eastAsia="Calibri" w:hAnsi="Times New Roman" w:cs="Times New Roman"/>
          <w:bCs/>
          <w:color w:val="000000" w:themeColor="text1"/>
        </w:rPr>
        <w:t xml:space="preserve">. </w:t>
      </w:r>
    </w:p>
    <w:p w14:paraId="70A5F0C1" w14:textId="5DFB6695" w:rsidR="00446F27" w:rsidRPr="0093247B" w:rsidRDefault="0093247B" w:rsidP="00446F27">
      <w:pPr>
        <w:jc w:val="both"/>
        <w:rPr>
          <w:rFonts w:ascii="Times New Roman" w:eastAsia="Calibri" w:hAnsi="Times New Roman" w:cs="Times New Roman"/>
          <w:bCs/>
          <w:strike/>
          <w:color w:val="000000" w:themeColor="text1"/>
        </w:rPr>
      </w:pPr>
      <w:r w:rsidRPr="0093247B">
        <w:rPr>
          <w:rFonts w:ascii="Times New Roman" w:eastAsia="Calibri" w:hAnsi="Times New Roman" w:cs="Times New Roman"/>
          <w:b/>
          <w:color w:val="000000" w:themeColor="text1"/>
        </w:rPr>
        <w:t>6.</w:t>
      </w:r>
      <w:r>
        <w:rPr>
          <w:rFonts w:ascii="Times New Roman" w:eastAsia="Calibri" w:hAnsi="Times New Roman" w:cs="Times New Roman"/>
          <w:bCs/>
          <w:color w:val="000000" w:themeColor="text1"/>
        </w:rPr>
        <w:t xml:space="preserve"> </w:t>
      </w:r>
      <w:r w:rsidR="00446F27" w:rsidRPr="004A5029">
        <w:rPr>
          <w:rFonts w:ascii="Times New Roman" w:eastAsia="Calibri" w:hAnsi="Times New Roman" w:cs="Times New Roman"/>
          <w:bCs/>
          <w:color w:val="000000" w:themeColor="text1"/>
        </w:rPr>
        <w:t xml:space="preserve">Costituiscono mezzi di prova adeguati, in relazione al comma </w:t>
      </w:r>
      <w:r w:rsidRPr="0093247B">
        <w:rPr>
          <w:rFonts w:ascii="Times New Roman" w:eastAsia="Calibri" w:hAnsi="Times New Roman" w:cs="Times New Roman"/>
          <w:b/>
          <w:color w:val="000000" w:themeColor="text1"/>
        </w:rPr>
        <w:t>3</w:t>
      </w:r>
      <w:r w:rsidR="005665F7">
        <w:rPr>
          <w:rFonts w:ascii="Times New Roman" w:eastAsia="Calibri" w:hAnsi="Times New Roman" w:cs="Times New Roman"/>
          <w:bCs/>
          <w:color w:val="000000" w:themeColor="text1"/>
        </w:rPr>
        <w:t>:</w:t>
      </w:r>
    </w:p>
    <w:p w14:paraId="223E7E60" w14:textId="2256636A"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quanto alla lettera a),</w:t>
      </w:r>
      <w:r w:rsidRPr="004A5029">
        <w:rPr>
          <w:rFonts w:ascii="Times New Roman" w:eastAsia="Calibri" w:hAnsi="Times New Roman" w:cs="Times New Roman"/>
          <w:color w:val="000000" w:themeColor="text1"/>
        </w:rPr>
        <w:t xml:space="preserve"> </w:t>
      </w:r>
      <w:r w:rsidRPr="004A5029">
        <w:rPr>
          <w:rFonts w:ascii="Times New Roman" w:eastAsia="Times New Roman" w:hAnsi="Times New Roman" w:cs="Times New Roman"/>
          <w:color w:val="000000" w:themeColor="text1"/>
          <w:lang w:eastAsia="it-IT"/>
        </w:rPr>
        <w:t>i provvedimenti sanzionatori esecutivi resi da</w:t>
      </w:r>
      <w:r w:rsidR="0010251F" w:rsidRPr="004A5029">
        <w:rPr>
          <w:rFonts w:ascii="Times New Roman" w:eastAsia="Times New Roman" w:hAnsi="Times New Roman" w:cs="Times New Roman"/>
          <w:b/>
          <w:bCs/>
          <w:color w:val="000000" w:themeColor="text1"/>
          <w:lang w:eastAsia="it-IT"/>
        </w:rPr>
        <w:t>ll’</w:t>
      </w:r>
      <w:r w:rsidRPr="004A5029">
        <w:rPr>
          <w:rFonts w:ascii="Times New Roman" w:eastAsia="Times New Roman" w:hAnsi="Times New Roman" w:cs="Times New Roman"/>
          <w:color w:val="000000" w:themeColor="text1"/>
          <w:lang w:eastAsia="it-IT"/>
        </w:rPr>
        <w:t xml:space="preserve">Autorità </w:t>
      </w:r>
      <w:r w:rsidRPr="004A5029">
        <w:rPr>
          <w:rFonts w:ascii="Times New Roman" w:eastAsia="Times New Roman" w:hAnsi="Times New Roman" w:cs="Times New Roman"/>
          <w:b/>
          <w:bCs/>
          <w:strike/>
          <w:color w:val="000000" w:themeColor="text1"/>
          <w:lang w:eastAsia="it-IT"/>
        </w:rPr>
        <w:t>G</w:t>
      </w:r>
      <w:r w:rsidR="003F6510" w:rsidRPr="004A5029">
        <w:rPr>
          <w:rFonts w:ascii="Times New Roman" w:eastAsia="Times New Roman" w:hAnsi="Times New Roman" w:cs="Times New Roman"/>
          <w:b/>
          <w:bCs/>
          <w:color w:val="000000" w:themeColor="text1"/>
          <w:lang w:eastAsia="it-IT"/>
        </w:rPr>
        <w:t>g</w:t>
      </w:r>
      <w:r w:rsidRPr="004A5029">
        <w:rPr>
          <w:rFonts w:ascii="Times New Roman" w:eastAsia="Times New Roman" w:hAnsi="Times New Roman" w:cs="Times New Roman"/>
          <w:color w:val="000000" w:themeColor="text1"/>
          <w:lang w:eastAsia="it-IT"/>
        </w:rPr>
        <w:t xml:space="preserve">arante della </w:t>
      </w:r>
      <w:r w:rsidRPr="004A5029">
        <w:rPr>
          <w:rFonts w:ascii="Times New Roman" w:eastAsia="Times New Roman" w:hAnsi="Times New Roman" w:cs="Times New Roman"/>
          <w:b/>
          <w:bCs/>
          <w:strike/>
          <w:color w:val="000000" w:themeColor="text1"/>
          <w:lang w:eastAsia="it-IT"/>
        </w:rPr>
        <w:t>C</w:t>
      </w:r>
      <w:r w:rsidR="003F6510" w:rsidRPr="004A5029">
        <w:rPr>
          <w:rFonts w:ascii="Times New Roman" w:eastAsia="Times New Roman" w:hAnsi="Times New Roman" w:cs="Times New Roman"/>
          <w:b/>
          <w:bCs/>
          <w:color w:val="000000" w:themeColor="text1"/>
          <w:lang w:eastAsia="it-IT"/>
        </w:rPr>
        <w:t>c</w:t>
      </w:r>
      <w:r w:rsidRPr="004A5029">
        <w:rPr>
          <w:rFonts w:ascii="Times New Roman" w:eastAsia="Times New Roman" w:hAnsi="Times New Roman" w:cs="Times New Roman"/>
          <w:color w:val="000000" w:themeColor="text1"/>
          <w:lang w:eastAsia="it-IT"/>
        </w:rPr>
        <w:t xml:space="preserve">oncorrenza e del </w:t>
      </w:r>
      <w:r w:rsidRPr="004A5029">
        <w:rPr>
          <w:rFonts w:ascii="Times New Roman" w:eastAsia="Times New Roman" w:hAnsi="Times New Roman" w:cs="Times New Roman"/>
          <w:b/>
          <w:bCs/>
          <w:strike/>
          <w:color w:val="000000" w:themeColor="text1"/>
          <w:lang w:eastAsia="it-IT"/>
        </w:rPr>
        <w:t>M</w:t>
      </w:r>
      <w:r w:rsidR="003F6510" w:rsidRPr="004A5029">
        <w:rPr>
          <w:rFonts w:ascii="Times New Roman" w:eastAsia="Times New Roman" w:hAnsi="Times New Roman" w:cs="Times New Roman"/>
          <w:b/>
          <w:bCs/>
          <w:color w:val="000000" w:themeColor="text1"/>
          <w:lang w:eastAsia="it-IT"/>
        </w:rPr>
        <w:t>m</w:t>
      </w:r>
      <w:r w:rsidRPr="004A5029">
        <w:rPr>
          <w:rFonts w:ascii="Times New Roman" w:eastAsia="Times New Roman" w:hAnsi="Times New Roman" w:cs="Times New Roman"/>
          <w:color w:val="000000" w:themeColor="text1"/>
          <w:lang w:eastAsia="it-IT"/>
        </w:rPr>
        <w:t>ercato o da altra autorità di settore;</w:t>
      </w:r>
    </w:p>
    <w:p w14:paraId="699496FF"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quanto alla lettera b)</w:t>
      </w:r>
      <w:r w:rsidRPr="004A5029">
        <w:rPr>
          <w:rFonts w:ascii="Times New Roman" w:eastAsia="Calibri" w:hAnsi="Times New Roman" w:cs="Times New Roman"/>
          <w:color w:val="000000" w:themeColor="text1"/>
        </w:rPr>
        <w:t>,</w:t>
      </w:r>
      <w:r w:rsidRPr="004A5029">
        <w:rPr>
          <w:rFonts w:ascii="Times New Roman" w:eastAsia="Times New Roman" w:hAnsi="Times New Roman" w:cs="Times New Roman"/>
          <w:color w:val="000000" w:themeColor="text1"/>
          <w:lang w:eastAsia="it-IT"/>
        </w:rPr>
        <w:t xml:space="preserve"> la presenza di indizi gravi, precisi e concordanti che rendano evidente il ricorrere della situazione escludente</w:t>
      </w:r>
      <w:r w:rsidRPr="004A5029">
        <w:rPr>
          <w:rFonts w:ascii="Times New Roman" w:eastAsia="Calibri" w:hAnsi="Times New Roman" w:cs="Times New Roman"/>
          <w:color w:val="000000" w:themeColor="text1"/>
        </w:rPr>
        <w:t>;</w:t>
      </w:r>
    </w:p>
    <w:p w14:paraId="136974F9"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c) quanto alla lettera c), l’intervenuta risoluzione per inadempimento o la condanna al risarcimento del danno o ad altre conseguenze comparabili;</w:t>
      </w:r>
    </w:p>
    <w:p w14:paraId="5628E36E"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d) quanto alla lettera d), la emissione di provvedimenti giurisdizionali anche non definitivi;</w:t>
      </w:r>
    </w:p>
    <w:p w14:paraId="322318BE"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e) quanto alla lettera e), l'accertamento definitivo della violazione;</w:t>
      </w:r>
    </w:p>
    <w:p w14:paraId="042B46B9" w14:textId="7777777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f) quanto alla lettera f), gli elementi ivi indicati;</w:t>
      </w:r>
    </w:p>
    <w:p w14:paraId="24751C67" w14:textId="4F507107"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g) quanto alla lettera g), gli atti di cui all’articolo </w:t>
      </w:r>
      <w:r w:rsidRPr="004A5029">
        <w:rPr>
          <w:rFonts w:ascii="Times New Roman" w:eastAsia="Calibri" w:hAnsi="Times New Roman" w:cs="Times New Roman"/>
          <w:b/>
          <w:strike/>
          <w:color w:val="000000" w:themeColor="text1"/>
        </w:rPr>
        <w:t>405</w:t>
      </w:r>
      <w:r w:rsidR="00B12AA0" w:rsidRPr="004A5029">
        <w:rPr>
          <w:rFonts w:ascii="Times New Roman" w:eastAsia="Calibri" w:hAnsi="Times New Roman" w:cs="Times New Roman"/>
          <w:b/>
          <w:color w:val="000000" w:themeColor="text1"/>
        </w:rPr>
        <w:t xml:space="preserve"> 407-</w:t>
      </w:r>
      <w:r w:rsidR="00B12AA0" w:rsidRPr="004A5029">
        <w:rPr>
          <w:rFonts w:ascii="Times New Roman" w:eastAsia="Calibri" w:hAnsi="Times New Roman" w:cs="Times New Roman"/>
          <w:b/>
          <w:i/>
          <w:iCs/>
          <w:color w:val="000000" w:themeColor="text1"/>
        </w:rPr>
        <w:t>bis</w:t>
      </w:r>
      <w:r w:rsidR="00F90495" w:rsidRPr="004A5029">
        <w:rPr>
          <w:rFonts w:ascii="Times New Roman" w:eastAsia="Calibri" w:hAnsi="Times New Roman" w:cs="Times New Roman"/>
          <w:bCs/>
          <w:color w:val="000000" w:themeColor="text1"/>
        </w:rPr>
        <w:t>,</w:t>
      </w:r>
      <w:r w:rsidRPr="004A5029">
        <w:rPr>
          <w:rFonts w:ascii="Times New Roman" w:eastAsia="Calibri" w:hAnsi="Times New Roman" w:cs="Times New Roman"/>
          <w:bCs/>
          <w:color w:val="000000" w:themeColor="text1"/>
        </w:rPr>
        <w:t xml:space="preserve"> comma 1</w:t>
      </w:r>
      <w:r w:rsidR="00F90495" w:rsidRPr="004A5029">
        <w:rPr>
          <w:rFonts w:ascii="Times New Roman" w:eastAsia="Calibri" w:hAnsi="Times New Roman" w:cs="Times New Roman"/>
          <w:bCs/>
          <w:color w:val="000000" w:themeColor="text1"/>
        </w:rPr>
        <w:t>,</w:t>
      </w:r>
      <w:r w:rsidRPr="004A5029">
        <w:rPr>
          <w:rFonts w:ascii="Times New Roman" w:eastAsia="Calibri" w:hAnsi="Times New Roman" w:cs="Times New Roman"/>
          <w:bCs/>
          <w:color w:val="000000" w:themeColor="text1"/>
        </w:rPr>
        <w:t xml:space="preserve">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w:t>
      </w:r>
      <w:hyperlink r:id="rId27" w:anchor="id=05AC00006052,__m=document" w:history="1">
        <w:r w:rsidRPr="004A5029">
          <w:rPr>
            <w:rFonts w:ascii="Times New Roman" w:eastAsia="Calibri" w:hAnsi="Times New Roman" w:cs="Times New Roman"/>
            <w:bCs/>
            <w:color w:val="000000" w:themeColor="text1"/>
          </w:rPr>
          <w:t>articolo 444 del codice di procedura penale</w:t>
        </w:r>
      </w:hyperlink>
      <w:r w:rsidRPr="004A5029">
        <w:rPr>
          <w:rFonts w:ascii="Times New Roman" w:eastAsia="Calibri" w:hAnsi="Times New Roman" w:cs="Times New Roman"/>
          <w:bCs/>
          <w:color w:val="000000" w:themeColor="text1"/>
        </w:rPr>
        <w:t>;</w:t>
      </w:r>
    </w:p>
    <w:p w14:paraId="20A74016" w14:textId="6342BE79" w:rsidR="00446F27" w:rsidRPr="004A5029" w:rsidRDefault="00446F27" w:rsidP="00446F27">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h) quanto alla lettera h), </w:t>
      </w:r>
      <w:r w:rsidRPr="004A5029">
        <w:rPr>
          <w:rFonts w:ascii="Times New Roman" w:eastAsia="Calibri" w:hAnsi="Times New Roman" w:cs="Times New Roman"/>
          <w:b/>
          <w:strike/>
          <w:color w:val="000000" w:themeColor="text1"/>
        </w:rPr>
        <w:t>oltre alla</w:t>
      </w:r>
      <w:r w:rsidRPr="004A5029">
        <w:rPr>
          <w:rFonts w:ascii="Times New Roman" w:eastAsia="Calibri" w:hAnsi="Times New Roman" w:cs="Times New Roman"/>
          <w:bCs/>
          <w:color w:val="000000" w:themeColor="text1"/>
        </w:rPr>
        <w:t xml:space="preserve"> </w:t>
      </w:r>
      <w:r w:rsidR="00D226F9" w:rsidRPr="004A5029">
        <w:rPr>
          <w:rFonts w:ascii="Times New Roman" w:eastAsia="Calibri" w:hAnsi="Times New Roman" w:cs="Times New Roman"/>
          <w:b/>
          <w:color w:val="000000" w:themeColor="text1"/>
        </w:rPr>
        <w:t>la</w:t>
      </w:r>
      <w:r w:rsidR="00D226F9"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Cs/>
          <w:color w:val="000000" w:themeColor="text1"/>
        </w:rPr>
        <w:t xml:space="preserve">sentenza di condanna definitiva, </w:t>
      </w:r>
      <w:r w:rsidRPr="004A5029">
        <w:rPr>
          <w:rFonts w:ascii="Times New Roman" w:eastAsia="Calibri" w:hAnsi="Times New Roman" w:cs="Times New Roman"/>
          <w:b/>
          <w:strike/>
          <w:color w:val="000000" w:themeColor="text1"/>
        </w:rPr>
        <w:t>al</w:t>
      </w:r>
      <w:r w:rsidRPr="004A5029">
        <w:rPr>
          <w:rFonts w:ascii="Times New Roman" w:eastAsia="Calibri" w:hAnsi="Times New Roman" w:cs="Times New Roman"/>
          <w:bCs/>
          <w:color w:val="000000" w:themeColor="text1"/>
        </w:rPr>
        <w:t xml:space="preserve"> </w:t>
      </w:r>
      <w:r w:rsidR="00D226F9" w:rsidRPr="004A5029">
        <w:rPr>
          <w:rFonts w:ascii="Times New Roman" w:eastAsia="Calibri" w:hAnsi="Times New Roman" w:cs="Times New Roman"/>
          <w:b/>
          <w:color w:val="000000" w:themeColor="text1"/>
        </w:rPr>
        <w:t>il</w:t>
      </w:r>
      <w:r w:rsidR="00D226F9"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Cs/>
          <w:color w:val="000000" w:themeColor="text1"/>
        </w:rPr>
        <w:t xml:space="preserve">decreto penale di condanna irrevocabile, </w:t>
      </w:r>
      <w:r w:rsidR="00D226F9" w:rsidRPr="004A5029">
        <w:rPr>
          <w:rFonts w:ascii="Times New Roman" w:eastAsia="Calibri" w:hAnsi="Times New Roman" w:cs="Times New Roman"/>
          <w:b/>
          <w:color w:val="000000" w:themeColor="text1"/>
        </w:rPr>
        <w:t xml:space="preserve">e </w:t>
      </w:r>
      <w:r w:rsidRPr="004A5029">
        <w:rPr>
          <w:rFonts w:ascii="Times New Roman" w:eastAsia="Calibri" w:hAnsi="Times New Roman" w:cs="Times New Roman"/>
          <w:b/>
          <w:strike/>
          <w:color w:val="000000" w:themeColor="text1"/>
        </w:rPr>
        <w:t>alla sentenza irrevocabile di applicazione della pena su richiesta ai sensi dell'</w:t>
      </w:r>
      <w:hyperlink r:id="rId28" w:anchor="id=05AC00006052,__m=document">
        <w:r w:rsidRPr="004A5029">
          <w:rPr>
            <w:rFonts w:ascii="Times New Roman" w:eastAsia="Calibri" w:hAnsi="Times New Roman" w:cs="Times New Roman"/>
            <w:b/>
            <w:strike/>
            <w:color w:val="000000" w:themeColor="text1"/>
          </w:rPr>
          <w:t>articolo 444 del codice di procedura penale</w:t>
        </w:r>
      </w:hyperlink>
      <w:r w:rsidRPr="004A5029">
        <w:rPr>
          <w:rFonts w:ascii="Times New Roman" w:eastAsia="Calibri" w:hAnsi="Times New Roman" w:cs="Times New Roman"/>
          <w:b/>
          <w:color w:val="000000" w:themeColor="text1"/>
        </w:rPr>
        <w:t>,</w:t>
      </w:r>
      <w:r w:rsidRPr="004A5029">
        <w:rPr>
          <w:rFonts w:ascii="Times New Roman" w:eastAsia="Calibri" w:hAnsi="Times New Roman" w:cs="Times New Roman"/>
          <w:bCs/>
          <w:color w:val="000000" w:themeColor="text1"/>
        </w:rPr>
        <w:t xml:space="preserve"> la condanna non definitiva, </w:t>
      </w:r>
      <w:r w:rsidRPr="004A5029">
        <w:rPr>
          <w:rFonts w:ascii="Times New Roman" w:eastAsia="Calibri" w:hAnsi="Times New Roman" w:cs="Times New Roman"/>
          <w:b/>
          <w:strike/>
          <w:color w:val="000000" w:themeColor="text1"/>
        </w:rPr>
        <w:t>il decreto penale di condanna non irrevocabile, la sentenza non irrevocabile di applicazione della pena su richiesta ai sensi dell'</w:t>
      </w:r>
      <w:hyperlink r:id="rId29" w:anchor="id=05AC00006052,__m=document">
        <w:r w:rsidRPr="004A5029">
          <w:rPr>
            <w:rFonts w:ascii="Times New Roman" w:eastAsia="Calibri" w:hAnsi="Times New Roman" w:cs="Times New Roman"/>
            <w:b/>
            <w:strike/>
            <w:color w:val="000000" w:themeColor="text1"/>
          </w:rPr>
          <w:t>articolo 444 del codice di procedura penale</w:t>
        </w:r>
      </w:hyperlink>
      <w:r w:rsidRPr="004A5029">
        <w:rPr>
          <w:rFonts w:ascii="Times New Roman" w:eastAsia="Calibri" w:hAnsi="Times New Roman" w:cs="Times New Roman"/>
          <w:b/>
          <w:strike/>
          <w:color w:val="000000" w:themeColor="text1"/>
        </w:rPr>
        <w:t xml:space="preserve">, oppure gli atti di cui all’articolo </w:t>
      </w:r>
      <w:r w:rsidR="00B12AA0" w:rsidRPr="004A5029">
        <w:rPr>
          <w:rFonts w:ascii="Times New Roman" w:eastAsia="Calibri" w:hAnsi="Times New Roman" w:cs="Times New Roman"/>
          <w:b/>
          <w:strike/>
          <w:color w:val="000000" w:themeColor="text1"/>
        </w:rPr>
        <w:t>405 407-</w:t>
      </w:r>
      <w:r w:rsidR="00B12AA0" w:rsidRPr="004A5029">
        <w:rPr>
          <w:rFonts w:ascii="Times New Roman" w:eastAsia="Calibri" w:hAnsi="Times New Roman" w:cs="Times New Roman"/>
          <w:b/>
          <w:i/>
          <w:iCs/>
          <w:strike/>
          <w:color w:val="000000" w:themeColor="text1"/>
        </w:rPr>
        <w:t>bis</w:t>
      </w:r>
      <w:r w:rsidRPr="004A5029">
        <w:rPr>
          <w:rFonts w:ascii="Times New Roman" w:eastAsia="Calibri" w:hAnsi="Times New Roman" w:cs="Times New Roman"/>
          <w:b/>
          <w:strike/>
          <w:color w:val="000000" w:themeColor="text1"/>
        </w:rPr>
        <w:t xml:space="preserve">, comma 1 del codice di procedura penale, il decreto che dispone il giudizio ai sensi dell’articolo 429 del codice di procedura penale o eventuali </w:t>
      </w:r>
      <w:r w:rsidR="00D076E1" w:rsidRPr="00D076E1">
        <w:rPr>
          <w:rFonts w:ascii="Times New Roman" w:eastAsia="Calibri" w:hAnsi="Times New Roman" w:cs="Times New Roman"/>
          <w:b/>
          <w:color w:val="000000" w:themeColor="text1"/>
        </w:rPr>
        <w:t xml:space="preserve">i </w:t>
      </w:r>
      <w:r w:rsidRPr="004A5029">
        <w:rPr>
          <w:rFonts w:ascii="Times New Roman" w:eastAsia="Calibri" w:hAnsi="Times New Roman" w:cs="Times New Roman"/>
          <w:bCs/>
          <w:color w:val="000000" w:themeColor="text1"/>
        </w:rPr>
        <w:t xml:space="preserve">provvedimenti cautelari reali o personali, ove </w:t>
      </w:r>
      <w:r w:rsidRPr="004A5029">
        <w:rPr>
          <w:rFonts w:ascii="Times New Roman" w:eastAsia="Calibri" w:hAnsi="Times New Roman" w:cs="Times New Roman"/>
          <w:b/>
          <w:strike/>
          <w:color w:val="000000" w:themeColor="text1"/>
        </w:rPr>
        <w:t>consentiti</w:t>
      </w:r>
      <w:r w:rsidRPr="004A5029">
        <w:rPr>
          <w:rFonts w:ascii="Times New Roman" w:eastAsia="Calibri" w:hAnsi="Times New Roman" w:cs="Times New Roman"/>
          <w:bCs/>
          <w:color w:val="000000" w:themeColor="text1"/>
        </w:rPr>
        <w:t xml:space="preserve"> emessi dal giudice penale;</w:t>
      </w:r>
    </w:p>
    <w:p w14:paraId="6B8659BF" w14:textId="626BF9ED" w:rsidR="00446F27" w:rsidRPr="004A5029" w:rsidRDefault="00446F27" w:rsidP="00446F27">
      <w:pPr>
        <w:jc w:val="both"/>
        <w:rPr>
          <w:rFonts w:ascii="Times New Roman" w:eastAsia="Calibri" w:hAnsi="Times New Roman" w:cs="Times New Roman"/>
          <w:b/>
          <w:bCs/>
          <w:strike/>
          <w:color w:val="000000" w:themeColor="text1"/>
        </w:rPr>
      </w:pPr>
      <w:r w:rsidRPr="004A5029">
        <w:rPr>
          <w:rFonts w:ascii="Times New Roman" w:eastAsia="Calibri" w:hAnsi="Times New Roman" w:cs="Times New Roman"/>
          <w:b/>
          <w:bCs/>
          <w:strike/>
          <w:color w:val="000000" w:themeColor="text1"/>
        </w:rPr>
        <w:t xml:space="preserve">i) quanto alla lettera i), i provvedimenti di cui alle lettere g) ed h) ovvero ogni altro atto o fatto dai quali si desuma </w:t>
      </w:r>
      <w:r w:rsidRPr="004A5029">
        <w:rPr>
          <w:rFonts w:ascii="Times New Roman" w:eastAsia="Times New Roman" w:hAnsi="Times New Roman" w:cs="Times New Roman"/>
          <w:b/>
          <w:bCs/>
          <w:strike/>
          <w:color w:val="000000" w:themeColor="text1"/>
          <w:lang w:eastAsia="it-IT"/>
        </w:rPr>
        <w:t>la presenza di indizi gravi, precisi e concordanti che rendano evidente il ricorrere della situazione escludente.</w:t>
      </w:r>
    </w:p>
    <w:p w14:paraId="1CC07639" w14:textId="4BAB36AA" w:rsidR="00446F27" w:rsidRPr="004A5029" w:rsidRDefault="005665F7" w:rsidP="00446F27">
      <w:pPr>
        <w:jc w:val="both"/>
        <w:rPr>
          <w:rFonts w:ascii="Times New Roman" w:eastAsia="Calibri" w:hAnsi="Times New Roman" w:cs="Times New Roman"/>
          <w:color w:val="000000" w:themeColor="text1"/>
        </w:rPr>
      </w:pPr>
      <w:r w:rsidRPr="005665F7">
        <w:rPr>
          <w:rFonts w:ascii="Times New Roman" w:eastAsia="Calibri" w:hAnsi="Times New Roman" w:cs="Times New Roman"/>
          <w:b/>
          <w:bCs/>
          <w:color w:val="000000" w:themeColor="text1"/>
        </w:rPr>
        <w:t>7</w:t>
      </w:r>
      <w:r w:rsidR="00446F27" w:rsidRPr="005665F7">
        <w:rPr>
          <w:rFonts w:ascii="Times New Roman" w:eastAsia="Calibri" w:hAnsi="Times New Roman" w:cs="Times New Roman"/>
          <w:b/>
          <w:bCs/>
          <w:color w:val="000000" w:themeColor="text1"/>
        </w:rPr>
        <w:t>.</w:t>
      </w:r>
      <w:r w:rsidR="00446F27" w:rsidRPr="004A5029">
        <w:rPr>
          <w:rFonts w:ascii="Times New Roman" w:eastAsia="Calibri" w:hAnsi="Times New Roman" w:cs="Times New Roman"/>
          <w:color w:val="000000" w:themeColor="text1"/>
        </w:rPr>
        <w:t xml:space="preserve"> La stazione appaltante valuta i provvedimenti sanzionatori e giurisdizionali di cui al comma </w:t>
      </w:r>
      <w:r w:rsidR="0085711D" w:rsidRPr="004A5029">
        <w:rPr>
          <w:rFonts w:ascii="Times New Roman" w:eastAsia="Calibri" w:hAnsi="Times New Roman" w:cs="Times New Roman"/>
          <w:b/>
          <w:color w:val="000000" w:themeColor="text1"/>
        </w:rPr>
        <w:t>6</w:t>
      </w:r>
      <w:r w:rsidR="00F90495" w:rsidRPr="004A5029">
        <w:rPr>
          <w:rFonts w:ascii="Times New Roman" w:eastAsia="Calibri" w:hAnsi="Times New Roman" w:cs="Times New Roman"/>
          <w:color w:val="000000" w:themeColor="text1"/>
        </w:rPr>
        <w:t xml:space="preserve"> </w:t>
      </w:r>
      <w:r w:rsidR="00446F27" w:rsidRPr="004A5029">
        <w:rPr>
          <w:rFonts w:ascii="Times New Roman" w:eastAsia="Calibri" w:hAnsi="Times New Roman" w:cs="Times New Roman"/>
          <w:color w:val="000000" w:themeColor="text1"/>
        </w:rPr>
        <w:t>motivando sulla ritenuta idoneità dei medesimi a incidere sull’affidabilità e sull’integrità dell’offerente; l’eventuale impugnazione dei medesimi è considerata nell’ambito della valutazione volta a verificare la sussistenza della causa escludente.</w:t>
      </w:r>
    </w:p>
    <w:p w14:paraId="073BBCED" w14:textId="217975DC" w:rsidR="00446F27" w:rsidRPr="004A5029" w:rsidRDefault="005665F7" w:rsidP="00446F27">
      <w:pPr>
        <w:jc w:val="both"/>
        <w:rPr>
          <w:rFonts w:ascii="Times New Roman" w:eastAsia="Calibri" w:hAnsi="Times New Roman" w:cs="Times New Roman"/>
          <w:bCs/>
          <w:color w:val="000000" w:themeColor="text1"/>
        </w:rPr>
      </w:pPr>
      <w:r w:rsidRPr="005665F7">
        <w:rPr>
          <w:rFonts w:ascii="Times New Roman" w:eastAsia="Calibri" w:hAnsi="Times New Roman" w:cs="Times New Roman"/>
          <w:b/>
          <w:color w:val="000000" w:themeColor="text1"/>
        </w:rPr>
        <w:t>8</w:t>
      </w:r>
      <w:r w:rsidR="00446F27" w:rsidRPr="005665F7">
        <w:rPr>
          <w:rFonts w:ascii="Times New Roman" w:eastAsia="Calibri" w:hAnsi="Times New Roman" w:cs="Times New Roman"/>
          <w:b/>
          <w:color w:val="000000" w:themeColor="text1"/>
        </w:rPr>
        <w:t>.</w:t>
      </w:r>
      <w:r w:rsidR="00446F27" w:rsidRPr="004A5029">
        <w:rPr>
          <w:rFonts w:ascii="Times New Roman" w:eastAsia="Calibri" w:hAnsi="Times New Roman" w:cs="Times New Roman"/>
          <w:bCs/>
          <w:color w:val="000000" w:themeColor="text1"/>
        </w:rPr>
        <w:t xml:space="preserve"> Il provvedimento di esclusione deve essere motivato in relazione a tutte e tre le condizioni di cui al comma 2.</w:t>
      </w:r>
    </w:p>
    <w:p w14:paraId="17B246DD" w14:textId="77777777" w:rsidR="00446F27" w:rsidRPr="004A5029" w:rsidRDefault="00446F27" w:rsidP="00446F27">
      <w:pPr>
        <w:rPr>
          <w:rFonts w:ascii="Times New Roman" w:hAnsi="Times New Roman" w:cs="Times New Roman"/>
          <w:color w:val="000000" w:themeColor="text1"/>
        </w:rPr>
      </w:pPr>
    </w:p>
    <w:p w14:paraId="322416C0" w14:textId="77777777"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Capo III </w:t>
      </w:r>
    </w:p>
    <w:p w14:paraId="4FD2A6ED" w14:textId="5CF806A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Gli altri requisiti di partecipazione alla gara</w:t>
      </w:r>
    </w:p>
    <w:p w14:paraId="6BF89DA3" w14:textId="77777777" w:rsidR="00446F27" w:rsidRPr="004A5029" w:rsidRDefault="00446F27" w:rsidP="00446F27">
      <w:pPr>
        <w:jc w:val="center"/>
        <w:rPr>
          <w:rFonts w:ascii="Times New Roman" w:hAnsi="Times New Roman" w:cs="Times New Roman"/>
          <w:b/>
          <w:color w:val="000000" w:themeColor="text1"/>
        </w:rPr>
      </w:pPr>
    </w:p>
    <w:p w14:paraId="308A98F5"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99.</w:t>
      </w:r>
    </w:p>
    <w:p w14:paraId="7D2B0346" w14:textId="77777777" w:rsidR="00446F27" w:rsidRPr="004A5029" w:rsidRDefault="00446F27" w:rsidP="00446F27">
      <w:pPr>
        <w:rPr>
          <w:rFonts w:ascii="Times New Roman" w:hAnsi="Times New Roman" w:cs="Times New Roman"/>
          <w:color w:val="000000" w:themeColor="text1"/>
        </w:rPr>
      </w:pPr>
      <w:r w:rsidRPr="004A5029">
        <w:rPr>
          <w:rFonts w:ascii="Times New Roman" w:hAnsi="Times New Roman" w:cs="Times New Roman"/>
          <w:i/>
          <w:iCs/>
          <w:color w:val="000000" w:themeColor="text1"/>
        </w:rPr>
        <w:t>Verifica del possesso dei requisiti.</w:t>
      </w:r>
    </w:p>
    <w:p w14:paraId="64A98F6A" w14:textId="21C623F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La stazione appaltante verifica l’assenza di cause di esclusione automatiche di cui all’articolo 94 attraverso </w:t>
      </w:r>
      <w:r w:rsidR="000B287E" w:rsidRPr="004A5029">
        <w:rPr>
          <w:rFonts w:ascii="Times New Roman" w:eastAsia="Times New Roman" w:hAnsi="Times New Roman" w:cs="Times New Roman"/>
          <w:bCs/>
          <w:color w:val="000000" w:themeColor="text1"/>
          <w:lang w:eastAsia="it-IT"/>
        </w:rPr>
        <w:t xml:space="preserve">la consultazione del </w:t>
      </w:r>
      <w:r w:rsidRPr="004A5029">
        <w:rPr>
          <w:rFonts w:ascii="Times New Roman" w:hAnsi="Times New Roman" w:cs="Times New Roman"/>
          <w:bCs/>
          <w:color w:val="000000" w:themeColor="text1"/>
        </w:rPr>
        <w:t>fascicolo virtuale dell’operatore economico di cui all’articolo 24</w:t>
      </w:r>
      <w:r w:rsidR="000B287E" w:rsidRPr="004A5029">
        <w:rPr>
          <w:rFonts w:ascii="Times New Roman" w:hAnsi="Times New Roman" w:cs="Times New Roman"/>
          <w:bCs/>
          <w:color w:val="000000" w:themeColor="text1"/>
        </w:rPr>
        <w:t>,</w:t>
      </w:r>
      <w:r w:rsidR="000B287E" w:rsidRPr="004A5029">
        <w:rPr>
          <w:rFonts w:ascii="Times New Roman" w:eastAsia="Times New Roman" w:hAnsi="Times New Roman" w:cs="Times New Roman"/>
          <w:bCs/>
          <w:color w:val="000000" w:themeColor="text1"/>
          <w:lang w:eastAsia="it-IT"/>
        </w:rPr>
        <w:t xml:space="preserve"> la consultazione degli altri documenti allegati dall’operatore economico, nonché tramite l’interoperabilità con la piattaforma digitale nazionale dati di cui all’articolo 50-</w:t>
      </w:r>
      <w:r w:rsidR="000B287E" w:rsidRPr="004A5029">
        <w:rPr>
          <w:rFonts w:ascii="Times New Roman" w:eastAsia="Times New Roman" w:hAnsi="Times New Roman" w:cs="Times New Roman"/>
          <w:bCs/>
          <w:i/>
          <w:iCs/>
          <w:color w:val="000000" w:themeColor="text1"/>
          <w:lang w:eastAsia="it-IT"/>
        </w:rPr>
        <w:t>ter</w:t>
      </w:r>
      <w:r w:rsidR="000B287E" w:rsidRPr="004A5029">
        <w:rPr>
          <w:rFonts w:ascii="Times New Roman" w:eastAsia="Times New Roman" w:hAnsi="Times New Roman" w:cs="Times New Roman"/>
          <w:bCs/>
          <w:color w:val="000000" w:themeColor="text1"/>
          <w:lang w:eastAsia="it-IT"/>
        </w:rPr>
        <w:t xml:space="preserve"> del </w:t>
      </w:r>
      <w:r w:rsidR="00571CDD" w:rsidRPr="004A5029">
        <w:rPr>
          <w:rFonts w:ascii="Times New Roman" w:eastAsia="Times New Roman" w:hAnsi="Times New Roman" w:cs="Times New Roman"/>
          <w:b/>
          <w:color w:val="000000" w:themeColor="text1"/>
          <w:lang w:eastAsia="it-IT"/>
        </w:rPr>
        <w:t>c</w:t>
      </w:r>
      <w:r w:rsidR="00571CDD" w:rsidRPr="004A5029">
        <w:rPr>
          <w:rFonts w:ascii="Times New Roman" w:hAnsi="Times New Roman" w:cs="Times New Roman"/>
          <w:b/>
          <w:color w:val="000000" w:themeColor="text1"/>
          <w:shd w:val="clear" w:color="auto" w:fill="FFFFFF"/>
        </w:rPr>
        <w:t>odice dell'amministrazione digitale</w:t>
      </w:r>
      <w:r w:rsidR="0030786B" w:rsidRPr="004A5029">
        <w:rPr>
          <w:rFonts w:ascii="Times New Roman" w:eastAsia="Calibri" w:hAnsi="Times New Roman" w:cs="Times New Roman"/>
          <w:b/>
          <w:color w:val="000000" w:themeColor="text1"/>
        </w:rPr>
        <w:t>,</w:t>
      </w:r>
      <w:r w:rsidR="00571CDD" w:rsidRPr="004A5029">
        <w:rPr>
          <w:rFonts w:ascii="Times New Roman" w:eastAsia="Times New Roman" w:hAnsi="Times New Roman" w:cs="Times New Roman"/>
          <w:b/>
          <w:color w:val="000000" w:themeColor="text1"/>
          <w:lang w:eastAsia="it-IT"/>
        </w:rPr>
        <w:t xml:space="preserve"> di cui al</w:t>
      </w:r>
      <w:r w:rsidR="00571CDD" w:rsidRPr="004A5029">
        <w:rPr>
          <w:rFonts w:ascii="Times New Roman" w:eastAsia="Times New Roman" w:hAnsi="Times New Roman" w:cs="Times New Roman"/>
          <w:bCs/>
          <w:color w:val="000000" w:themeColor="text1"/>
          <w:lang w:eastAsia="it-IT"/>
        </w:rPr>
        <w:t xml:space="preserve"> </w:t>
      </w:r>
      <w:r w:rsidR="000B287E" w:rsidRPr="004A5029">
        <w:rPr>
          <w:rFonts w:ascii="Times New Roman" w:eastAsia="Times New Roman" w:hAnsi="Times New Roman" w:cs="Times New Roman"/>
          <w:bCs/>
          <w:color w:val="000000" w:themeColor="text1"/>
          <w:lang w:eastAsia="it-IT"/>
        </w:rPr>
        <w:t xml:space="preserve">decreto legislativo </w:t>
      </w:r>
      <w:r w:rsidR="00A6046F" w:rsidRPr="004A5029">
        <w:rPr>
          <w:rFonts w:ascii="Times New Roman" w:eastAsia="Times New Roman" w:hAnsi="Times New Roman" w:cs="Times New Roman"/>
          <w:b/>
          <w:bCs/>
          <w:color w:val="000000" w:themeColor="text1"/>
          <w:lang w:eastAsia="it-IT"/>
        </w:rPr>
        <w:t>7 marzo 2005,</w:t>
      </w:r>
      <w:r w:rsidR="00A6046F" w:rsidRPr="004A5029">
        <w:rPr>
          <w:rFonts w:ascii="Times New Roman" w:eastAsia="Times New Roman" w:hAnsi="Times New Roman" w:cs="Times New Roman"/>
          <w:color w:val="000000" w:themeColor="text1"/>
          <w:lang w:eastAsia="it-IT"/>
        </w:rPr>
        <w:t xml:space="preserve"> </w:t>
      </w:r>
      <w:r w:rsidR="000B287E" w:rsidRPr="004A5029">
        <w:rPr>
          <w:rFonts w:ascii="Times New Roman" w:eastAsia="Times New Roman" w:hAnsi="Times New Roman" w:cs="Times New Roman"/>
          <w:bCs/>
          <w:color w:val="000000" w:themeColor="text1"/>
          <w:lang w:eastAsia="it-IT"/>
        </w:rPr>
        <w:t>n. 82</w:t>
      </w:r>
      <w:r w:rsidR="000B287E" w:rsidRPr="004A5029">
        <w:rPr>
          <w:rFonts w:ascii="Times New Roman" w:eastAsia="Times New Roman" w:hAnsi="Times New Roman" w:cs="Times New Roman"/>
          <w:bCs/>
          <w:strike/>
          <w:color w:val="000000" w:themeColor="text1"/>
          <w:lang w:eastAsia="it-IT"/>
        </w:rPr>
        <w:t xml:space="preserve"> </w:t>
      </w:r>
      <w:r w:rsidR="000B287E" w:rsidRPr="004A5029">
        <w:rPr>
          <w:rFonts w:ascii="Times New Roman" w:eastAsia="Times New Roman" w:hAnsi="Times New Roman" w:cs="Times New Roman"/>
          <w:b/>
          <w:strike/>
          <w:color w:val="000000" w:themeColor="text1"/>
          <w:lang w:eastAsia="it-IT"/>
        </w:rPr>
        <w:t>del 2005</w:t>
      </w:r>
      <w:r w:rsidR="000B287E" w:rsidRPr="004A5029">
        <w:rPr>
          <w:rFonts w:ascii="Times New Roman" w:eastAsia="Times New Roman" w:hAnsi="Times New Roman" w:cs="Times New Roman"/>
          <w:bCs/>
          <w:color w:val="000000" w:themeColor="text1"/>
          <w:lang w:eastAsia="it-IT"/>
        </w:rPr>
        <w:t xml:space="preserve"> e con le banche dati delle pubbliche amministrazioni</w:t>
      </w:r>
      <w:r w:rsidRPr="004A5029">
        <w:rPr>
          <w:rFonts w:ascii="Times New Roman" w:hAnsi="Times New Roman" w:cs="Times New Roman"/>
          <w:bCs/>
          <w:color w:val="000000" w:themeColor="text1"/>
        </w:rPr>
        <w:t>.</w:t>
      </w:r>
    </w:p>
    <w:p w14:paraId="3E765207" w14:textId="7E26393F" w:rsidR="00446F27" w:rsidRPr="004A5029" w:rsidRDefault="00446F27" w:rsidP="00446F27">
      <w:pP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2. La stazione appaltante</w:t>
      </w:r>
      <w:r w:rsidR="000B287E" w:rsidRPr="004A5029">
        <w:rPr>
          <w:rFonts w:ascii="Times New Roman" w:hAnsi="Times New Roman" w:cs="Times New Roman"/>
          <w:bCs/>
          <w:color w:val="000000" w:themeColor="text1"/>
        </w:rPr>
        <w:t xml:space="preserve">, </w:t>
      </w:r>
      <w:r w:rsidR="000B287E" w:rsidRPr="004A5029">
        <w:rPr>
          <w:rFonts w:ascii="Times New Roman" w:eastAsia="Times New Roman" w:hAnsi="Times New Roman" w:cs="Times New Roman"/>
          <w:bCs/>
          <w:color w:val="000000" w:themeColor="text1"/>
          <w:lang w:eastAsia="it-IT"/>
        </w:rPr>
        <w:t xml:space="preserve">con le medesime modalità di cui al comma 1, </w:t>
      </w:r>
      <w:r w:rsidRPr="004A5029">
        <w:rPr>
          <w:rFonts w:ascii="Times New Roman" w:hAnsi="Times New Roman" w:cs="Times New Roman"/>
          <w:bCs/>
          <w:color w:val="000000" w:themeColor="text1"/>
        </w:rPr>
        <w:t xml:space="preserve">verifica l’assenza delle cause di esclusione non </w:t>
      </w:r>
      <w:r w:rsidRPr="004A5029">
        <w:rPr>
          <w:rFonts w:ascii="Times New Roman" w:hAnsi="Times New Roman" w:cs="Times New Roman"/>
          <w:b/>
          <w:strike/>
          <w:color w:val="000000" w:themeColor="text1"/>
        </w:rPr>
        <w:t>automatiche</w:t>
      </w:r>
      <w:r w:rsidRPr="004A5029">
        <w:rPr>
          <w:rFonts w:ascii="Times New Roman" w:hAnsi="Times New Roman" w:cs="Times New Roman"/>
          <w:b/>
          <w:color w:val="000000" w:themeColor="text1"/>
        </w:rPr>
        <w:t xml:space="preserve"> </w:t>
      </w:r>
      <w:r w:rsidR="00317CF7" w:rsidRPr="004A5029">
        <w:rPr>
          <w:rFonts w:ascii="Times New Roman" w:hAnsi="Times New Roman" w:cs="Times New Roman"/>
          <w:b/>
          <w:color w:val="000000" w:themeColor="text1"/>
        </w:rPr>
        <w:t>automatica</w:t>
      </w:r>
      <w:r w:rsidR="00317CF7"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di cui all’articolo 95</w:t>
      </w:r>
      <w:r w:rsidRPr="004A5029">
        <w:rPr>
          <w:rFonts w:ascii="Times New Roman" w:hAnsi="Times New Roman" w:cs="Times New Roman"/>
          <w:b/>
          <w:strike/>
          <w:color w:val="000000" w:themeColor="text1"/>
        </w:rPr>
        <w:t>,</w:t>
      </w:r>
      <w:r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e il possesso dei requisiti di partecipazione di cui agli articoli 100 e 103</w:t>
      </w:r>
      <w:r w:rsidR="000B287E" w:rsidRPr="004A5029">
        <w:rPr>
          <w:rFonts w:ascii="Times New Roman" w:hAnsi="Times New Roman" w:cs="Times New Roman"/>
          <w:bCs/>
          <w:color w:val="000000" w:themeColor="text1"/>
        </w:rPr>
        <w:t>.</w:t>
      </w:r>
    </w:p>
    <w:p w14:paraId="6B814770" w14:textId="5BFBEEC2" w:rsidR="00446F27" w:rsidRPr="004A5029" w:rsidRDefault="00446F27" w:rsidP="00446F27">
      <w:pPr>
        <w:jc w:val="both"/>
        <w:rPr>
          <w:rFonts w:ascii="Times New Roman" w:hAnsi="Times New Roman" w:cs="Times New Roman"/>
          <w:strike/>
          <w:color w:val="000000" w:themeColor="text1"/>
        </w:rPr>
      </w:pPr>
      <w:r w:rsidRPr="004A5029">
        <w:rPr>
          <w:rFonts w:ascii="Times New Roman" w:hAnsi="Times New Roman" w:cs="Times New Roman"/>
          <w:bCs/>
          <w:color w:val="000000" w:themeColor="text1"/>
        </w:rPr>
        <w:t>3. Agli operatori economici non</w:t>
      </w:r>
      <w:r w:rsidRPr="004A5029">
        <w:rPr>
          <w:rFonts w:ascii="Times New Roman" w:hAnsi="Times New Roman" w:cs="Times New Roman"/>
          <w:color w:val="000000" w:themeColor="text1"/>
        </w:rPr>
        <w:t xml:space="preserve"> possono essere richiesti documenti che comprovano il possesso dei requisiti di partecipazione o altra documentazione utile ai fini dell’aggiudicazione, se questi sono presenti nel fascicolo virtuale dell’operatore economico</w:t>
      </w:r>
      <w:r w:rsidR="000B287E"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sono già in possesso della stazione appaltante, per effetto di una precedente aggiudicazione o conclusione di un accordo quadro</w:t>
      </w:r>
      <w:r w:rsidR="000B287E" w:rsidRPr="004A5029">
        <w:rPr>
          <w:rFonts w:ascii="Times New Roman" w:hAnsi="Times New Roman" w:cs="Times New Roman"/>
          <w:color w:val="000000" w:themeColor="text1"/>
        </w:rPr>
        <w:t xml:space="preserve">, </w:t>
      </w:r>
      <w:r w:rsidR="000B287E" w:rsidRPr="004A5029">
        <w:rPr>
          <w:rFonts w:ascii="Times New Roman" w:eastAsia="Times New Roman" w:hAnsi="Times New Roman" w:cs="Times New Roman"/>
          <w:color w:val="000000" w:themeColor="text1"/>
          <w:lang w:eastAsia="it-IT"/>
        </w:rPr>
        <w:t>ovvero possono essere acquisiti tramite interoperabilità con la piattaforma digitale nazionale dati di cui all’articolo 50-</w:t>
      </w:r>
      <w:r w:rsidR="000B287E" w:rsidRPr="004A5029">
        <w:rPr>
          <w:rFonts w:ascii="Times New Roman" w:eastAsia="Times New Roman" w:hAnsi="Times New Roman" w:cs="Times New Roman"/>
          <w:i/>
          <w:iCs/>
          <w:color w:val="000000" w:themeColor="text1"/>
          <w:lang w:eastAsia="it-IT"/>
        </w:rPr>
        <w:t>ter</w:t>
      </w:r>
      <w:r w:rsidR="000B287E" w:rsidRPr="004A5029">
        <w:rPr>
          <w:rFonts w:ascii="Times New Roman" w:eastAsia="Times New Roman" w:hAnsi="Times New Roman" w:cs="Times New Roman"/>
          <w:color w:val="000000" w:themeColor="text1"/>
          <w:lang w:eastAsia="it-IT"/>
        </w:rPr>
        <w:t xml:space="preserve">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 xml:space="preserve">odice </w:t>
      </w:r>
      <w:r w:rsidR="00FA7F03" w:rsidRPr="004A5029">
        <w:rPr>
          <w:rFonts w:ascii="Times New Roman" w:eastAsia="Times New Roman" w:hAnsi="Times New Roman" w:cs="Times New Roman"/>
          <w:b/>
          <w:color w:val="000000" w:themeColor="text1"/>
          <w:lang w:eastAsia="it-IT"/>
        </w:rPr>
        <w:t>di cui al</w:t>
      </w:r>
      <w:r w:rsidR="00FA7F03" w:rsidRPr="004A5029">
        <w:rPr>
          <w:rFonts w:ascii="Times New Roman" w:hAnsi="Times New Roman" w:cs="Times New Roman"/>
          <w:bCs/>
          <w:color w:val="000000" w:themeColor="text1"/>
        </w:rPr>
        <w:t xml:space="preserve"> </w:t>
      </w:r>
      <w:r w:rsidR="000B287E" w:rsidRPr="004A5029">
        <w:rPr>
          <w:rFonts w:ascii="Times New Roman" w:eastAsia="Times New Roman" w:hAnsi="Times New Roman" w:cs="Times New Roman"/>
          <w:color w:val="000000" w:themeColor="text1"/>
          <w:lang w:eastAsia="it-IT"/>
        </w:rPr>
        <w:t>decreto legislativo n. 82 del 2005 e con le banche dati delle pubbliche amministrazioni</w:t>
      </w:r>
      <w:r w:rsidRPr="004A5029">
        <w:rPr>
          <w:rFonts w:ascii="Times New Roman" w:hAnsi="Times New Roman" w:cs="Times New Roman"/>
          <w:color w:val="000000" w:themeColor="text1"/>
        </w:rPr>
        <w:t>.</w:t>
      </w:r>
    </w:p>
    <w:p w14:paraId="5C3E0E74" w14:textId="77777777" w:rsidR="00446F27" w:rsidRPr="004A5029" w:rsidRDefault="00446F27" w:rsidP="00446F27">
      <w:pPr>
        <w:rPr>
          <w:rFonts w:ascii="Times New Roman" w:eastAsia="Times New Roman" w:hAnsi="Times New Roman" w:cs="Times New Roman"/>
          <w:color w:val="000000" w:themeColor="text1"/>
          <w:lang w:eastAsia="it-IT"/>
        </w:rPr>
      </w:pPr>
    </w:p>
    <w:p w14:paraId="3A0EF75C"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100.</w:t>
      </w:r>
    </w:p>
    <w:p w14:paraId="4682A4FB" w14:textId="77777777" w:rsidR="00446F27" w:rsidRPr="004A5029" w:rsidRDefault="00446F27" w:rsidP="00446F27">
      <w:pPr>
        <w:jc w:val="both"/>
        <w:textAlignment w:val="baseline"/>
        <w:rPr>
          <w:rFonts w:ascii="Times New Roman" w:hAnsi="Times New Roman" w:cs="Times New Roman"/>
          <w:bCs/>
          <w:i/>
          <w:iCs/>
          <w:color w:val="000000" w:themeColor="text1"/>
        </w:rPr>
      </w:pPr>
      <w:r w:rsidRPr="004A5029">
        <w:rPr>
          <w:rFonts w:ascii="Times New Roman" w:eastAsia="Times New Roman" w:hAnsi="Times New Roman" w:cs="Times New Roman"/>
          <w:i/>
          <w:iCs/>
          <w:color w:val="000000" w:themeColor="text1"/>
          <w:lang w:eastAsia="it-IT"/>
        </w:rPr>
        <w:t>Requisiti di ordine speciale.</w:t>
      </w:r>
    </w:p>
    <w:p w14:paraId="7D95AE66"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Sono requisiti di ordine speciale:</w:t>
      </w:r>
    </w:p>
    <w:p w14:paraId="79FFB32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l’idoneità professionale; </w:t>
      </w:r>
    </w:p>
    <w:p w14:paraId="74CE89E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 capacità economica e finanziaria; </w:t>
      </w:r>
    </w:p>
    <w:p w14:paraId="2C1E212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le capacità tecniche e professionali.</w:t>
      </w:r>
    </w:p>
    <w:p w14:paraId="037B0F2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stazioni appaltanti richiedono requisiti di partecipazione proporzionati e attinenti all’oggetto dell’appalto.</w:t>
      </w:r>
    </w:p>
    <w:p w14:paraId="7A792BE6" w14:textId="495F7F52"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3. Per le procedure di aggiudicazione di appalti di servizi e forniture le stazioni appaltanti richiedono l’iscrizione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w:t>
      </w:r>
      <w:r w:rsidR="00C33955" w:rsidRPr="004A5029">
        <w:rPr>
          <w:rFonts w:ascii="Times New Roman" w:hAnsi="Times New Roman" w:cs="Times New Roman"/>
          <w:b/>
          <w:bCs/>
          <w:color w:val="000000" w:themeColor="text1"/>
        </w:rPr>
        <w:t>testo unico delle disposizioni legislative e regolamentari in materia di documentazione amministrativa</w:t>
      </w:r>
      <w:r w:rsidR="0030786B" w:rsidRPr="004A5029">
        <w:rPr>
          <w:rFonts w:ascii="Times New Roman" w:eastAsia="Calibri" w:hAnsi="Times New Roman" w:cs="Times New Roman"/>
          <w:b/>
          <w:bCs/>
          <w:color w:val="000000" w:themeColor="text1"/>
        </w:rPr>
        <w:t>,</w:t>
      </w:r>
      <w:r w:rsidR="00C33955" w:rsidRPr="004A5029">
        <w:rPr>
          <w:rFonts w:ascii="Times New Roman" w:hAnsi="Times New Roman" w:cs="Times New Roman"/>
          <w:b/>
          <w:bCs/>
          <w:color w:val="000000" w:themeColor="text1"/>
        </w:rPr>
        <w:t xml:space="preserve"> di cui al</w:t>
      </w:r>
      <w:r w:rsidR="00C33955" w:rsidRPr="004A5029">
        <w:rPr>
          <w:rFonts w:ascii="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decreto del Presidente della Repubblica del 28 dicembre 2000, n. 445</w:t>
      </w:r>
      <w:r w:rsidR="00317CF7"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color w:val="000000" w:themeColor="text1"/>
        </w:rPr>
        <w:t xml:space="preserve"> di essere iscritto in uno dei registri professionali o commerciali di cui all’allegato II.11. In sede di prima applicazione del codice, l’allegato </w:t>
      </w:r>
      <w:r w:rsidR="002C470F" w:rsidRPr="004A5029">
        <w:rPr>
          <w:rFonts w:ascii="Times New Roman" w:eastAsia="Times New Roman" w:hAnsi="Times New Roman" w:cs="Times New Roman"/>
          <w:b/>
          <w:bCs/>
          <w:color w:val="000000" w:themeColor="text1"/>
        </w:rPr>
        <w:t>II.11</w:t>
      </w:r>
      <w:r w:rsidR="002C470F"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 xml:space="preserve">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decreto del Presidente del Consiglio dei </w:t>
      </w:r>
      <w:r w:rsidR="004520DA"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w:t>
      </w:r>
      <w:r w:rsidR="004520DA" w:rsidRPr="004A5029">
        <w:rPr>
          <w:rFonts w:ascii="Times New Roman" w:hAnsi="Times New Roman" w:cs="Times New Roman"/>
          <w:bCs/>
          <w:color w:val="000000" w:themeColor="text1"/>
        </w:rPr>
        <w:t>inistri</w:t>
      </w:r>
      <w:r w:rsidRPr="004A5029">
        <w:rPr>
          <w:rFonts w:ascii="Times New Roman" w:eastAsia="Times New Roman" w:hAnsi="Times New Roman" w:cs="Times New Roman"/>
          <w:color w:val="000000" w:themeColor="text1"/>
        </w:rPr>
        <w:t xml:space="preserve"> su proposta del Ministro per gli </w:t>
      </w:r>
      <w:r w:rsidR="002A1963" w:rsidRPr="004A5029">
        <w:rPr>
          <w:rFonts w:ascii="Times New Roman" w:eastAsia="Times New Roman" w:hAnsi="Times New Roman" w:cs="Times New Roman"/>
          <w:color w:val="000000" w:themeColor="text1"/>
        </w:rPr>
        <w:t>a</w:t>
      </w:r>
      <w:r w:rsidRPr="004A5029">
        <w:rPr>
          <w:rFonts w:ascii="Times New Roman" w:eastAsia="Times New Roman" w:hAnsi="Times New Roman" w:cs="Times New Roman"/>
          <w:color w:val="000000" w:themeColor="text1"/>
        </w:rPr>
        <w:t>ffari europei</w:t>
      </w:r>
      <w:r w:rsidR="002A1963" w:rsidRPr="004A5029">
        <w:rPr>
          <w:rFonts w:ascii="Times New Roman" w:eastAsia="Times New Roman" w:hAnsi="Times New Roman" w:cs="Times New Roman"/>
          <w:color w:val="000000" w:themeColor="text1"/>
        </w:rPr>
        <w:t xml:space="preserve">, ove nominato, </w:t>
      </w:r>
      <w:r w:rsidRPr="004A5029">
        <w:rPr>
          <w:rFonts w:ascii="Times New Roman" w:eastAsia="Times New Roman" w:hAnsi="Times New Roman" w:cs="Times New Roman"/>
          <w:color w:val="000000" w:themeColor="text1"/>
        </w:rPr>
        <w:t>che lo sostituisce integralmente anche in qualità di allegato al codice.</w:t>
      </w:r>
    </w:p>
    <w:p w14:paraId="0A59115D" w14:textId="4AC938AB" w:rsidR="00446F27" w:rsidRPr="004A5029" w:rsidRDefault="00446F27" w:rsidP="6E003A1F">
      <w:pPr>
        <w:spacing w:line="257" w:lineRule="auto"/>
        <w:jc w:val="both"/>
        <w:rPr>
          <w:rFonts w:ascii="Times New Roman" w:eastAsia="Times New Roman" w:hAnsi="Times New Roman" w:cs="Times New Roman"/>
          <w:b/>
          <w:strike/>
          <w:color w:val="000000" w:themeColor="text1"/>
        </w:rPr>
      </w:pPr>
      <w:bookmarkStart w:id="38" w:name="_Hlk128559976"/>
      <w:r w:rsidRPr="004A5029">
        <w:rPr>
          <w:rFonts w:ascii="Times New Roman" w:hAnsi="Times New Roman" w:cs="Times New Roman"/>
          <w:color w:val="000000" w:themeColor="text1"/>
        </w:rPr>
        <w:t>4.</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Per le procedure di aggiudicazione di appalti di</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 xml:space="preserve">lavori di importo pari o superiore a </w:t>
      </w:r>
      <w:r w:rsidR="00B93D86" w:rsidRPr="004A5029">
        <w:rPr>
          <w:rFonts w:ascii="Times New Roman" w:hAnsi="Times New Roman" w:cs="Times New Roman"/>
          <w:color w:val="000000" w:themeColor="text1"/>
        </w:rPr>
        <w:t>15</w:t>
      </w:r>
      <w:r w:rsidR="00864303" w:rsidRPr="004A5029">
        <w:rPr>
          <w:rFonts w:ascii="Times New Roman" w:hAnsi="Times New Roman" w:cs="Times New Roman"/>
          <w:color w:val="000000" w:themeColor="text1"/>
        </w:rPr>
        <w:t>0.000</w:t>
      </w:r>
      <w:r w:rsidR="00864303"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euro le stazioni appaltanti richiedono che gli operatori economici siano qualificati. L’attestazione di qualificazione è rilasciata da organismi di diritto privato autorizzati dall’ANAC. Il sistema di qualificazione per gli esecutori di lavori pubblici, articolato in rapporto alle categorie di opere ed all'importo delle stesse </w:t>
      </w:r>
      <w:r w:rsidRPr="004A5029">
        <w:rPr>
          <w:rFonts w:ascii="Times New Roman" w:eastAsia="Times New Roman" w:hAnsi="Times New Roman" w:cs="Times New Roman"/>
          <w:color w:val="000000" w:themeColor="text1"/>
        </w:rPr>
        <w:t>è disciplinato dall’allegato II.12</w:t>
      </w:r>
      <w:r w:rsidRPr="004A5029">
        <w:rPr>
          <w:rFonts w:ascii="Times New Roman" w:hAnsi="Times New Roman" w:cs="Times New Roman"/>
          <w:color w:val="000000" w:themeColor="text1"/>
        </w:rPr>
        <w:t>. Le categorie di opere si distinguono in categorie di opere generali e categorie di opere specializzate. Il possesso di attestazione di qualificazione in categorie e classifiche adeguate ai lavori da appaltare rappresenta condizione necessaria e sufficiente per la dimostrazione dei requisiti di partecipazione di cui al presente articolo nonché per l’esecuzione, a qualsiasi titolo, dell’appalto</w:t>
      </w:r>
      <w:r w:rsidR="003C1558" w:rsidRPr="004A5029">
        <w:rPr>
          <w:rFonts w:ascii="Times New Roman" w:hAnsi="Times New Roman" w:cs="Times New Roman"/>
          <w:color w:val="000000" w:themeColor="text1"/>
        </w:rPr>
        <w:t>.</w:t>
      </w:r>
      <w:r w:rsidR="00396B7B" w:rsidRPr="004A5029">
        <w:rPr>
          <w:rFonts w:ascii="Times New Roman" w:eastAsia="Times New Roman" w:hAnsi="Times New Roman" w:cs="Times New Roman"/>
          <w:color w:val="000000" w:themeColor="text1"/>
        </w:rPr>
        <w:t xml:space="preserve"> In sede di prima applicazione del codice</w:t>
      </w:r>
      <w:r w:rsidRPr="004A5029">
        <w:rPr>
          <w:rFonts w:ascii="Times New Roman" w:eastAsia="Times New Roman" w:hAnsi="Times New Roman" w:cs="Times New Roman"/>
          <w:color w:val="000000" w:themeColor="text1"/>
        </w:rPr>
        <w:t xml:space="preserve"> l’allegato II.12 è abrogato </w:t>
      </w:r>
      <w:r w:rsidR="00396B7B" w:rsidRPr="004A5029">
        <w:rPr>
          <w:rFonts w:ascii="Times New Roman" w:eastAsia="Times New Roman" w:hAnsi="Times New Roman" w:cs="Times New Roman"/>
          <w:color w:val="000000" w:themeColor="text1"/>
        </w:rPr>
        <w:t xml:space="preserve">a decorrere dalla data di entrata in vigore di </w:t>
      </w:r>
      <w:r w:rsidRPr="004A5029">
        <w:rPr>
          <w:rFonts w:ascii="Times New Roman" w:eastAsia="Times New Roman" w:hAnsi="Times New Roman" w:cs="Times New Roman"/>
          <w:color w:val="000000" w:themeColor="text1"/>
        </w:rPr>
        <w:t xml:space="preserve">un corrispondente regolamento </w:t>
      </w:r>
      <w:r w:rsidR="00364325" w:rsidRPr="004A5029">
        <w:rPr>
          <w:rFonts w:ascii="Times New Roman" w:eastAsia="Times New Roman" w:hAnsi="Times New Roman" w:cs="Times New Roman"/>
          <w:color w:val="000000" w:themeColor="text1"/>
        </w:rPr>
        <w:t>emanato</w:t>
      </w:r>
      <w:r w:rsidRPr="004A5029">
        <w:rPr>
          <w:rFonts w:ascii="Times New Roman" w:eastAsia="Times New Roman" w:hAnsi="Times New Roman" w:cs="Times New Roman"/>
          <w:color w:val="000000" w:themeColor="text1"/>
        </w:rPr>
        <w:t xml:space="preserve"> ai sensi dell’articolo 17, comma 1, della legge 23 agosto 1988, n. 400, su proposta del Ministro delle infrastrutture e dei trasporti, sentita l’ANAC, che lo sostituisce integralmente anche in qualità di allegato al codice</w:t>
      </w:r>
      <w:r w:rsidR="00511EB1" w:rsidRPr="004A5029">
        <w:rPr>
          <w:rFonts w:ascii="Times New Roman" w:eastAsia="Times New Roman" w:hAnsi="Times New Roman" w:cs="Times New Roman"/>
          <w:color w:val="000000" w:themeColor="text1"/>
        </w:rPr>
        <w:t>.</w:t>
      </w:r>
    </w:p>
    <w:bookmarkEnd w:id="38"/>
    <w:p w14:paraId="52937ED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Per ottenere o rinnovare l’attestazione di qualificazione gli operatori economici devono: </w:t>
      </w:r>
    </w:p>
    <w:p w14:paraId="78B6A7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essere iscritti nel registro della camera di commercio, industria, artigianato e agricoltura o nel registro delle commissioni provinciali per l’artigianato o presso i competenti ordini professionali per un’attività, prevista dall’oggetto sociale e compresa nella categoria per la quale è richiesta l’attestazione; </w:t>
      </w:r>
    </w:p>
    <w:p w14:paraId="7604C01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non essere incorsi nelle cause di esclusione di cui al Capo II del presente Titolo nel triennio</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 xml:space="preserve">precedente alla data della domanda di rilascio o di rinnovo dell’attestazione di qualificazione; </w:t>
      </w:r>
    </w:p>
    <w:p w14:paraId="1ED53D20"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c) essere in possesso di certificazioni di sistemi di qualità conformi alle norme europee e alla vigente normativa nazionale, rilasciate da soggetti accreditati.</w:t>
      </w:r>
    </w:p>
    <w:p w14:paraId="64851361"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6. L’organismo di attestazione rilascia l’attestazione di qualificazione per la categoria di opere generali o specializzate per l’esecuzione delle quali l’operatore economico risulti essere in possesso di adeguata capacità economica e finanziaria, di adeguata dotazione di attrezzature tecniche e risorse umane, e dispone la classificazione per importi in ragione della documentata pregressa esperienza professionale.</w:t>
      </w:r>
    </w:p>
    <w:p w14:paraId="7EC1DF7C" w14:textId="04B2320F" w:rsidR="00446F27" w:rsidRPr="004A5029" w:rsidRDefault="00446F27"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Fino alla emanazione del regolamento di cui al </w:t>
      </w:r>
      <w:r w:rsidR="00A7462C" w:rsidRPr="004A5029">
        <w:rPr>
          <w:rFonts w:ascii="Times New Roman" w:eastAsia="Times New Roman" w:hAnsi="Times New Roman" w:cs="Times New Roman"/>
          <w:b/>
          <w:bCs/>
          <w:strike/>
          <w:color w:val="000000" w:themeColor="text1"/>
        </w:rPr>
        <w:t>quinto</w:t>
      </w:r>
      <w:r w:rsidR="00A7462C" w:rsidRPr="004A5029">
        <w:rPr>
          <w:rFonts w:ascii="Times New Roman" w:hAnsi="Times New Roman" w:cs="Times New Roman"/>
          <w:b/>
          <w:bCs/>
          <w:color w:val="000000" w:themeColor="text1"/>
        </w:rPr>
        <w:t xml:space="preserve"> sesto</w:t>
      </w:r>
      <w:r w:rsidR="003809BD"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 xml:space="preserve">periodo del comma 4, </w:t>
      </w:r>
      <w:r w:rsidRPr="004A5029">
        <w:rPr>
          <w:rFonts w:ascii="Times New Roman" w:hAnsi="Times New Roman" w:cs="Times New Roman"/>
          <w:color w:val="000000" w:themeColor="text1"/>
        </w:rPr>
        <w:t xml:space="preserve">il periodo di attività documentabile è quello relativo ai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9F4C62"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anni antecedenti la data di sottoscrizione del contratto con la società organismo di attestazione (SOA) e la qualificazione ha durata di cinque anni, con verifica entro il terzo anno del mantenimento dei requisiti.</w:t>
      </w:r>
    </w:p>
    <w:p w14:paraId="52315B5E" w14:textId="403A64F8" w:rsidR="00446F27" w:rsidRPr="004A5029" w:rsidRDefault="00446F27"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Con il regolamento di cui al </w:t>
      </w:r>
      <w:r w:rsidR="003809BD" w:rsidRPr="004A5029">
        <w:rPr>
          <w:rFonts w:ascii="Times New Roman" w:eastAsia="Times New Roman" w:hAnsi="Times New Roman" w:cs="Times New Roman"/>
          <w:b/>
          <w:bCs/>
          <w:strike/>
          <w:color w:val="000000" w:themeColor="text1"/>
        </w:rPr>
        <w:t>quinto</w:t>
      </w:r>
      <w:r w:rsidR="0E79EA45" w:rsidRPr="004A5029">
        <w:rPr>
          <w:rFonts w:ascii="Times New Roman" w:hAnsi="Times New Roman" w:cs="Times New Roman"/>
          <w:b/>
          <w:bCs/>
          <w:color w:val="000000" w:themeColor="text1"/>
        </w:rPr>
        <w:t xml:space="preserve"> </w:t>
      </w:r>
      <w:r w:rsidR="00A7462C" w:rsidRPr="004A5029">
        <w:rPr>
          <w:rFonts w:ascii="Times New Roman" w:hAnsi="Times New Roman" w:cs="Times New Roman"/>
          <w:b/>
          <w:bCs/>
          <w:color w:val="000000" w:themeColor="text1"/>
        </w:rPr>
        <w:t xml:space="preserve">sesto </w:t>
      </w:r>
      <w:r w:rsidR="005E0FC0" w:rsidRPr="004A5029">
        <w:rPr>
          <w:rFonts w:ascii="Times New Roman" w:hAnsi="Times New Roman" w:cs="Times New Roman"/>
          <w:b/>
          <w:bCs/>
          <w:color w:val="000000" w:themeColor="text1"/>
        </w:rPr>
        <w:t xml:space="preserve">periodo </w:t>
      </w:r>
      <w:r w:rsidR="0E79EA45" w:rsidRPr="004A5029">
        <w:rPr>
          <w:rFonts w:ascii="Times New Roman" w:hAnsi="Times New Roman" w:cs="Times New Roman"/>
          <w:color w:val="000000" w:themeColor="text1"/>
        </w:rPr>
        <w:t xml:space="preserve">del </w:t>
      </w:r>
      <w:r w:rsidRPr="004A5029">
        <w:rPr>
          <w:rFonts w:ascii="Times New Roman" w:hAnsi="Times New Roman" w:cs="Times New Roman"/>
          <w:color w:val="000000" w:themeColor="text1"/>
        </w:rPr>
        <w:t>comma 4</w:t>
      </w:r>
      <w:r w:rsidRPr="004A5029">
        <w:rPr>
          <w:rFonts w:ascii="Times New Roman" w:eastAsia="Times New Roman" w:hAnsi="Times New Roman" w:cs="Times New Roman"/>
          <w:b/>
          <w:bCs/>
          <w:strike/>
          <w:color w:val="000000" w:themeColor="text1"/>
        </w:rPr>
        <w:t>,</w:t>
      </w:r>
      <w:r w:rsidRPr="004A5029">
        <w:rPr>
          <w:rFonts w:ascii="Times New Roman" w:eastAsia="Times New Roman" w:hAnsi="Times New Roman" w:cs="Times New Roman"/>
          <w:b/>
          <w:bCs/>
          <w:color w:val="000000" w:themeColor="text1"/>
        </w:rPr>
        <w:t xml:space="preserve"> </w:t>
      </w:r>
      <w:r w:rsidRPr="004A5029">
        <w:rPr>
          <w:rFonts w:ascii="Times New Roman" w:eastAsia="Times New Roman" w:hAnsi="Times New Roman" w:cs="Times New Roman"/>
          <w:color w:val="000000" w:themeColor="text1"/>
        </w:rPr>
        <w:t>sono in ogni caso disciplinati:</w:t>
      </w:r>
      <w:r w:rsidRPr="004A5029">
        <w:rPr>
          <w:rFonts w:ascii="Times New Roman" w:hAnsi="Times New Roman" w:cs="Times New Roman"/>
          <w:color w:val="000000" w:themeColor="text1"/>
        </w:rPr>
        <w:t xml:space="preserve"> </w:t>
      </w:r>
    </w:p>
    <w:p w14:paraId="669C1291"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a) la procedura per ottenere l’attestazione di qualificazione e per il suo rinnovo, prevedendo che l’operatore economico richieda la conferma dell’attestazione nel caso in cui, nel periodo di validità dell’attestazione, intervenga una modifica soggettiva; </w:t>
      </w:r>
    </w:p>
    <w:p w14:paraId="7214738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b) i requisiti per la dimostrazione dell’adeguata capacità economica e finanziaria e per la dimostrazione del possesso di adeguate attrezzature tecniche e di adeguato organico; </w:t>
      </w:r>
    </w:p>
    <w:p w14:paraId="52D17B0A" w14:textId="1AE71A8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c) le modalità di qualificazione degli operatori economici di cui all’articolo 67, comma 1, sulla base del criterio del cumulo nonché i criteri di imputazione di cui all’articolo </w:t>
      </w:r>
      <w:r w:rsidRPr="00AA4780">
        <w:rPr>
          <w:rFonts w:ascii="Times New Roman" w:hAnsi="Times New Roman" w:cs="Times New Roman"/>
          <w:bCs/>
          <w:color w:val="000000" w:themeColor="text1"/>
        </w:rPr>
        <w:t>67, comma 6</w:t>
      </w:r>
      <w:r w:rsidR="00AA4780" w:rsidRPr="00AA4780">
        <w:rPr>
          <w:rFonts w:ascii="Times New Roman" w:hAnsi="Times New Roman" w:cs="Times New Roman"/>
          <w:bCs/>
          <w:color w:val="000000" w:themeColor="text1"/>
        </w:rPr>
        <w:t xml:space="preserve">; </w:t>
      </w:r>
    </w:p>
    <w:p w14:paraId="65D249A3"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d) le modalità di documentazione delle pregresse esperienze professionali, considerando anche i lavori eseguiti a favore di soggetti privati che siano comprovati da idonea documentazione; </w:t>
      </w:r>
    </w:p>
    <w:p w14:paraId="408DB018"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e) le modalità di verifica a campione compiute dagli organismi di attestazione; </w:t>
      </w:r>
    </w:p>
    <w:p w14:paraId="2EFAD60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f) il periodo di durata dell’attestazione di qualificazione e i periodi intermedi di verifica del mantenimento dei requisiti;</w:t>
      </w:r>
    </w:p>
    <w:p w14:paraId="7FE67D09"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g) i casi di sospensione e di decadenza dall’attestazione di qualificazione già rilasciata, prevedendo sanzioni interdittive nel caso di presentazione di falsa documentazione agli organismi di attestazione. </w:t>
      </w:r>
    </w:p>
    <w:p w14:paraId="037D06B7" w14:textId="48272D21" w:rsidR="00446F27" w:rsidRPr="004A5029" w:rsidRDefault="00446F27"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Relativamente agli organismi di attestazione, con il regolamento di cui al </w:t>
      </w:r>
      <w:r w:rsidR="0601E672" w:rsidRPr="004A5029">
        <w:rPr>
          <w:rFonts w:ascii="Times New Roman" w:hAnsi="Times New Roman" w:cs="Times New Roman"/>
          <w:b/>
          <w:bCs/>
          <w:strike/>
          <w:color w:val="000000" w:themeColor="text1"/>
        </w:rPr>
        <w:t>settimo</w:t>
      </w:r>
      <w:r w:rsidR="0601E672" w:rsidRPr="004A5029">
        <w:rPr>
          <w:rFonts w:ascii="Times New Roman" w:hAnsi="Times New Roman" w:cs="Times New Roman"/>
          <w:b/>
          <w:bCs/>
          <w:color w:val="000000" w:themeColor="text1"/>
        </w:rPr>
        <w:t xml:space="preserve"> </w:t>
      </w:r>
      <w:r w:rsidR="00A7462C" w:rsidRPr="004A5029">
        <w:rPr>
          <w:rFonts w:ascii="Times New Roman" w:hAnsi="Times New Roman" w:cs="Times New Roman"/>
          <w:b/>
          <w:bCs/>
          <w:color w:val="000000" w:themeColor="text1"/>
        </w:rPr>
        <w:t>sesto</w:t>
      </w:r>
      <w:r w:rsidR="005E0FC0" w:rsidRPr="004A5029">
        <w:rPr>
          <w:rFonts w:ascii="Times New Roman" w:hAnsi="Times New Roman" w:cs="Times New Roman"/>
          <w:b/>
          <w:bCs/>
          <w:color w:val="000000" w:themeColor="text1"/>
        </w:rPr>
        <w:t xml:space="preserve"> </w:t>
      </w:r>
      <w:r w:rsidR="0601E672" w:rsidRPr="004A5029">
        <w:rPr>
          <w:rFonts w:ascii="Times New Roman" w:hAnsi="Times New Roman" w:cs="Times New Roman"/>
          <w:color w:val="000000" w:themeColor="text1"/>
        </w:rPr>
        <w:t xml:space="preserve">periodo del </w:t>
      </w:r>
      <w:r w:rsidRPr="004A5029">
        <w:rPr>
          <w:rFonts w:ascii="Times New Roman" w:hAnsi="Times New Roman" w:cs="Times New Roman"/>
          <w:color w:val="000000" w:themeColor="text1"/>
        </w:rPr>
        <w:t>comma 4</w:t>
      </w:r>
      <w:r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 xml:space="preserve">sono in ogni caso disciplinati:  </w:t>
      </w:r>
      <w:r w:rsidRPr="004A5029">
        <w:rPr>
          <w:rFonts w:ascii="Times New Roman" w:hAnsi="Times New Roman" w:cs="Times New Roman"/>
          <w:color w:val="000000" w:themeColor="text1"/>
        </w:rPr>
        <w:t xml:space="preserve"> </w:t>
      </w:r>
    </w:p>
    <w:p w14:paraId="04339A1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a) i requisiti soggettivi, organizzativi, finanziari e tecnici per il conseguimento dell’autorizzazione all’esercizio dell’attività di qualificazione degli operatori economici nonché la procedura per ottenere l’autorizzazione; </w:t>
      </w:r>
    </w:p>
    <w:p w14:paraId="3C36FDEE"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b) le sanzioni pecuniarie e interdittive, fino alla decadenza dell’autorizzazione, per le violazioni commesse dagli organismi di attestazione, anche alle richieste di informazioni e di atti loro rivolte dall’ANAC nell’esercizio dell’attività di vigilanza, secondo un criterio di proporzionalità e nel rispetto del contraddittorio; </w:t>
      </w:r>
    </w:p>
    <w:p w14:paraId="6F4C4954"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c) le modalità dell’esercizio dell’attività di vigilanza da parte dell’ANAC; </w:t>
      </w:r>
    </w:p>
    <w:p w14:paraId="42C144F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d) gli obblighi di conservazione e di pubblicazione della documentazione in capo agli organismi di attestazione; </w:t>
      </w:r>
    </w:p>
    <w:p w14:paraId="39D73D5A"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e) gli obblighi di comunicazione all’ANAC in capo agli organismi di attestazione.</w:t>
      </w:r>
    </w:p>
    <w:p w14:paraId="6B189D1B" w14:textId="4F48B86D" w:rsidR="00446F27" w:rsidRPr="004A5029" w:rsidRDefault="00446F27"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Con il regolamento di cui </w:t>
      </w:r>
      <w:r w:rsidRPr="004A5029">
        <w:rPr>
          <w:rFonts w:ascii="Times New Roman" w:eastAsia="Times New Roman" w:hAnsi="Times New Roman" w:cs="Times New Roman"/>
          <w:color w:val="000000" w:themeColor="text1"/>
        </w:rPr>
        <w:t xml:space="preserve">al </w:t>
      </w:r>
      <w:r w:rsidR="00A7462C" w:rsidRPr="004A5029">
        <w:rPr>
          <w:rFonts w:ascii="Times New Roman" w:eastAsia="Times New Roman" w:hAnsi="Times New Roman" w:cs="Times New Roman"/>
          <w:b/>
          <w:bCs/>
          <w:strike/>
          <w:color w:val="000000" w:themeColor="text1"/>
        </w:rPr>
        <w:t>quinto</w:t>
      </w:r>
      <w:r w:rsidR="00A7462C" w:rsidRPr="004A5029">
        <w:rPr>
          <w:rFonts w:ascii="Times New Roman" w:hAnsi="Times New Roman" w:cs="Times New Roman"/>
          <w:b/>
          <w:bCs/>
          <w:color w:val="000000" w:themeColor="text1"/>
        </w:rPr>
        <w:t xml:space="preserve"> sesto</w:t>
      </w:r>
      <w:r w:rsidR="1BB39F3B" w:rsidRPr="004A5029">
        <w:rPr>
          <w:rFonts w:ascii="Times New Roman" w:eastAsia="Times New Roman" w:hAnsi="Times New Roman" w:cs="Times New Roman"/>
          <w:color w:val="000000" w:themeColor="text1"/>
        </w:rPr>
        <w:t xml:space="preserve"> </w:t>
      </w:r>
      <w:r w:rsidR="00F43608" w:rsidRPr="004A5029">
        <w:rPr>
          <w:rFonts w:ascii="Times New Roman" w:eastAsia="Times New Roman" w:hAnsi="Times New Roman" w:cs="Times New Roman"/>
          <w:color w:val="000000" w:themeColor="text1"/>
        </w:rPr>
        <w:t xml:space="preserve">periodo </w:t>
      </w:r>
      <w:r w:rsidR="1BB39F3B" w:rsidRPr="004A5029">
        <w:rPr>
          <w:rFonts w:ascii="Times New Roman" w:eastAsia="Times New Roman" w:hAnsi="Times New Roman" w:cs="Times New Roman"/>
          <w:color w:val="000000" w:themeColor="text1"/>
        </w:rPr>
        <w:t xml:space="preserve">del </w:t>
      </w:r>
      <w:r w:rsidRPr="004A5029">
        <w:rPr>
          <w:rFonts w:ascii="Times New Roman" w:eastAsia="Times New Roman" w:hAnsi="Times New Roman" w:cs="Times New Roman"/>
          <w:color w:val="000000" w:themeColor="text1"/>
        </w:rPr>
        <w:t>comma 4</w:t>
      </w:r>
      <w:r w:rsidRPr="004A5029">
        <w:rPr>
          <w:rFonts w:ascii="Times New Roman" w:eastAsia="Times New Roman" w:hAnsi="Times New Roman" w:cs="Times New Roman"/>
          <w:strike/>
          <w:color w:val="000000" w:themeColor="text1"/>
        </w:rPr>
        <w:t>,</w:t>
      </w:r>
      <w:r w:rsidRPr="004A5029">
        <w:rPr>
          <w:rFonts w:ascii="Times New Roman" w:hAnsi="Times New Roman" w:cs="Times New Roman"/>
          <w:color w:val="000000" w:themeColor="text1"/>
        </w:rPr>
        <w:t xml:space="preserve"> è altresì definita la disciplina della qualificazione degli operatori economici per gli appalti di servizi e forniture. Il regolamento contiene, tra l’altro: la definizione delle tipologie per le quali è possibile una classificazione per valore, la competenza a rilasciare la relativa attestazione, la procedura e le condizioni per la relativa richiesta, </w:t>
      </w:r>
      <w:r w:rsidRPr="004A5029">
        <w:rPr>
          <w:rFonts w:ascii="Times New Roman" w:hAnsi="Times New Roman" w:cs="Times New Roman"/>
          <w:bCs/>
          <w:color w:val="000000" w:themeColor="text1"/>
        </w:rPr>
        <w:t>il regime sanzionatorio</w:t>
      </w:r>
      <w:r w:rsidRPr="004A5029">
        <w:rPr>
          <w:rFonts w:ascii="Times New Roman" w:hAnsi="Times New Roman" w:cs="Times New Roman"/>
          <w:color w:val="000000" w:themeColor="text1"/>
        </w:rPr>
        <w:t>.</w:t>
      </w:r>
      <w:r w:rsidR="00332CE1" w:rsidRPr="004A5029">
        <w:rPr>
          <w:rFonts w:ascii="Times New Roman" w:hAnsi="Times New Roman" w:cs="Times New Roman"/>
          <w:color w:val="000000" w:themeColor="text1"/>
        </w:rPr>
        <w:t xml:space="preserve"> </w:t>
      </w:r>
    </w:p>
    <w:p w14:paraId="44D95854" w14:textId="5E5BF94E" w:rsidR="00446F27" w:rsidRPr="004A5029" w:rsidRDefault="00446F27"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11. Fino alla data di entrata in vigore del regolamento di cui </w:t>
      </w:r>
      <w:r w:rsidRPr="004A5029">
        <w:rPr>
          <w:rFonts w:ascii="Times New Roman" w:eastAsia="Times New Roman" w:hAnsi="Times New Roman" w:cs="Times New Roman"/>
          <w:color w:val="000000" w:themeColor="text1"/>
        </w:rPr>
        <w:t xml:space="preserve">al </w:t>
      </w:r>
      <w:r w:rsidR="00A7462C" w:rsidRPr="004A5029">
        <w:rPr>
          <w:rFonts w:ascii="Times New Roman" w:eastAsia="Times New Roman" w:hAnsi="Times New Roman" w:cs="Times New Roman"/>
          <w:b/>
          <w:bCs/>
          <w:strike/>
          <w:color w:val="000000" w:themeColor="text1"/>
        </w:rPr>
        <w:t>quinto</w:t>
      </w:r>
      <w:r w:rsidR="00A7462C" w:rsidRPr="004A5029">
        <w:rPr>
          <w:rFonts w:ascii="Times New Roman" w:hAnsi="Times New Roman" w:cs="Times New Roman"/>
          <w:b/>
          <w:bCs/>
          <w:color w:val="000000" w:themeColor="text1"/>
        </w:rPr>
        <w:t xml:space="preserve"> sesto</w:t>
      </w:r>
      <w:r w:rsidR="74455033" w:rsidRPr="004A5029">
        <w:rPr>
          <w:rFonts w:ascii="Times New Roman" w:eastAsia="Times New Roman" w:hAnsi="Times New Roman" w:cs="Times New Roman"/>
          <w:color w:val="000000" w:themeColor="text1"/>
        </w:rPr>
        <w:t xml:space="preserve"> </w:t>
      </w:r>
      <w:r w:rsidR="00F43608" w:rsidRPr="004A5029">
        <w:rPr>
          <w:rFonts w:ascii="Times New Roman" w:eastAsia="Times New Roman" w:hAnsi="Times New Roman" w:cs="Times New Roman"/>
          <w:color w:val="000000" w:themeColor="text1"/>
        </w:rPr>
        <w:t>periodo</w:t>
      </w:r>
      <w:r w:rsidR="00F43608" w:rsidRPr="004A5029">
        <w:rPr>
          <w:rFonts w:ascii="Times New Roman" w:eastAsia="Times New Roman" w:hAnsi="Times New Roman" w:cs="Times New Roman"/>
          <w:b/>
          <w:bCs/>
          <w:color w:val="000000" w:themeColor="text1"/>
        </w:rPr>
        <w:t xml:space="preserve"> </w:t>
      </w:r>
      <w:r w:rsidR="74455033" w:rsidRPr="004A5029">
        <w:rPr>
          <w:rFonts w:ascii="Times New Roman" w:eastAsia="Times New Roman" w:hAnsi="Times New Roman" w:cs="Times New Roman"/>
          <w:color w:val="000000" w:themeColor="text1"/>
        </w:rPr>
        <w:t xml:space="preserve">del </w:t>
      </w:r>
      <w:r w:rsidRPr="004A5029">
        <w:rPr>
          <w:rFonts w:ascii="Times New Roman" w:eastAsia="Times New Roman" w:hAnsi="Times New Roman" w:cs="Times New Roman"/>
          <w:color w:val="000000" w:themeColor="text1"/>
        </w:rPr>
        <w:t xml:space="preserve">comma 4, </w:t>
      </w:r>
      <w:r w:rsidRPr="004A5029">
        <w:rPr>
          <w:rFonts w:ascii="Times New Roman" w:hAnsi="Times New Roman" w:cs="Times New Roman"/>
          <w:color w:val="000000" w:themeColor="text1"/>
        </w:rPr>
        <w:t xml:space="preserve">per le procedure di aggiudicazione di appalti di servizi e forniture, le stazioni appaltanti possono richiedere agli operatori economici quale requisito di capacità economica e finanziaria un fatturato globale </w:t>
      </w:r>
      <w:r w:rsidRPr="004A5029">
        <w:rPr>
          <w:rFonts w:ascii="Times New Roman" w:hAnsi="Times New Roman" w:cs="Times New Roman"/>
          <w:b/>
          <w:bCs/>
          <w:strike/>
          <w:color w:val="000000" w:themeColor="text1"/>
        </w:rPr>
        <w:t>maturato</w:t>
      </w:r>
      <w:r w:rsidRPr="004A5029">
        <w:rPr>
          <w:rFonts w:ascii="Times New Roman" w:hAnsi="Times New Roman" w:cs="Times New Roman"/>
          <w:color w:val="000000" w:themeColor="text1"/>
        </w:rPr>
        <w:t xml:space="preserve"> </w:t>
      </w:r>
      <w:r w:rsidRPr="004A5029">
        <w:rPr>
          <w:rFonts w:ascii="Times New Roman" w:hAnsi="Times New Roman" w:cs="Times New Roman"/>
          <w:b/>
          <w:bCs/>
          <w:strike/>
          <w:color w:val="000000" w:themeColor="text1"/>
        </w:rPr>
        <w:t>nell’anno</w:t>
      </w:r>
      <w:r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precedente</w:t>
      </w:r>
      <w:r w:rsidRPr="004A5029">
        <w:rPr>
          <w:rFonts w:ascii="Times New Roman" w:hAnsi="Times New Roman" w:cs="Times New Roman"/>
          <w:strike/>
          <w:color w:val="000000" w:themeColor="text1"/>
        </w:rPr>
        <w:t xml:space="preserve"> </w:t>
      </w:r>
      <w:r w:rsidRPr="004A5029">
        <w:rPr>
          <w:rFonts w:ascii="Times New Roman" w:hAnsi="Times New Roman" w:cs="Times New Roman"/>
          <w:b/>
          <w:bCs/>
          <w:strike/>
          <w:color w:val="000000" w:themeColor="text1"/>
        </w:rPr>
        <w:t>a quello di indizione della procedura</w:t>
      </w:r>
      <w:r w:rsidRPr="004A5029">
        <w:rPr>
          <w:rFonts w:ascii="Times New Roman" w:hAnsi="Times New Roman" w:cs="Times New Roman"/>
          <w:color w:val="000000" w:themeColor="text1"/>
        </w:rPr>
        <w:t xml:space="preserve"> non superiore al doppio del valore stimato dell’appalto</w:t>
      </w:r>
      <w:r w:rsidR="00A70FBC" w:rsidRPr="004A5029">
        <w:rPr>
          <w:rFonts w:ascii="Times New Roman" w:hAnsi="Times New Roman" w:cs="Times New Roman"/>
          <w:color w:val="000000" w:themeColor="text1"/>
        </w:rPr>
        <w:t xml:space="preserve">, </w:t>
      </w:r>
      <w:r w:rsidR="00A70FBC" w:rsidRPr="004A5029">
        <w:rPr>
          <w:rFonts w:ascii="Times New Roman" w:hAnsi="Times New Roman" w:cs="Times New Roman"/>
          <w:b/>
          <w:bCs/>
          <w:color w:val="000000" w:themeColor="text1"/>
        </w:rPr>
        <w:t>maturato nel triennio</w:t>
      </w:r>
      <w:r w:rsidR="00A02F3C" w:rsidRPr="004A5029">
        <w:rPr>
          <w:rFonts w:ascii="Times New Roman" w:hAnsi="Times New Roman" w:cs="Times New Roman"/>
          <w:b/>
          <w:bCs/>
          <w:color w:val="000000" w:themeColor="text1"/>
        </w:rPr>
        <w:t xml:space="preserve"> </w:t>
      </w:r>
      <w:r w:rsidR="003F6762" w:rsidRPr="004A5029">
        <w:rPr>
          <w:rFonts w:ascii="Times New Roman" w:hAnsi="Times New Roman" w:cs="Times New Roman"/>
          <w:b/>
          <w:bCs/>
          <w:color w:val="000000" w:themeColor="text1"/>
        </w:rPr>
        <w:t xml:space="preserve">precedente </w:t>
      </w:r>
      <w:r w:rsidR="00A02F3C" w:rsidRPr="004A5029">
        <w:rPr>
          <w:rFonts w:ascii="Times New Roman" w:hAnsi="Times New Roman" w:cs="Times New Roman"/>
          <w:b/>
          <w:bCs/>
          <w:color w:val="000000" w:themeColor="text1"/>
        </w:rPr>
        <w:t>a quello di indizione della procedura</w:t>
      </w:r>
      <w:r w:rsidRPr="004A5029">
        <w:rPr>
          <w:rFonts w:ascii="Times New Roman" w:hAnsi="Times New Roman" w:cs="Times New Roman"/>
          <w:color w:val="000000" w:themeColor="text1"/>
        </w:rPr>
        <w:t>. In caso di procedure di aggiudicazione suddivise in pluralità di lotti, salvo diversa motivata scelta della stazione appaltante, il fatturato è richiesto per ciascun lotto. Le stazioni appaltanti possono, altresì, richiedere agli operatori economici quale requisito di capacità tecnica e professionale di aver eseguito nel precedente triennio dalla data di indizione della procedura di gara contratti analoghi a quello in affidamento anche a favore di soggetti privati</w:t>
      </w:r>
      <w:r w:rsidRPr="004A5029">
        <w:rPr>
          <w:rFonts w:ascii="Times New Roman" w:hAnsi="Times New Roman" w:cs="Times New Roman"/>
          <w:i/>
          <w:iCs/>
          <w:color w:val="000000" w:themeColor="text1"/>
        </w:rPr>
        <w:t xml:space="preserve">. </w:t>
      </w:r>
    </w:p>
    <w:p w14:paraId="5FFFB247" w14:textId="77777777" w:rsidR="0039641C"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12. Salvo quanto previsto dall’articolo 102 o da leggi speciali, le stazioni appaltanti richiedono esclusivamente i requisiti di partecipazione previsti </w:t>
      </w:r>
      <w:r w:rsidRPr="004A5029">
        <w:rPr>
          <w:rFonts w:ascii="Times New Roman" w:hAnsi="Times New Roman" w:cs="Times New Roman"/>
          <w:b/>
          <w:strike/>
          <w:color w:val="000000" w:themeColor="text1"/>
        </w:rPr>
        <w:t>dai commi precedenti</w:t>
      </w:r>
      <w:r w:rsidR="007466BD" w:rsidRPr="004A5029">
        <w:rPr>
          <w:rFonts w:ascii="Times New Roman" w:hAnsi="Times New Roman" w:cs="Times New Roman"/>
          <w:b/>
          <w:color w:val="000000" w:themeColor="text1"/>
        </w:rPr>
        <w:t xml:space="preserve"> dal presente articolo</w:t>
      </w:r>
      <w:r w:rsidRPr="004A5029">
        <w:rPr>
          <w:rFonts w:ascii="Times New Roman" w:hAnsi="Times New Roman" w:cs="Times New Roman"/>
          <w:bCs/>
          <w:color w:val="000000" w:themeColor="text1"/>
        </w:rPr>
        <w:t xml:space="preserve">. </w:t>
      </w:r>
    </w:p>
    <w:p w14:paraId="21973F64" w14:textId="3C0FB162" w:rsidR="0039641C" w:rsidRPr="004A5029" w:rsidRDefault="0039641C"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13. Gli organismi di cui </w:t>
      </w:r>
      <w:r w:rsidR="00167393">
        <w:rPr>
          <w:rFonts w:ascii="Times New Roman" w:hAnsi="Times New Roman" w:cs="Times New Roman"/>
          <w:b/>
          <w:color w:val="000000" w:themeColor="text1"/>
        </w:rPr>
        <w:t xml:space="preserve">al </w:t>
      </w:r>
      <w:r w:rsidRPr="004A5029">
        <w:rPr>
          <w:rFonts w:ascii="Times New Roman" w:hAnsi="Times New Roman" w:cs="Times New Roman"/>
          <w:b/>
          <w:color w:val="000000" w:themeColor="text1"/>
        </w:rPr>
        <w:t>comma 4 segnalano immediatamente all'ANAC i casi in cui gli operatori economici, ai fini della qualificazione, rendono dichiarazioni false o producono documenti non veritieri.</w:t>
      </w:r>
    </w:p>
    <w:p w14:paraId="66A1FAB9" w14:textId="77777777" w:rsidR="00446F27" w:rsidRPr="004A5029" w:rsidRDefault="00446F27" w:rsidP="00446F27">
      <w:pPr>
        <w:jc w:val="both"/>
        <w:rPr>
          <w:rFonts w:ascii="Times New Roman" w:hAnsi="Times New Roman" w:cs="Times New Roman"/>
          <w:color w:val="000000" w:themeColor="text1"/>
        </w:rPr>
      </w:pPr>
    </w:p>
    <w:p w14:paraId="1F6213E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101.</w:t>
      </w:r>
    </w:p>
    <w:p w14:paraId="1DA9BEC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Soccorso istruttorio.</w:t>
      </w:r>
    </w:p>
    <w:p w14:paraId="305ABA93" w14:textId="32D4D1AB"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Salvo che al momento della scadenza del termine per la presentazione dell’offerta il documento sia presente nel fascicolo virtuale dell’operatore economico, la stazione appaltante assegna un termine non inferiore a cinque giorni e non superiore a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EF254E" w:rsidRPr="004A5029">
        <w:rPr>
          <w:rFonts w:ascii="Times New Roman" w:hAnsi="Times New Roman" w:cs="Times New Roman"/>
          <w:b/>
          <w:color w:val="000000" w:themeColor="text1"/>
        </w:rPr>
        <w:t xml:space="preserve">dieci </w:t>
      </w:r>
      <w:r w:rsidRPr="004A5029">
        <w:rPr>
          <w:rFonts w:ascii="Times New Roman" w:hAnsi="Times New Roman" w:cs="Times New Roman"/>
          <w:bCs/>
          <w:color w:val="000000" w:themeColor="text1"/>
        </w:rPr>
        <w:t>giorni per:</w:t>
      </w:r>
    </w:p>
    <w:p w14:paraId="7E74D8A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integrare di ogni elemento mancante la documentazione trasmessa alla stazione appaltante nel termine per la presentazione delle offerte con la domanda di partecipazione alla procedura di gara o con il documento di gara unico europeo, con esclusione della documentazione che compone l’offerta tecnica e l’offerta economica; la mancata presentazione della garanzia provvisoria, del contratto di avvalimento e dell’impegno a conferire mandato collettivo speciale in caso di raggruppamenti di concorrenti non ancora costituiti è sanabile mediante documenti aventi data certa anteriore al termine fissato per la presentazione delle offerte;</w:t>
      </w:r>
    </w:p>
    <w:p w14:paraId="733C7D0B" w14:textId="77777777" w:rsidR="00446F27" w:rsidRPr="004A5029" w:rsidRDefault="00446F27" w:rsidP="00446F27">
      <w:pP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b) sanare ogni omissione, inesattezza o irregolarità della domanda di partecipazione, del documento di gara unico europeo e di ogni altro documento richiesto dalla stazione appaltante per la partecipazione alla procedura di gara, con esclusione della documentazione che compone l’offerta tecnica e l’offerta economica. Non sono sanabili le omissioni, inesattezze e irregolarità che rendono assolutamente incerta l’identità del concorrente.</w:t>
      </w:r>
    </w:p>
    <w:p w14:paraId="3A54CBEA"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2.</w:t>
      </w:r>
      <w:r w:rsidRPr="004A5029">
        <w:rPr>
          <w:rFonts w:ascii="Times New Roman" w:hAnsi="Times New Roman" w:cs="Times New Roman"/>
          <w:i/>
          <w:color w:val="000000" w:themeColor="text1"/>
        </w:rPr>
        <w:t xml:space="preserve"> </w:t>
      </w:r>
      <w:r w:rsidRPr="004A5029">
        <w:rPr>
          <w:rFonts w:ascii="Times New Roman" w:hAnsi="Times New Roman" w:cs="Times New Roman"/>
          <w:color w:val="000000" w:themeColor="text1"/>
        </w:rPr>
        <w:t xml:space="preserve">L’operatore economico che non adempie alle richieste della stazione appaltante nel termine stabilito è escluso dalla procedura di gara. </w:t>
      </w:r>
    </w:p>
    <w:p w14:paraId="09804AF6" w14:textId="4C7E0F7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La stazione appaltante può sempre richiedere chiarimenti sui contenuti dell’offerta tecnica e dell’offerta economica e su ogni loro allegato. L’operatore economico è tenuto a fornire risposta nel termine fissato dalla stazione appaltante, che non può essere inferiore a cinque giorni e superiore a </w:t>
      </w:r>
      <w:r w:rsidRPr="004A5029">
        <w:rPr>
          <w:rFonts w:ascii="Times New Roman" w:hAnsi="Times New Roman" w:cs="Times New Roman"/>
          <w:b/>
          <w:bCs/>
          <w:strike/>
          <w:color w:val="000000" w:themeColor="text1"/>
        </w:rPr>
        <w:t>10</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dieci </w:t>
      </w:r>
      <w:r w:rsidRPr="004A5029">
        <w:rPr>
          <w:rFonts w:ascii="Times New Roman" w:hAnsi="Times New Roman" w:cs="Times New Roman"/>
          <w:color w:val="000000" w:themeColor="text1"/>
        </w:rPr>
        <w:t xml:space="preserve">giorni. I chiarimenti resi dall’operatore economico non possono modificare il contenuto dell’offerta tecnica e dell’offerta economica. </w:t>
      </w:r>
    </w:p>
    <w:p w14:paraId="33D88C6E" w14:textId="77777777" w:rsidR="00446F27" w:rsidRPr="004A5029" w:rsidRDefault="00446F27" w:rsidP="00446F27">
      <w:pPr>
        <w:jc w:val="both"/>
        <w:rPr>
          <w:rFonts w:ascii="Times New Roman" w:eastAsia="Times New Roman" w:hAnsi="Times New Roman" w:cs="Times New Roman"/>
          <w:color w:val="000000" w:themeColor="text1"/>
          <w:highlight w:val="yellow"/>
        </w:rPr>
      </w:pPr>
      <w:r w:rsidRPr="004A5029">
        <w:rPr>
          <w:rFonts w:ascii="Times New Roman" w:eastAsia="Times New Roman" w:hAnsi="Times New Roman" w:cs="Times New Roman"/>
          <w:color w:val="000000" w:themeColor="text1"/>
        </w:rPr>
        <w:t xml:space="preserve">4. Fino al giorno fissato per la loro apertura, l’operatore economico, </w:t>
      </w:r>
      <w:r w:rsidRPr="004A5029">
        <w:rPr>
          <w:rFonts w:ascii="Times New Roman" w:eastAsia="Calibri" w:hAnsi="Times New Roman" w:cs="Times New Roman"/>
          <w:color w:val="000000" w:themeColor="text1"/>
        </w:rPr>
        <w:t>con le stesse modalità di presentazione della domanda di partecipazione,</w:t>
      </w:r>
      <w:r w:rsidRPr="004A5029">
        <w:rPr>
          <w:rFonts w:ascii="Times New Roman" w:eastAsia="Times New Roman" w:hAnsi="Times New Roman" w:cs="Times New Roman"/>
          <w:color w:val="000000" w:themeColor="text1"/>
        </w:rPr>
        <w:t xml:space="preserve"> può richiedere la rettifica di un errore materiale contenuto nell’offerta tecnica o nell’offerta economica di cui si sia avveduto dopo la scadenza del termine per la loro presentazione a condizione che la rettifica non comporti la presentazione di una nuova offerta, o comunque la sua modifica sostanziale</w:t>
      </w:r>
      <w:r w:rsidRPr="004A5029">
        <w:rPr>
          <w:rFonts w:ascii="Times New Roman" w:eastAsia="Times New Roman" w:hAnsi="Times New Roman" w:cs="Times New Roman"/>
          <w:bCs/>
          <w:color w:val="000000" w:themeColor="text1"/>
        </w:rPr>
        <w:t>, e che resti comunque assicurato l’anonimato</w:t>
      </w:r>
      <w:r w:rsidRPr="004A5029">
        <w:rPr>
          <w:rFonts w:ascii="Times New Roman" w:eastAsia="Times New Roman" w:hAnsi="Times New Roman" w:cs="Times New Roman"/>
          <w:color w:val="000000" w:themeColor="text1"/>
        </w:rPr>
        <w:t>.</w:t>
      </w:r>
    </w:p>
    <w:p w14:paraId="76BB753C" w14:textId="77777777" w:rsidR="00446F27" w:rsidRPr="004A5029" w:rsidRDefault="00446F27" w:rsidP="00446F27">
      <w:pPr>
        <w:jc w:val="both"/>
        <w:rPr>
          <w:rFonts w:ascii="Times New Roman" w:hAnsi="Times New Roman" w:cs="Times New Roman"/>
          <w:color w:val="000000" w:themeColor="text1"/>
        </w:rPr>
      </w:pPr>
    </w:p>
    <w:p w14:paraId="17A0E714" w14:textId="77777777" w:rsidR="00446F27" w:rsidRPr="004A5029" w:rsidRDefault="00446F27" w:rsidP="00446F27">
      <w:pPr>
        <w:jc w:val="both"/>
        <w:rPr>
          <w:rFonts w:ascii="Times New Roman" w:hAnsi="Times New Roman" w:cs="Times New Roman"/>
          <w:b/>
          <w:color w:val="000000" w:themeColor="text1"/>
        </w:rPr>
      </w:pPr>
      <w:bookmarkStart w:id="39" w:name="_Hlk126083907"/>
      <w:r w:rsidRPr="004A5029">
        <w:rPr>
          <w:rFonts w:ascii="Times New Roman" w:hAnsi="Times New Roman" w:cs="Times New Roman"/>
          <w:b/>
          <w:color w:val="000000" w:themeColor="text1"/>
        </w:rPr>
        <w:t>Articolo 102.</w:t>
      </w:r>
    </w:p>
    <w:p w14:paraId="56383139" w14:textId="77777777" w:rsidR="00446F27" w:rsidRPr="004A5029" w:rsidRDefault="00446F27" w:rsidP="00446F27">
      <w:pPr>
        <w:rPr>
          <w:rFonts w:ascii="Times New Roman" w:hAnsi="Times New Roman" w:cs="Times New Roman"/>
          <w:color w:val="000000" w:themeColor="text1"/>
        </w:rPr>
      </w:pPr>
      <w:r w:rsidRPr="004A5029">
        <w:rPr>
          <w:rFonts w:ascii="Times New Roman" w:hAnsi="Times New Roman" w:cs="Times New Roman"/>
          <w:bCs/>
          <w:i/>
          <w:color w:val="000000" w:themeColor="text1"/>
        </w:rPr>
        <w:t xml:space="preserve">Impegni dell’operatore economico. </w:t>
      </w:r>
    </w:p>
    <w:p w14:paraId="04EB612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Nei bandi, negli avvisi e negli inviti le stazioni appaltanti, tenuto conto della prestazione oggetto del contratto, richiedono agli operatori economici di assumere i seguenti impegni:</w:t>
      </w:r>
    </w:p>
    <w:p w14:paraId="08EBB9F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a) garantire la stabilità occupazionale del personale impiegato;</w:t>
      </w:r>
    </w:p>
    <w:p w14:paraId="0F86A694" w14:textId="056EBBBE"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garantire l’applicazione dei contratti collettivi nazionali e territoriali di settore, tenendo conto, in relazione all’oggetto dell’appalto e alle prestazioni da eseguire</w:t>
      </w:r>
      <w:r w:rsidR="005E0FC0" w:rsidRPr="004A5029">
        <w:rPr>
          <w:rFonts w:ascii="Times New Roman" w:hAnsi="Times New Roman" w:cs="Times New Roman"/>
          <w:b/>
          <w:color w:val="000000" w:themeColor="text1"/>
        </w:rPr>
        <w:t>,</w:t>
      </w:r>
      <w:r w:rsidRPr="004A5029">
        <w:rPr>
          <w:rFonts w:ascii="Times New Roman" w:hAnsi="Times New Roman" w:cs="Times New Roman"/>
          <w:bCs/>
          <w:color w:val="000000" w:themeColor="text1"/>
        </w:rPr>
        <w:t xml:space="preserve"> anche in maniera prevalente, di quelli stipulati dalle associazioni dei datori e dei prestatori di lavoro comparativamente più rappresentative sul piano nazionale e di quelli il cui ambito di applicazione sia strettamente connesso con l’attività oggetto dell’appalto o della concessione svolta dall’impresa anche in maniera prevalente,</w:t>
      </w:r>
      <w:r w:rsidRPr="004A5029">
        <w:rPr>
          <w:rFonts w:ascii="Times New Roman" w:eastAsia="Calibri" w:hAnsi="Times New Roman" w:cs="Times New Roman"/>
          <w:bCs/>
          <w:color w:val="000000" w:themeColor="text1"/>
          <w:lang w:eastAsia="it-IT"/>
        </w:rPr>
        <w:t xml:space="preserve"> </w:t>
      </w:r>
      <w:r w:rsidRPr="004A5029">
        <w:rPr>
          <w:rFonts w:ascii="Times New Roman" w:hAnsi="Times New Roman" w:cs="Times New Roman"/>
          <w:bCs/>
          <w:color w:val="000000" w:themeColor="text1"/>
        </w:rPr>
        <w:t>nonché garantire le stesse tutele economiche e normative per i lavoratori in subappalto rispetto ai dipendenti dell’appaltatore e contro il lavoro irregolare;</w:t>
      </w:r>
    </w:p>
    <w:p w14:paraId="3E9E9B77"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c) garantire le pari opportunità generazionali, di genere e di inclusione lavorativa per le persone con disabilità o svantaggiate.</w:t>
      </w:r>
    </w:p>
    <w:p w14:paraId="795E1552"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w:t>
      </w:r>
      <w:r w:rsidRPr="004A5029">
        <w:rPr>
          <w:rFonts w:ascii="Times New Roman" w:hAnsi="Times New Roman" w:cs="Times New Roman"/>
          <w:bCs/>
          <w:i/>
          <w:iCs/>
          <w:color w:val="000000" w:themeColor="text1"/>
        </w:rPr>
        <w:t xml:space="preserve"> </w:t>
      </w:r>
      <w:r w:rsidRPr="004A5029">
        <w:rPr>
          <w:rFonts w:ascii="Times New Roman" w:hAnsi="Times New Roman" w:cs="Times New Roman"/>
          <w:bCs/>
          <w:color w:val="000000" w:themeColor="text1"/>
        </w:rPr>
        <w:t>Per i fini di cui al comma 1 l’operatore economico indica nell’offerta le modalità con le quali intende adempiere quegli impegni. La stazione appaltante verifica l’attendibilità degli impegni assunti con qualsiasi adeguato mezzo, anche con le modalità di cui all’articolo 110, solo nei confronti dell’offerta dell’aggiudicatario.</w:t>
      </w:r>
    </w:p>
    <w:bookmarkEnd w:id="39"/>
    <w:p w14:paraId="513DA1E0" w14:textId="77777777" w:rsidR="00446F27" w:rsidRPr="004A5029" w:rsidRDefault="00446F27" w:rsidP="00446F27">
      <w:pPr>
        <w:jc w:val="both"/>
        <w:rPr>
          <w:rFonts w:ascii="Times New Roman" w:hAnsi="Times New Roman" w:cs="Times New Roman"/>
          <w:color w:val="000000" w:themeColor="text1"/>
        </w:rPr>
      </w:pPr>
    </w:p>
    <w:p w14:paraId="58933595"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103.</w:t>
      </w:r>
    </w:p>
    <w:p w14:paraId="3A04151B" w14:textId="77777777" w:rsidR="00446F27" w:rsidRPr="004A5029" w:rsidRDefault="00446F27" w:rsidP="00446F27">
      <w:pPr>
        <w:shd w:val="clear" w:color="auto" w:fill="FFFFFF"/>
        <w:rPr>
          <w:rFonts w:ascii="Times New Roman" w:eastAsia="Times New Roman" w:hAnsi="Times New Roman" w:cs="Times New Roman"/>
          <w:bCs/>
          <w:i/>
          <w:color w:val="000000" w:themeColor="text1"/>
          <w:lang w:eastAsia="it-IT"/>
        </w:rPr>
      </w:pPr>
      <w:r w:rsidRPr="004A5029">
        <w:rPr>
          <w:rFonts w:ascii="Times New Roman" w:eastAsia="Times New Roman" w:hAnsi="Times New Roman" w:cs="Times New Roman"/>
          <w:bCs/>
          <w:i/>
          <w:color w:val="000000" w:themeColor="text1"/>
          <w:lang w:eastAsia="it-IT"/>
        </w:rPr>
        <w:t>Requisiti di partecipazione a procedure di lavori di rilevante importo.</w:t>
      </w:r>
    </w:p>
    <w:p w14:paraId="645BCC12" w14:textId="77777777"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w:t>
      </w:r>
      <w:r w:rsidRPr="004A5029">
        <w:rPr>
          <w:rFonts w:ascii="Times New Roman" w:eastAsia="Times New Roman" w:hAnsi="Times New Roman" w:cs="Times New Roman"/>
          <w:i/>
          <w:iCs/>
          <w:color w:val="000000" w:themeColor="text1"/>
          <w:lang w:eastAsia="it-IT"/>
        </w:rPr>
        <w:t xml:space="preserve">. </w:t>
      </w:r>
      <w:r w:rsidRPr="004A5029">
        <w:rPr>
          <w:rFonts w:ascii="Times New Roman" w:eastAsia="Times New Roman" w:hAnsi="Times New Roman" w:cs="Times New Roman"/>
          <w:color w:val="000000" w:themeColor="text1"/>
          <w:lang w:eastAsia="it-IT"/>
        </w:rPr>
        <w:t>Per gli appalti di lavori di importo pari o superiore ai 20 milioni di euro, oltre ai requisiti di cui all'articolo 100, la stazione appaltante può richiedere requisiti aggiuntivi:</w:t>
      </w:r>
    </w:p>
    <w:p w14:paraId="12BA3C6B" w14:textId="142B76C6"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per verificare la capacità economico-finanziaria dell’operatore economico; in tal caso quest’ultimo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in alternativa, la stazione appaltante può richiedere un volume d'affari in lavori pari a due volte l'importo a base di gara, che l’operatore economico deve aver realizzato nei migliori cinque dei </w:t>
      </w:r>
      <w:r w:rsidRPr="004A5029">
        <w:rPr>
          <w:rFonts w:ascii="Times New Roman" w:eastAsia="Times New Roman" w:hAnsi="Times New Roman" w:cs="Times New Roman"/>
          <w:b/>
          <w:bCs/>
          <w:strike/>
          <w:color w:val="000000" w:themeColor="text1"/>
          <w:lang w:eastAsia="it-IT"/>
        </w:rPr>
        <w:t>10</w:t>
      </w:r>
      <w:r w:rsidRPr="004A5029">
        <w:rPr>
          <w:rFonts w:ascii="Times New Roman" w:eastAsia="Times New Roman" w:hAnsi="Times New Roman" w:cs="Times New Roman"/>
          <w:b/>
          <w:bCs/>
          <w:color w:val="000000" w:themeColor="text1"/>
          <w:lang w:eastAsia="it-IT"/>
        </w:rPr>
        <w:t xml:space="preserve"> </w:t>
      </w:r>
      <w:r w:rsidR="00A62EBA" w:rsidRPr="004A5029">
        <w:rPr>
          <w:rFonts w:ascii="Times New Roman" w:eastAsia="Times New Roman" w:hAnsi="Times New Roman" w:cs="Times New Roman"/>
          <w:b/>
          <w:bCs/>
          <w:color w:val="000000" w:themeColor="text1"/>
          <w:lang w:eastAsia="it-IT"/>
        </w:rPr>
        <w:t xml:space="preserve">dieci </w:t>
      </w:r>
      <w:r w:rsidRPr="004A5029">
        <w:rPr>
          <w:rFonts w:ascii="Times New Roman" w:eastAsia="Times New Roman" w:hAnsi="Times New Roman" w:cs="Times New Roman"/>
          <w:color w:val="000000" w:themeColor="text1"/>
          <w:lang w:eastAsia="it-IT"/>
        </w:rPr>
        <w:t>anni antecedenti alla data di pubblicazione del bando;</w:t>
      </w:r>
    </w:p>
    <w:p w14:paraId="7F97A35D" w14:textId="597C97B5" w:rsidR="00446F27" w:rsidRDefault="00446F27" w:rsidP="00446F27">
      <w:pPr>
        <w:shd w:val="clear" w:color="auto" w:fill="FFFFFF" w:themeFill="background1"/>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per verificare la capacità professionale per gli appalti per i quali </w:t>
      </w:r>
      <w:r w:rsidR="00E07A23" w:rsidRPr="004A5029">
        <w:rPr>
          <w:rFonts w:ascii="Times New Roman" w:eastAsia="Times New Roman" w:hAnsi="Times New Roman" w:cs="Times New Roman"/>
          <w:color w:val="000000" w:themeColor="text1"/>
          <w:lang w:eastAsia="it-IT"/>
        </w:rPr>
        <w:t>è</w:t>
      </w:r>
      <w:r w:rsidRPr="004A5029">
        <w:rPr>
          <w:rFonts w:ascii="Times New Roman" w:eastAsia="Times New Roman" w:hAnsi="Times New Roman" w:cs="Times New Roman"/>
          <w:color w:val="000000" w:themeColor="text1"/>
          <w:lang w:eastAsia="it-IT"/>
        </w:rPr>
        <w:t xml:space="preserve"> richiesta la classifica illimitata; in tal caso 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tale requisito si applica solo agli appalti di lavori di importo pari o superiore a 100 milioni di euro.</w:t>
      </w:r>
    </w:p>
    <w:p w14:paraId="1BD4ED06" w14:textId="2653673E" w:rsidR="008064E0" w:rsidRPr="008064E0" w:rsidRDefault="008064E0" w:rsidP="008064E0">
      <w:pPr>
        <w:jc w:val="both"/>
        <w:rPr>
          <w:rFonts w:ascii="Times New Roman" w:hAnsi="Times New Roman" w:cs="Times New Roman"/>
          <w:b/>
          <w:bCs/>
          <w:strike/>
          <w:color w:val="000000" w:themeColor="text1"/>
        </w:rPr>
      </w:pPr>
      <w:r w:rsidRPr="008064E0">
        <w:rPr>
          <w:rFonts w:ascii="Times New Roman" w:hAnsi="Times New Roman" w:cs="Times New Roman"/>
          <w:b/>
          <w:bCs/>
          <w:strike/>
          <w:color w:val="000000" w:themeColor="text1"/>
        </w:rPr>
        <w:t xml:space="preserve">2. Gli organismi di cui al comma 1, segnalano immediatamente all'ANAC i casi in cui gli operatori economici, ai fini della qualificazione, rendono dichiarazioni false o producono documenti non veritieri. </w:t>
      </w:r>
    </w:p>
    <w:p w14:paraId="75CAC6F5" w14:textId="77777777" w:rsidR="00446F27" w:rsidRPr="004A5029" w:rsidRDefault="00446F27" w:rsidP="00446F27">
      <w:pPr>
        <w:jc w:val="both"/>
        <w:rPr>
          <w:rFonts w:ascii="Times New Roman" w:hAnsi="Times New Roman" w:cs="Times New Roman"/>
          <w:color w:val="000000" w:themeColor="text1"/>
        </w:rPr>
      </w:pPr>
    </w:p>
    <w:p w14:paraId="43D227E4" w14:textId="77777777" w:rsidR="00446F27" w:rsidRPr="004A5029" w:rsidRDefault="00446F27" w:rsidP="00446F27">
      <w:pPr>
        <w:shd w:val="clear" w:color="auto" w:fill="FFFFFF"/>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104.</w:t>
      </w:r>
    </w:p>
    <w:p w14:paraId="62AE7C0E" w14:textId="77777777" w:rsidR="00446F27" w:rsidRPr="004A5029" w:rsidRDefault="00446F27" w:rsidP="00446F27">
      <w:pPr>
        <w:shd w:val="clear" w:color="auto" w:fill="FFFFFF"/>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Avvalimento.</w:t>
      </w:r>
    </w:p>
    <w:p w14:paraId="694E21FD" w14:textId="77777777"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bCs/>
          <w:color w:val="000000" w:themeColor="text1"/>
        </w:rPr>
        <w:t>1. L’avvalimento è il contratto con il quale una o più imprese ausiliarie si obbligano a mettere a disposizione di un operatore economico che concorre in una procedura di gara dotazioni tecniche e risorse umane e strumentali per tutta la durata dell’appalto. Il contratto di avvalimento è concluso in forma scritta a pena di nullità con indicazione specifica delle risorse messe a disposizione dell’operatore economico. Il contratto di avvalimento è normalmente oneroso, salvo che risponda anche a un interesse dell’impresa ausiliaria, e può essere concluso a prescindere dalla natura giuridica dei legami tra le parti.</w:t>
      </w:r>
    </w:p>
    <w:p w14:paraId="386C9FBD" w14:textId="6CEBB00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Qualora il contratto di avvalimento sia concluso per acquisire un requisito necessario alla partecipazione a una procedura di aggiudicazione di un appalto di lavori di importo pari o superiore a euro 150.000, o di un appalto di servizi e forniture, esso ha per oggetto le dotazioni tecniche e le risorse che avrebbero consentito all’operatore economico di ottenere l’attestazione di qualificazione richiesta. </w:t>
      </w:r>
    </w:p>
    <w:p w14:paraId="17EA3806"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Qualora il contratto di avvalimento sia stipulato con impresa ausiliaria in possesso di autorizzazione o altro titolo abilitativo richiesto per la partecipazione alla procedura di aggiudicazione ai sensi dell’articolo 100, comma 3, o con un soggetto in possesso di titoli di studio o professionali necessari all’esecuzione della prestazione oggetto dell’appalto, i lavori o i servizi sono eseguiti direttamente dall’impresa ausiliaria. Si applicano le disposizioni in materia di subappalto.  </w:t>
      </w:r>
    </w:p>
    <w:p w14:paraId="1554671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L’operatore economico allega alla domanda di partecipazione il contratto di avvalimento in originale o copia autentica, specificando se intende avvalersi delle risorse altrui per acquisire un requisito di partecipazione o per migliorare la propria offerta, e allega, nel caso di cui al comma 2, la certificazione rilasciata dalla SOA o dall’ANAC. L’impresa ausiliaria è tenuta a dichiarare alla stazione appaltante: </w:t>
      </w:r>
    </w:p>
    <w:p w14:paraId="1F7EB4E9"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a) di essere in possesso dei requisiti di ordine generale di cui al Capo II del presente Titolo;</w:t>
      </w:r>
    </w:p>
    <w:p w14:paraId="068A6C39"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b) di essere in possesso dei requisiti di cui all’articolo 100 per i servizi e le forniture;</w:t>
      </w:r>
    </w:p>
    <w:p w14:paraId="28F39F30"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c) di impegnarsi verso l’operatore economico e verso la stessa stazione appaltante a mettere a disposizione per tutta la durata dell’appalto le risorse oggetto del contratto di avvalimento.</w:t>
      </w:r>
    </w:p>
    <w:p w14:paraId="6C500020" w14:textId="0DD5E89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L’impresa ausiliaria trasmette la propria attestazione di qualificazione nel caso di avvalimento finalizzato all’acquisizione del requisito di partecipazione a una procedura di aggiudicazione di lavori. In caso di dichiarazioni mendaci, fermo restando l’applicazione dell’articolo 96, comma 15, nei confronti dei sottoscrittori, la stazione appaltante assegna all’operatore economico concorrente un termine, non superiore a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EF254E" w:rsidRPr="004A5029">
        <w:rPr>
          <w:rFonts w:ascii="Times New Roman" w:hAnsi="Times New Roman" w:cs="Times New Roman"/>
          <w:b/>
          <w:color w:val="000000" w:themeColor="text1"/>
        </w:rPr>
        <w:t xml:space="preserve">dieci </w:t>
      </w:r>
      <w:r w:rsidRPr="004A5029">
        <w:rPr>
          <w:rFonts w:ascii="Times New Roman" w:hAnsi="Times New Roman" w:cs="Times New Roman"/>
          <w:bCs/>
          <w:color w:val="000000" w:themeColor="text1"/>
        </w:rPr>
        <w:t>giorni, per indicare un’altra impresa ausiliaria idonea, purché la sostituzione dell’impresa ausiliaria non conduca a una modifica sostanziale dell’offerta dell’operatore economico. Nel caso di mancato rispetto del termine assegnato, la stazione appaltante esclude l’operatore economico.</w:t>
      </w:r>
    </w:p>
    <w:p w14:paraId="17E639E1" w14:textId="4A11F3B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6. La stazione appaltante verifica se l’impresa ausiliaria è in possesso dei requisiti dichiarati con le modalità di cui agli articoli 91 e 105, quest’ultimo con riguardo ai mezzi di prova e al registro </w:t>
      </w:r>
      <w:r w:rsidRPr="004A5029">
        <w:rPr>
          <w:rFonts w:ascii="Times New Roman" w:hAnsi="Times New Roman" w:cs="Times New Roman"/>
          <w:bCs/>
          <w:i/>
          <w:iCs/>
          <w:color w:val="000000" w:themeColor="text1"/>
        </w:rPr>
        <w:t>online,</w:t>
      </w:r>
      <w:r w:rsidRPr="004A5029">
        <w:rPr>
          <w:rFonts w:ascii="Times New Roman" w:hAnsi="Times New Roman" w:cs="Times New Roman"/>
          <w:bCs/>
          <w:color w:val="000000" w:themeColor="text1"/>
        </w:rPr>
        <w:t xml:space="preserve"> e se sussistono cause di esclusione ai sensi del Capo II del presente Titolo</w:t>
      </w:r>
      <w:r w:rsidRPr="004A5029">
        <w:rPr>
          <w:rFonts w:ascii="Times New Roman" w:hAnsi="Times New Roman" w:cs="Times New Roman"/>
          <w:b/>
          <w:color w:val="000000" w:themeColor="text1"/>
        </w:rPr>
        <w:t xml:space="preserve">. </w:t>
      </w:r>
      <w:r w:rsidRPr="004A5029">
        <w:rPr>
          <w:rFonts w:ascii="Times New Roman" w:hAnsi="Times New Roman" w:cs="Times New Roman"/>
          <w:b/>
          <w:strike/>
          <w:color w:val="000000" w:themeColor="text1"/>
        </w:rPr>
        <w:t>Essa</w:t>
      </w:r>
      <w:r w:rsidRPr="004A5029">
        <w:rPr>
          <w:rFonts w:ascii="Times New Roman" w:hAnsi="Times New Roman" w:cs="Times New Roman"/>
          <w:b/>
          <w:color w:val="000000" w:themeColor="text1"/>
        </w:rPr>
        <w:t xml:space="preserve"> </w:t>
      </w:r>
      <w:r w:rsidR="00B25D7E" w:rsidRPr="004A5029">
        <w:rPr>
          <w:rFonts w:ascii="Times New Roman" w:hAnsi="Times New Roman" w:cs="Times New Roman"/>
          <w:b/>
          <w:color w:val="000000" w:themeColor="text1"/>
        </w:rPr>
        <w:t>La stazione appaltante</w:t>
      </w:r>
      <w:r w:rsidR="00B25D7E"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consente all’operatore economico di sostituire i soggetti che non soddisfano un pertinente criterio di selezione o per i quali sussistono motivi di esclusione. </w:t>
      </w:r>
    </w:p>
    <w:p w14:paraId="2FA72BB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L’operatore economico e l'impresa ausiliaria sono responsabili in solido nei confronti della stazione appaltante in relazione alle prestazioni oggetto del contratto. Gli obblighi previsti dalla normativa antimafia a carico dell’operatore economico si applicano anche nei confronti del soggetto ausiliario, in ragione dell'importo dell'appalto posto a base di gara. </w:t>
      </w:r>
    </w:p>
    <w:p w14:paraId="4ABB7FC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8. Il contratto è in ogni caso eseguito dall'impresa che partecipa alla gara, alla quale è rilasciato il certificato di esecuzione, </w:t>
      </w:r>
      <w:r w:rsidRPr="004A5029">
        <w:rPr>
          <w:rFonts w:ascii="Times New Roman" w:hAnsi="Times New Roman" w:cs="Times New Roman"/>
          <w:color w:val="000000" w:themeColor="text1"/>
        </w:rPr>
        <w:t>salvo quanto previsto dal comma 3.</w:t>
      </w:r>
    </w:p>
    <w:p w14:paraId="180DD9F9" w14:textId="1F7FB0D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In relazione a ciascun affidamento la stazione appaltante in corso d'esecuzione effettua le verifiche sostanziali circa l'effettivo possesso dei requisiti e delle risorse oggetto dell'avvalimento da parte dell'impresa ausiliaria, nonché l'effettivo impiego delle risorse medesime nell'esecuzione dell'appalto. A tal fine il RUP accerta in corso d'opera che le prestazioni oggetto di contratto siano svolte direttamente dalle risorse umane e strumentali dell'impresa ausiliaria che il titolare del contratto utilizza in adempimento degli obblighi derivanti dal contratto di avvalimento. Ha</w:t>
      </w:r>
      <w:r w:rsidR="00B64209"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inoltre</w:t>
      </w:r>
      <w:r w:rsidR="00B64209"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l'obbligo di inviare ad entrambe le parti del contratto di avvalimento le comunicazioni ai sensi dell’articolo 29 e quelle inerenti all'esecuzione dei lavori. La stazione appaltante trasmette all'Autorità tutte le dichiarazioni di avvalimento, indicando altresì l'aggiudicatario, per l'esercizio della vigilanza, e per la prescritta pubblicità.</w:t>
      </w:r>
    </w:p>
    <w:p w14:paraId="493AF08E"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10. L'avvalimento non è ammesso per soddisfare il requisito dell'iscrizione all'Albo nazionale dei gestori ambientali di cui all'articolo 212 del decreto legislativo 3 aprile 2006, n. 152.</w:t>
      </w:r>
    </w:p>
    <w:p w14:paraId="7C15B4CC" w14:textId="77777777" w:rsidR="00446F27" w:rsidRPr="004A5029" w:rsidRDefault="00446F27" w:rsidP="00446F27">
      <w:pPr>
        <w:shd w:val="clear" w:color="auto" w:fill="FFFFFF"/>
        <w:jc w:val="both"/>
        <w:rPr>
          <w:rFonts w:ascii="Times New Roman" w:hAnsi="Times New Roman" w:cs="Times New Roman"/>
          <w:bCs/>
          <w:color w:val="000000" w:themeColor="text1"/>
        </w:rPr>
      </w:pPr>
      <w:r w:rsidRPr="004A5029">
        <w:rPr>
          <w:rFonts w:ascii="Times New Roman" w:eastAsia="Times New Roman" w:hAnsi="Times New Roman" w:cs="Times New Roman"/>
          <w:color w:val="000000" w:themeColor="text1"/>
          <w:lang w:eastAsia="it-IT"/>
        </w:rPr>
        <w:t>11. Nel caso di appalti di lavori, di appalti di servizi e operazioni di posa in opera o installazione nel quadro di un appalto di fornitura, le stazioni appaltanti possono prevedere nei documenti di gara che taluni compiti essenziali, ivi comprese  le opere per le quali sono necessari lavori o componenti di notevole contenuto tecnologico o di rilevante complessità tecnica, quali strutture, impianti e opere speciali, siano direttamente svolti dall'offerente o, nel caso di un'offerta presentata da un raggruppamento di operatori economici, da un partecipante al raggruppamento.</w:t>
      </w:r>
    </w:p>
    <w:p w14:paraId="317FBBA8" w14:textId="77777777" w:rsidR="00446F27" w:rsidRPr="004A5029" w:rsidRDefault="00446F27" w:rsidP="00446F27">
      <w:pPr>
        <w:jc w:val="both"/>
        <w:rPr>
          <w:rFonts w:ascii="Times New Roman" w:hAnsi="Times New Roman" w:cs="Times New Roman"/>
          <w:bCs/>
          <w:color w:val="000000" w:themeColor="text1"/>
          <w:highlight w:val="yellow"/>
        </w:rPr>
      </w:pPr>
      <w:r w:rsidRPr="004A5029">
        <w:rPr>
          <w:rFonts w:ascii="Times New Roman" w:hAnsi="Times New Roman" w:cs="Times New Roman"/>
          <w:bCs/>
          <w:color w:val="000000" w:themeColor="text1"/>
        </w:rPr>
        <w:t>12. Nei soli casi in cui l’avvalimento sia finalizzato a migliorare l’offerta, non è consentito che partecipino alla medesima gara l’impresa ausiliaria e quella che si avvale delle risorse da essa messe a disposizione.</w:t>
      </w:r>
    </w:p>
    <w:p w14:paraId="66060428" w14:textId="77777777" w:rsidR="00446F27" w:rsidRPr="004A5029" w:rsidRDefault="00446F27" w:rsidP="00446F27">
      <w:pPr>
        <w:jc w:val="both"/>
        <w:rPr>
          <w:rFonts w:ascii="Times New Roman" w:hAnsi="Times New Roman" w:cs="Times New Roman"/>
          <w:color w:val="000000" w:themeColor="text1"/>
        </w:rPr>
      </w:pPr>
    </w:p>
    <w:p w14:paraId="7F46C5DC"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105.</w:t>
      </w:r>
    </w:p>
    <w:p w14:paraId="2355B52D"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Rapporti di prova, certificazioni delle qualità, mezzi di prova, registro on line dei certificati e costi del ciclo vita.</w:t>
      </w:r>
    </w:p>
    <w:p w14:paraId="785830B8" w14:textId="2BACD67F"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1.</w:t>
      </w:r>
      <w:r w:rsidRPr="004A5029">
        <w:rPr>
          <w:rFonts w:ascii="Times New Roman" w:hAnsi="Times New Roman" w:cs="Times New Roman"/>
          <w:bCs/>
          <w:color w:val="000000" w:themeColor="text1"/>
        </w:rPr>
        <w:t xml:space="preserve"> I rapporti di prova, le certificazioni e altri mezzi di prova, nonché il costo del ciclo di vita </w:t>
      </w:r>
      <w:r w:rsidRPr="004A5029">
        <w:rPr>
          <w:rFonts w:ascii="Times New Roman" w:hAnsi="Times New Roman" w:cs="Times New Roman"/>
          <w:color w:val="000000" w:themeColor="text1"/>
        </w:rPr>
        <w:t>sono disciplinati all’allegato</w:t>
      </w:r>
      <w:r w:rsidRPr="004A5029">
        <w:rPr>
          <w:rFonts w:ascii="Times New Roman" w:hAnsi="Times New Roman" w:cs="Times New Roman"/>
          <w:bCs/>
          <w:color w:val="000000" w:themeColor="text1"/>
        </w:rPr>
        <w:t xml:space="preserve"> II.8.</w:t>
      </w:r>
      <w:r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In sede di prima applicazione del codice, l’allegato </w:t>
      </w:r>
      <w:r w:rsidR="002C470F" w:rsidRPr="004A5029">
        <w:rPr>
          <w:rFonts w:ascii="Times New Roman" w:eastAsia="Calibri" w:hAnsi="Times New Roman" w:cs="Times New Roman"/>
          <w:b/>
          <w:color w:val="000000" w:themeColor="text1"/>
        </w:rPr>
        <w:t xml:space="preserve">II.8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del Presidente del Consiglio dei </w:t>
      </w:r>
      <w:r w:rsidR="00364325" w:rsidRPr="004A5029">
        <w:rPr>
          <w:rFonts w:ascii="Times New Roman" w:eastAsia="Calibri" w:hAnsi="Times New Roman" w:cs="Times New Roman"/>
          <w:bCs/>
          <w:color w:val="000000" w:themeColor="text1"/>
        </w:rPr>
        <w:t>m</w:t>
      </w:r>
      <w:r w:rsidRPr="004A5029">
        <w:rPr>
          <w:rFonts w:ascii="Times New Roman" w:eastAsia="Calibri" w:hAnsi="Times New Roman" w:cs="Times New Roman"/>
          <w:bCs/>
          <w:color w:val="000000" w:themeColor="text1"/>
        </w:rPr>
        <w:t>inistri, su proposta del Ministro delle infrastrutture e dei trasporti, che lo sostituisce integralmente anche in qualità di allegato al codice</w:t>
      </w:r>
      <w:r w:rsidRPr="004A5029">
        <w:rPr>
          <w:rFonts w:ascii="Times New Roman" w:hAnsi="Times New Roman" w:cs="Times New Roman"/>
          <w:color w:val="000000" w:themeColor="text1"/>
        </w:rPr>
        <w:t>.</w:t>
      </w:r>
    </w:p>
    <w:p w14:paraId="1D0656FE" w14:textId="77777777" w:rsidR="00446F27" w:rsidRPr="004A5029" w:rsidRDefault="00446F27" w:rsidP="00446F27">
      <w:pPr>
        <w:spacing w:before="120"/>
        <w:jc w:val="both"/>
        <w:rPr>
          <w:rFonts w:ascii="Times New Roman" w:hAnsi="Times New Roman" w:cs="Times New Roman"/>
          <w:b/>
          <w:bCs/>
          <w:i/>
          <w:iCs/>
          <w:color w:val="000000" w:themeColor="text1"/>
        </w:rPr>
      </w:pPr>
    </w:p>
    <w:p w14:paraId="228E4655" w14:textId="77777777" w:rsidR="00A02F3C" w:rsidRPr="004A5029" w:rsidRDefault="00A02F3C" w:rsidP="00446F27">
      <w:pPr>
        <w:shd w:val="clear" w:color="auto" w:fill="FFFFFF"/>
        <w:jc w:val="both"/>
        <w:rPr>
          <w:rFonts w:ascii="Times New Roman" w:eastAsia="Times New Roman" w:hAnsi="Times New Roman" w:cs="Times New Roman"/>
          <w:b/>
          <w:bCs/>
          <w:color w:val="000000" w:themeColor="text1"/>
          <w:lang w:eastAsia="it-IT"/>
        </w:rPr>
      </w:pPr>
    </w:p>
    <w:p w14:paraId="0B980EE3" w14:textId="77777777" w:rsidR="00D076E1" w:rsidRDefault="00D076E1" w:rsidP="00446F27">
      <w:pPr>
        <w:shd w:val="clear" w:color="auto" w:fill="FFFFFF"/>
        <w:jc w:val="both"/>
        <w:rPr>
          <w:rFonts w:ascii="Times New Roman" w:eastAsia="Times New Roman" w:hAnsi="Times New Roman" w:cs="Times New Roman"/>
          <w:b/>
          <w:bCs/>
          <w:color w:val="000000" w:themeColor="text1"/>
          <w:lang w:eastAsia="it-IT"/>
        </w:rPr>
      </w:pPr>
    </w:p>
    <w:p w14:paraId="36CD8217" w14:textId="77777777" w:rsidR="00D076E1" w:rsidRDefault="00D076E1" w:rsidP="00446F27">
      <w:pPr>
        <w:shd w:val="clear" w:color="auto" w:fill="FFFFFF"/>
        <w:jc w:val="both"/>
        <w:rPr>
          <w:rFonts w:ascii="Times New Roman" w:eastAsia="Times New Roman" w:hAnsi="Times New Roman" w:cs="Times New Roman"/>
          <w:b/>
          <w:bCs/>
          <w:color w:val="000000" w:themeColor="text1"/>
          <w:lang w:eastAsia="it-IT"/>
        </w:rPr>
      </w:pPr>
    </w:p>
    <w:p w14:paraId="05960202" w14:textId="637FBEF4" w:rsidR="00446F27" w:rsidRPr="004A5029" w:rsidRDefault="00446F27" w:rsidP="00446F27">
      <w:pPr>
        <w:shd w:val="clear" w:color="auto" w:fill="FFFFFF"/>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106.</w:t>
      </w:r>
    </w:p>
    <w:p w14:paraId="1A4645C0" w14:textId="77777777" w:rsidR="00446F27" w:rsidRPr="004A5029" w:rsidRDefault="00446F27" w:rsidP="00446F27">
      <w:pPr>
        <w:shd w:val="clear" w:color="auto" w:fill="FFFFFF"/>
        <w:jc w:val="both"/>
        <w:rPr>
          <w:rFonts w:ascii="Times New Roman" w:hAnsi="Times New Roman" w:cs="Times New Roman"/>
          <w:bCs/>
          <w:i/>
          <w:color w:val="000000" w:themeColor="text1"/>
        </w:rPr>
      </w:pPr>
      <w:r w:rsidRPr="004A5029">
        <w:rPr>
          <w:rFonts w:ascii="Times New Roman" w:eastAsia="Times New Roman" w:hAnsi="Times New Roman" w:cs="Times New Roman"/>
          <w:bCs/>
          <w:i/>
          <w:color w:val="000000" w:themeColor="text1"/>
          <w:lang w:eastAsia="it-IT"/>
        </w:rPr>
        <w:t>Garanzie per la partecipazione alla procedura.</w:t>
      </w:r>
    </w:p>
    <w:p w14:paraId="79C0A494" w14:textId="77777777" w:rsidR="00446F27" w:rsidRPr="004A5029" w:rsidRDefault="00446F27" w:rsidP="00446F27">
      <w:pPr>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1.</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 xml:space="preserve">L’offerta è corredata da una garanzia provvisoria pari al 2 per cento </w:t>
      </w:r>
      <w:r w:rsidRPr="004A5029">
        <w:rPr>
          <w:rFonts w:ascii="Times New Roman" w:hAnsi="Times New Roman" w:cs="Times New Roman"/>
          <w:bCs/>
          <w:color w:val="000000" w:themeColor="text1"/>
        </w:rPr>
        <w:t>del valore complessivo della procedura</w:t>
      </w:r>
      <w:r w:rsidRPr="004A5029">
        <w:rPr>
          <w:rFonts w:ascii="Times New Roman" w:hAnsi="Times New Roman" w:cs="Times New Roman"/>
          <w:color w:val="000000" w:themeColor="text1"/>
        </w:rPr>
        <w:t xml:space="preserve">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aggregata da centrali di committenza, l’importo della garanzia è fissato nel bando o nell’invito nella misura massima del 2 per cento del valore complessivo della procedura. In caso di partecipazione alla gara di un raggruppamento temporaneo di imprese, </w:t>
      </w:r>
      <w:r w:rsidRPr="004A5029">
        <w:rPr>
          <w:rFonts w:ascii="Times New Roman" w:hAnsi="Times New Roman" w:cs="Times New Roman"/>
          <w:bCs/>
          <w:color w:val="000000" w:themeColor="text1"/>
        </w:rPr>
        <w:t>anche se non ancora costituito</w:t>
      </w:r>
      <w:r w:rsidRPr="004A5029">
        <w:rPr>
          <w:rFonts w:ascii="Times New Roman" w:hAnsi="Times New Roman" w:cs="Times New Roman"/>
          <w:color w:val="000000" w:themeColor="text1"/>
        </w:rPr>
        <w:t xml:space="preserve">, la garanzia deve </w:t>
      </w:r>
      <w:r w:rsidRPr="004A5029">
        <w:rPr>
          <w:rFonts w:ascii="Times New Roman" w:hAnsi="Times New Roman" w:cs="Times New Roman"/>
          <w:bCs/>
          <w:color w:val="000000" w:themeColor="text1"/>
        </w:rPr>
        <w:t xml:space="preserve">coprire le obbligazioni di ciascuna impresa </w:t>
      </w:r>
      <w:r w:rsidRPr="004A5029">
        <w:rPr>
          <w:rFonts w:ascii="Times New Roman" w:hAnsi="Times New Roman" w:cs="Times New Roman"/>
          <w:color w:val="000000" w:themeColor="text1"/>
        </w:rPr>
        <w:t>del raggruppamento medesimo.</w:t>
      </w:r>
      <w:r w:rsidRPr="004A5029">
        <w:rPr>
          <w:rFonts w:ascii="Times New Roman" w:hAnsi="Times New Roman" w:cs="Times New Roman"/>
          <w:bCs/>
          <w:color w:val="000000" w:themeColor="text1"/>
        </w:rPr>
        <w:t xml:space="preserve"> La garanzia provvisoria può essere costituita sotto forma di cauzione oppure di fideiussione.</w:t>
      </w:r>
    </w:p>
    <w:p w14:paraId="672C421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2. La cauzione è costituita presso l’istituto incaricato del servizio di tesoreria o presso le aziende autorizzate, a titolo di pegno a favore della stazione appaltante, esclusivamente con bonifico o con altri strumenti e canali di pagamento elettronici previsti dall’ordinamento vigente.</w:t>
      </w:r>
      <w:r w:rsidRPr="004A5029">
        <w:rPr>
          <w:rFonts w:ascii="Times New Roman" w:hAnsi="Times New Roman" w:cs="Times New Roman"/>
          <w:color w:val="000000" w:themeColor="text1"/>
        </w:rPr>
        <w:t xml:space="preserve"> Si applica, quanto allo svincolo, il comma 10.</w:t>
      </w:r>
    </w:p>
    <w:p w14:paraId="4BCEADEA" w14:textId="3E2F94D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La garanzia fideiussoria di cui al comma 1 a scelta dell’appaltatore può essere rilasciata da imprese bancarie o assicurative che rispondano ai requisiti di solvibilità previsti dalle leggi che ne disciplinano le rispettive attività, oppure dagli intermediari finanziari iscritti nell’albo di cui all'articolo 106 </w:t>
      </w:r>
      <w:bookmarkStart w:id="40" w:name="_Hlk127797967"/>
      <w:r w:rsidRPr="004A5029">
        <w:rPr>
          <w:rFonts w:ascii="Times New Roman" w:hAnsi="Times New Roman" w:cs="Times New Roman"/>
          <w:color w:val="000000" w:themeColor="text1"/>
        </w:rPr>
        <w:t xml:space="preserve">del </w:t>
      </w:r>
      <w:r w:rsidR="00DC06D9" w:rsidRPr="004A5029">
        <w:rPr>
          <w:rFonts w:ascii="Times New Roman" w:hAnsi="Times New Roman" w:cs="Times New Roman"/>
          <w:b/>
          <w:bCs/>
          <w:color w:val="000000" w:themeColor="text1"/>
        </w:rPr>
        <w:t>testo unico delle leggi in materia bancaria e creditizia</w:t>
      </w:r>
      <w:r w:rsidR="001006C5" w:rsidRPr="004A5029">
        <w:rPr>
          <w:rFonts w:ascii="Times New Roman" w:hAnsi="Times New Roman" w:cs="Times New Roman"/>
          <w:b/>
          <w:bCs/>
          <w:color w:val="000000" w:themeColor="text1"/>
        </w:rPr>
        <w:t>,</w:t>
      </w:r>
      <w:r w:rsidR="00DC06D9" w:rsidRPr="004A5029">
        <w:rPr>
          <w:rFonts w:ascii="Times New Roman" w:hAnsi="Times New Roman" w:cs="Times New Roman"/>
          <w:b/>
          <w:bCs/>
          <w:color w:val="000000" w:themeColor="text1"/>
        </w:rPr>
        <w:t xml:space="preserve"> di cui al</w:t>
      </w:r>
      <w:bookmarkEnd w:id="40"/>
      <w:r w:rsidR="00DC06D9" w:rsidRPr="004A5029">
        <w:rPr>
          <w:rFonts w:ascii="Verdana" w:hAnsi="Verdana"/>
          <w:b/>
          <w:bCs/>
          <w:color w:val="000000" w:themeColor="text1"/>
          <w:sz w:val="18"/>
          <w:szCs w:val="18"/>
          <w:shd w:val="clear" w:color="auto" w:fill="FFFFFF"/>
        </w:rPr>
        <w:t xml:space="preserve"> </w:t>
      </w:r>
      <w:r w:rsidRPr="004A5029">
        <w:rPr>
          <w:rFonts w:ascii="Times New Roman" w:hAnsi="Times New Roman" w:cs="Times New Roman"/>
          <w:color w:val="000000" w:themeColor="text1"/>
        </w:rPr>
        <w:t>decreto legislativo 1</w:t>
      </w:r>
      <w:r w:rsidR="00DC06D9"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settembre 1993, n. 385, che svolgono in via esclusiva o prevalente attività di rilascio di garanzie e che sono sottoposti a revisione contabile da parte di una società di revisione iscritta nell’apposito albo e che abbiano i requisiti minimi di solvibilità richiesti dalla vigente normativa bancaria assicurativa. </w:t>
      </w:r>
      <w:r w:rsidRPr="004A5029">
        <w:rPr>
          <w:rFonts w:ascii="Times New Roman" w:hAnsi="Times New Roman" w:cs="Times New Roman"/>
          <w:bCs/>
          <w:color w:val="000000" w:themeColor="text1"/>
        </w:rPr>
        <w:t>La garanzia fideiussoria deve essere emessa e firmata digitalmente; essa deve essere altresì verificabile telematicamente presso l’emittente ovvero gestita mediante ricorso a piattaforme operanti con tecnologie basate su registri distribuiti ai sensi dell’articolo 8-</w:t>
      </w:r>
      <w:r w:rsidRPr="004A5029">
        <w:rPr>
          <w:rFonts w:ascii="Times New Roman" w:hAnsi="Times New Roman" w:cs="Times New Roman"/>
          <w:bCs/>
          <w:i/>
          <w:iCs/>
          <w:color w:val="000000" w:themeColor="text1"/>
        </w:rPr>
        <w:t>ter</w:t>
      </w:r>
      <w:r w:rsidRPr="004A5029">
        <w:rPr>
          <w:rFonts w:ascii="Times New Roman" w:hAnsi="Times New Roman" w:cs="Times New Roman"/>
          <w:bCs/>
          <w:color w:val="000000" w:themeColor="text1"/>
        </w:rPr>
        <w:t>, comma 1, del decreto-legge 14 dicembre 2018, n. 135,</w:t>
      </w:r>
      <w:r w:rsidRPr="004A5029">
        <w:rPr>
          <w:rFonts w:ascii="Times New Roman" w:eastAsia="Times New Roman" w:hAnsi="Times New Roman" w:cs="Times New Roman"/>
          <w:color w:val="000000" w:themeColor="text1"/>
        </w:rPr>
        <w:t xml:space="preserve"> convertito, con modificazioni, dalla legge 11 febbraio 2019, n. 12,</w:t>
      </w:r>
      <w:r w:rsidRPr="004A5029">
        <w:rPr>
          <w:rFonts w:ascii="Times New Roman" w:eastAsia="Times New Roman" w:hAnsi="Times New Roman" w:cs="Times New Roman"/>
          <w:bCs/>
          <w:color w:val="000000" w:themeColor="text1"/>
        </w:rPr>
        <w:t xml:space="preserve"> </w:t>
      </w:r>
      <w:r w:rsidRPr="004A5029">
        <w:rPr>
          <w:rFonts w:ascii="Times New Roman" w:hAnsi="Times New Roman" w:cs="Times New Roman"/>
          <w:bCs/>
          <w:color w:val="000000" w:themeColor="text1"/>
        </w:rPr>
        <w:t>conformi alle caratteristiche stabilite dall’</w:t>
      </w:r>
      <w:r w:rsidRPr="004A5029">
        <w:rPr>
          <w:rFonts w:ascii="Times New Roman" w:hAnsi="Times New Roman" w:cs="Times New Roman"/>
          <w:b/>
          <w:strike/>
          <w:color w:val="000000" w:themeColor="text1"/>
        </w:rPr>
        <w:t>AgID</w:t>
      </w:r>
      <w:r w:rsidRPr="004A5029">
        <w:rPr>
          <w:rFonts w:ascii="Times New Roman" w:hAnsi="Times New Roman" w:cs="Times New Roman"/>
          <w:b/>
          <w:color w:val="000000" w:themeColor="text1"/>
        </w:rPr>
        <w:t xml:space="preserve"> </w:t>
      </w:r>
      <w:r w:rsidR="006A7679" w:rsidRPr="004A5029">
        <w:rPr>
          <w:rFonts w:ascii="Times New Roman" w:hAnsi="Times New Roman" w:cs="Times New Roman"/>
          <w:b/>
          <w:color w:val="000000" w:themeColor="text1"/>
        </w:rPr>
        <w:t xml:space="preserve">AGID </w:t>
      </w:r>
      <w:r w:rsidRPr="004A5029">
        <w:rPr>
          <w:rFonts w:ascii="Times New Roman" w:hAnsi="Times New Roman" w:cs="Times New Roman"/>
          <w:bCs/>
          <w:color w:val="000000" w:themeColor="text1"/>
        </w:rPr>
        <w:t>con il provvedimento di cui all’articolo 26, comma 1.</w:t>
      </w:r>
    </w:p>
    <w:p w14:paraId="2A097088" w14:textId="175CBE62"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4. La garanzia deve prevedere espressamente la rinuncia al beneficio della preventiva escussione del debitore principale, la rinuncia all’eccezione di cui all'articolo 1957, secondo comma, del codice civile, nonché l’operatività della garanzia medesima entro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 a semplice richiesta scritta della stazione appaltante.</w:t>
      </w:r>
    </w:p>
    <w:p w14:paraId="384C1FE3" w14:textId="09F519AF"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 xml:space="preserve">5. La garanzia deve avere efficacia per almeno </w:t>
      </w:r>
      <w:r w:rsidRPr="004A5029">
        <w:rPr>
          <w:rFonts w:ascii="Times New Roman" w:hAnsi="Times New Roman" w:cs="Times New Roman"/>
          <w:b/>
          <w:bCs/>
          <w:strike/>
          <w:color w:val="000000" w:themeColor="text1"/>
        </w:rPr>
        <w:t>180</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centottanta </w:t>
      </w:r>
      <w:r w:rsidRPr="004A5029">
        <w:rPr>
          <w:rFonts w:ascii="Times New Roman" w:hAnsi="Times New Roman" w:cs="Times New Roman"/>
          <w:color w:val="000000" w:themeColor="text1"/>
        </w:rPr>
        <w:t>giorni dalla data di presentazione dell’offerta. Il bando o l’invito possono richiedere una garanzia con termine di validità maggiore o minore, in relazione alla durata presumibile del procedimento, e possono altresì prescrivere che l’offerta sia corredata d</w:t>
      </w:r>
      <w:r w:rsidR="00F90495" w:rsidRPr="004A5029">
        <w:rPr>
          <w:rFonts w:ascii="Times New Roman" w:hAnsi="Times New Roman" w:cs="Times New Roman"/>
          <w:color w:val="000000" w:themeColor="text1"/>
        </w:rPr>
        <w:t>e</w:t>
      </w:r>
      <w:r w:rsidRPr="004A5029">
        <w:rPr>
          <w:rFonts w:ascii="Times New Roman" w:hAnsi="Times New Roman" w:cs="Times New Roman"/>
          <w:color w:val="000000" w:themeColor="text1"/>
        </w:rPr>
        <w:t>ll’impegno del garante a rinnovare la garanzia, su richiesta della stazione appaltante nel corso della procedura, per la durata indicata nel bando, nel caso in cui al momento della sua scadenza non sia ancora intervenuta l'aggiudicazione.</w:t>
      </w:r>
    </w:p>
    <w:p w14:paraId="210F8FFD" w14:textId="6FA44188"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6. La garanzia copre la mancata aggiudicazione dopo la proposta di aggiudicazione e la mancata sottoscrizione del contratto imputabili a ogni fatto riconducibile all’affidatario o conseguenti all’adozione di informazione antimafia interdittiva emessa ai sensi degli articoli 84 e 91 del </w:t>
      </w:r>
      <w:r w:rsidR="004F0C0B" w:rsidRPr="004A5029">
        <w:rPr>
          <w:rFonts w:ascii="Times New Roman" w:hAnsi="Times New Roman" w:cs="Times New Roman"/>
          <w:b/>
          <w:bCs/>
          <w:color w:val="000000" w:themeColor="text1"/>
          <w:shd w:val="clear" w:color="auto" w:fill="FFFFFF"/>
        </w:rPr>
        <w:t>codice delle leggi antimafia e delle misure di prevenzione</w:t>
      </w:r>
      <w:r w:rsidR="0030786B" w:rsidRPr="004A5029">
        <w:rPr>
          <w:rFonts w:ascii="Times New Roman" w:eastAsia="Calibri" w:hAnsi="Times New Roman" w:cs="Times New Roman"/>
          <w:b/>
          <w:bCs/>
          <w:color w:val="000000" w:themeColor="text1"/>
        </w:rPr>
        <w:t>,</w:t>
      </w:r>
      <w:r w:rsidR="004F0C0B" w:rsidRPr="004A5029">
        <w:rPr>
          <w:rFonts w:ascii="Times New Roman" w:eastAsia="Calibri" w:hAnsi="Times New Roman" w:cs="Times New Roman"/>
          <w:b/>
          <w:bCs/>
          <w:color w:val="000000" w:themeColor="text1"/>
          <w:lang w:eastAsia="zh-CN"/>
        </w:rPr>
        <w:t xml:space="preserve"> di cui al </w:t>
      </w:r>
      <w:r w:rsidRPr="004A5029">
        <w:rPr>
          <w:rFonts w:ascii="Times New Roman" w:hAnsi="Times New Roman" w:cs="Times New Roman"/>
          <w:color w:val="000000" w:themeColor="text1"/>
        </w:rPr>
        <w:t xml:space="preserve">decreto legislativo 6 settembre 2011, n. 159. </w:t>
      </w:r>
    </w:p>
    <w:p w14:paraId="0FCC0C6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La garanzia è svincolata automaticamente al momento della sottoscrizione del contratto.</w:t>
      </w:r>
    </w:p>
    <w:p w14:paraId="7A1A1390" w14:textId="5DB3822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L’importo della garanzia e del suo eventuale rinnovo è ridotto del </w:t>
      </w:r>
      <w:r w:rsidRPr="004A5029">
        <w:rPr>
          <w:rFonts w:ascii="Times New Roman" w:hAnsi="Times New Roman" w:cs="Times New Roman"/>
          <w:b/>
          <w:bCs/>
          <w:strike/>
          <w:color w:val="000000" w:themeColor="text1"/>
        </w:rPr>
        <w:t>50</w:t>
      </w:r>
      <w:r w:rsidRPr="004A5029">
        <w:rPr>
          <w:rFonts w:ascii="Times New Roman" w:hAnsi="Times New Roman" w:cs="Times New Roman"/>
          <w:color w:val="000000" w:themeColor="text1"/>
        </w:rPr>
        <w:t xml:space="preserve"> </w:t>
      </w:r>
      <w:r w:rsidR="00332CE1" w:rsidRPr="004A5029">
        <w:rPr>
          <w:rFonts w:ascii="Times New Roman" w:hAnsi="Times New Roman" w:cs="Times New Roman"/>
          <w:b/>
          <w:bCs/>
          <w:color w:val="000000" w:themeColor="text1"/>
        </w:rPr>
        <w:t>30</w:t>
      </w:r>
      <w:r w:rsidR="00332CE1"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per cento </w:t>
      </w:r>
      <w:r w:rsidR="00332CE1" w:rsidRPr="004A5029">
        <w:rPr>
          <w:rFonts w:ascii="Times New Roman" w:eastAsia="Calibri" w:hAnsi="Times New Roman" w:cs="Times New Roman"/>
          <w:b/>
          <w:color w:val="000000" w:themeColor="text1"/>
        </w:rPr>
        <w:t xml:space="preserve">per gli operatori economici ai quali </w:t>
      </w:r>
      <w:r w:rsidR="00332CE1" w:rsidRPr="004A5029">
        <w:rPr>
          <w:rFonts w:ascii="Times New Roman" w:eastAsia="Calibri" w:hAnsi="Times New Roman" w:cs="Times New Roman"/>
          <w:b/>
          <w:strike/>
          <w:color w:val="000000" w:themeColor="text1"/>
        </w:rPr>
        <w:t>venga</w:t>
      </w:r>
      <w:r w:rsidR="00332CE1" w:rsidRPr="004A5029">
        <w:rPr>
          <w:rFonts w:ascii="Times New Roman" w:eastAsia="Calibri" w:hAnsi="Times New Roman" w:cs="Times New Roman"/>
          <w:b/>
          <w:color w:val="000000" w:themeColor="text1"/>
        </w:rPr>
        <w:t xml:space="preserve"> </w:t>
      </w:r>
      <w:r w:rsidR="00F40388" w:rsidRPr="004A5029">
        <w:rPr>
          <w:rFonts w:ascii="Times New Roman" w:eastAsia="Calibri" w:hAnsi="Times New Roman" w:cs="Times New Roman"/>
          <w:b/>
          <w:color w:val="000000" w:themeColor="text1"/>
        </w:rPr>
        <w:t xml:space="preserve">sia </w:t>
      </w:r>
      <w:r w:rsidR="00332CE1" w:rsidRPr="004A5029">
        <w:rPr>
          <w:rFonts w:ascii="Times New Roman" w:eastAsia="Calibri" w:hAnsi="Times New Roman" w:cs="Times New Roman"/>
          <w:b/>
          <w:color w:val="000000" w:themeColor="text1"/>
        </w:rPr>
        <w:t>rilasciata, da organismi accreditati, ai sensi delle norme europee della serie UNI CEI EN 45000 e della serie UNI CEI EN ISO/IEC 17000, la certificazione del sistema di qualità conforme alle norme europee della serie UNI CEI ISO 9000. Si applica la riduzione del 50 per cento, non cumulabile con quella di cui al primo periodo,</w:t>
      </w:r>
      <w:r w:rsidR="00332CE1" w:rsidRPr="004A5029">
        <w:rPr>
          <w:rFonts w:eastAsia="Calibri" w:cstheme="minorHAnsi"/>
          <w:b/>
          <w:color w:val="000000" w:themeColor="text1"/>
          <w:sz w:val="20"/>
          <w:szCs w:val="20"/>
        </w:rPr>
        <w:t xml:space="preserve"> </w:t>
      </w:r>
      <w:r w:rsidRPr="004A5029">
        <w:rPr>
          <w:rFonts w:ascii="Times New Roman" w:hAnsi="Times New Roman" w:cs="Times New Roman"/>
          <w:color w:val="000000" w:themeColor="text1"/>
        </w:rPr>
        <w:t>nei confronti delle micro, delle piccole e delle medie imprese e dei raggruppamenti di operatori economici o consorzi ordinari costituiti esclusivamente da micro, piccole e medie imprese. L’importo della garanzia e del suo eventuale rinnovo è ridotto del 10 per cento, cumulabile con la riduzione di cui al p</w:t>
      </w:r>
      <w:r w:rsidR="00F90495" w:rsidRPr="004A5029">
        <w:rPr>
          <w:rFonts w:ascii="Times New Roman" w:hAnsi="Times New Roman" w:cs="Times New Roman"/>
          <w:color w:val="000000" w:themeColor="text1"/>
        </w:rPr>
        <w:t>rimo</w:t>
      </w:r>
      <w:r w:rsidR="00332CE1" w:rsidRPr="004A5029">
        <w:rPr>
          <w:rFonts w:ascii="Times New Roman" w:hAnsi="Times New Roman" w:cs="Times New Roman"/>
          <w:color w:val="000000" w:themeColor="text1"/>
        </w:rPr>
        <w:t xml:space="preserve"> </w:t>
      </w:r>
      <w:r w:rsidR="00332CE1" w:rsidRPr="004A5029">
        <w:rPr>
          <w:rFonts w:ascii="Times New Roman" w:hAnsi="Times New Roman" w:cs="Times New Roman"/>
          <w:b/>
          <w:bCs/>
          <w:color w:val="000000" w:themeColor="text1"/>
        </w:rPr>
        <w:t>e secondo</w:t>
      </w:r>
      <w:r w:rsidRPr="004A5029">
        <w:rPr>
          <w:rFonts w:ascii="Times New Roman" w:hAnsi="Times New Roman" w:cs="Times New Roman"/>
          <w:color w:val="000000" w:themeColor="text1"/>
        </w:rPr>
        <w:t xml:space="preserve"> periodo, quando l’operatore economico presenti una fideiussione, emessa e firmata digitalmente, che sia gestita mediante ricorso a piattaforme operanti con tecnologie basate su registri distribuiti ai sensi del comma 3. L’importo della garanzia e del suo eventuale rinnovo è ridotto fino ad un importo massimo del 20 per cento, cumulabile con le riduzioni di cui a</w:t>
      </w:r>
      <w:r w:rsidR="00F90495" w:rsidRPr="004A5029">
        <w:rPr>
          <w:rFonts w:ascii="Times New Roman" w:hAnsi="Times New Roman" w:cs="Times New Roman"/>
          <w:color w:val="000000" w:themeColor="text1"/>
        </w:rPr>
        <w:t>l primo e secondo</w:t>
      </w:r>
      <w:r w:rsidRPr="004A5029">
        <w:rPr>
          <w:rFonts w:ascii="Times New Roman" w:hAnsi="Times New Roman" w:cs="Times New Roman"/>
          <w:color w:val="000000" w:themeColor="text1"/>
        </w:rPr>
        <w:t xml:space="preserve"> period</w:t>
      </w:r>
      <w:r w:rsidR="00F90495" w:rsidRPr="004A5029">
        <w:rPr>
          <w:rFonts w:ascii="Times New Roman" w:hAnsi="Times New Roman" w:cs="Times New Roman"/>
          <w:color w:val="000000" w:themeColor="text1"/>
        </w:rPr>
        <w:t>o</w:t>
      </w:r>
      <w:r w:rsidRPr="004A5029">
        <w:rPr>
          <w:rFonts w:ascii="Times New Roman" w:hAnsi="Times New Roman" w:cs="Times New Roman"/>
          <w:color w:val="000000" w:themeColor="text1"/>
        </w:rPr>
        <w:t xml:space="preserve">, quando l’operatore economico possegga uno o più delle certificazioni o marchi individuati, tra quelli previsti dall’allegato II.13, nei documenti di gara iniziali che fissano anche l’importo della riduzione, entro il limite massimo predetto. In caso di cumulo delle riduzioni, la riduzione successiva è calcolata sull’importo che risulta dalla riduzione precedente. Per fruire delle riduzioni di cui al presente comma l’operatore economico segnala, in sede di offerta, il possesso dei relativi requisiti e lo documenta nei modi prescritti dalle norme vigenti. </w:t>
      </w:r>
      <w:r w:rsidRPr="004A5029">
        <w:rPr>
          <w:rFonts w:ascii="Times New Roman" w:eastAsia="Calibri" w:hAnsi="Times New Roman" w:cs="Times New Roman"/>
          <w:bCs/>
          <w:color w:val="000000" w:themeColor="text1"/>
        </w:rPr>
        <w:t xml:space="preserve">In sede di prima applicazione del codice, l’allegato II.13 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w:t>
      </w:r>
      <w:r w:rsidRPr="004A5029">
        <w:rPr>
          <w:rFonts w:ascii="Times New Roman" w:hAnsi="Times New Roman" w:cs="Times New Roman"/>
          <w:color w:val="000000" w:themeColor="text1"/>
        </w:rPr>
        <w:t>del Ministro delle infrastrutture e dei trasporti, di concerto con il Ministro dell’ambiente e della sicurezza energetica e il Ministro per gli affari europei</w:t>
      </w:r>
      <w:r w:rsidRPr="004A5029">
        <w:rPr>
          <w:rFonts w:ascii="Times New Roman" w:eastAsia="Calibri" w:hAnsi="Times New Roman" w:cs="Times New Roman"/>
          <w:bCs/>
          <w:color w:val="000000" w:themeColor="text1"/>
        </w:rPr>
        <w:t>, che lo sostituisce integralmente anche in qualità di allegato al codice</w:t>
      </w:r>
      <w:r w:rsidRPr="004A5029">
        <w:rPr>
          <w:rFonts w:ascii="Times New Roman" w:hAnsi="Times New Roman" w:cs="Times New Roman"/>
          <w:color w:val="000000" w:themeColor="text1"/>
        </w:rPr>
        <w:t>.</w:t>
      </w:r>
    </w:p>
    <w:p w14:paraId="0809FF91" w14:textId="66AFBB5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Le garanzie fideiussorie devono essere conformi allo schema tipo di cui all’articolo</w:t>
      </w:r>
      <w:r w:rsidR="00F90495"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117, comma 12</w:t>
      </w:r>
      <w:r w:rsidRPr="004A5029">
        <w:rPr>
          <w:rFonts w:ascii="Times New Roman" w:hAnsi="Times New Roman" w:cs="Times New Roman"/>
          <w:bCs/>
          <w:color w:val="000000" w:themeColor="text1"/>
        </w:rPr>
        <w:t>. Si applicano inoltre i periodi secondo e terzo dello stesso comma.</w:t>
      </w:r>
    </w:p>
    <w:p w14:paraId="227BB5D1" w14:textId="2D0CA9F6"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10. La stazione appaltante, nell’atto con cui comunica l'aggiudicazione ai non aggiudicatari, provvede nei loro confronti allo svincolo della garanzia di cui al comma 1. La garanzia perde comunque efficacia alla scadenza del termine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dall'aggiudicazione.</w:t>
      </w:r>
    </w:p>
    <w:p w14:paraId="3BAF7387" w14:textId="77777777" w:rsidR="00446F27" w:rsidRPr="004A5029" w:rsidRDefault="00446F27" w:rsidP="00446F27">
      <w:pPr>
        <w:jc w:val="both"/>
        <w:rPr>
          <w:rFonts w:ascii="Times New Roman" w:hAnsi="Times New Roman" w:cs="Times New Roman"/>
          <w:bCs/>
          <w:i/>
          <w:color w:val="000000" w:themeColor="text1"/>
        </w:rPr>
      </w:pPr>
      <w:r w:rsidRPr="004A5029">
        <w:rPr>
          <w:rFonts w:ascii="Times New Roman" w:hAnsi="Times New Roman" w:cs="Times New Roman"/>
          <w:color w:val="000000" w:themeColor="text1"/>
        </w:rPr>
        <w:t>11. Il presente articolo non si applica agli appalti di servizi aventi ad oggetto la redazione della progettazione e del piano di sicurezza e coordinamento e ai compiti di supporto alle attività del RUP.</w:t>
      </w:r>
    </w:p>
    <w:p w14:paraId="7B37605A" w14:textId="77777777" w:rsidR="00446F27" w:rsidRPr="004A5029" w:rsidRDefault="00446F27" w:rsidP="00446F27">
      <w:pPr>
        <w:jc w:val="both"/>
        <w:rPr>
          <w:rFonts w:ascii="Times New Roman" w:hAnsi="Times New Roman" w:cs="Times New Roman"/>
          <w:b/>
          <w:bCs/>
          <w:i/>
          <w:color w:val="000000" w:themeColor="text1"/>
        </w:rPr>
      </w:pPr>
    </w:p>
    <w:p w14:paraId="275EA226" w14:textId="77777777" w:rsidR="00B922F7" w:rsidRPr="004A5029" w:rsidRDefault="00B922F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w:t>
      </w:r>
      <w:r w:rsidR="00446F27" w:rsidRPr="004A5029">
        <w:rPr>
          <w:rFonts w:ascii="Times New Roman" w:hAnsi="Times New Roman" w:cs="Times New Roman"/>
          <w:b/>
          <w:color w:val="000000" w:themeColor="text1"/>
        </w:rPr>
        <w:t>V</w:t>
      </w:r>
    </w:p>
    <w:p w14:paraId="77C97410" w14:textId="59623380"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La selezione delle offerte</w:t>
      </w:r>
    </w:p>
    <w:p w14:paraId="394798F2" w14:textId="77777777" w:rsidR="00446F27" w:rsidRPr="004A5029" w:rsidRDefault="00446F27" w:rsidP="00446F27">
      <w:pPr>
        <w:jc w:val="center"/>
        <w:rPr>
          <w:rFonts w:ascii="Times New Roman" w:hAnsi="Times New Roman" w:cs="Times New Roman"/>
          <w:b/>
          <w:color w:val="000000" w:themeColor="text1"/>
        </w:rPr>
      </w:pPr>
    </w:p>
    <w:p w14:paraId="0427740A"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eastAsiaTheme="majorEastAsia" w:hAnsi="Times New Roman" w:cs="Times New Roman"/>
          <w:b/>
          <w:color w:val="000000" w:themeColor="text1"/>
        </w:rPr>
        <w:t>Articolo 107.</w:t>
      </w:r>
      <w:r w:rsidRPr="004A5029">
        <w:rPr>
          <w:rFonts w:ascii="Times New Roman" w:eastAsiaTheme="majorEastAsia" w:hAnsi="Times New Roman" w:cs="Times New Roman"/>
          <w:color w:val="000000" w:themeColor="text1"/>
        </w:rPr>
        <w:t xml:space="preserve"> </w:t>
      </w:r>
    </w:p>
    <w:p w14:paraId="66459E1D" w14:textId="77777777" w:rsidR="00446F27" w:rsidRPr="004A5029" w:rsidRDefault="00446F27" w:rsidP="00446F27">
      <w:pPr>
        <w:jc w:val="both"/>
        <w:rPr>
          <w:rFonts w:ascii="Times New Roman" w:eastAsiaTheme="majorEastAsia" w:hAnsi="Times New Roman" w:cs="Times New Roman"/>
          <w:bCs/>
          <w:i/>
          <w:color w:val="000000" w:themeColor="text1"/>
        </w:rPr>
      </w:pPr>
      <w:r w:rsidRPr="004A5029">
        <w:rPr>
          <w:rFonts w:ascii="Times New Roman" w:eastAsiaTheme="majorEastAsia" w:hAnsi="Times New Roman" w:cs="Times New Roman"/>
          <w:bCs/>
          <w:i/>
          <w:color w:val="000000" w:themeColor="text1"/>
        </w:rPr>
        <w:t>Principi generali in materia di selezione.</w:t>
      </w:r>
    </w:p>
    <w:p w14:paraId="5262F3A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Gli appalti sono aggiudicati sulla base di criteri stabiliti conformemente agli articoli da 108 a 110 previa verifica, in applicazione dell’articolo 91</w:t>
      </w:r>
      <w:r w:rsidRPr="004A5029">
        <w:rPr>
          <w:rFonts w:ascii="Times New Roman" w:hAnsi="Times New Roman" w:cs="Times New Roman"/>
          <w:bCs/>
          <w:color w:val="000000" w:themeColor="text1"/>
        </w:rPr>
        <w:t xml:space="preserve"> e dell’allegato II.8, quest’ultimo con riguardo ai mezzi di prova e al registro </w:t>
      </w:r>
      <w:r w:rsidRPr="004A5029">
        <w:rPr>
          <w:rFonts w:ascii="Times New Roman" w:hAnsi="Times New Roman" w:cs="Times New Roman"/>
          <w:bCs/>
          <w:i/>
          <w:iCs/>
          <w:color w:val="000000" w:themeColor="text1"/>
        </w:rPr>
        <w:t>online</w:t>
      </w:r>
      <w:r w:rsidRPr="004A5029">
        <w:rPr>
          <w:rFonts w:ascii="Times New Roman" w:hAnsi="Times New Roman" w:cs="Times New Roman"/>
          <w:color w:val="000000" w:themeColor="text1"/>
        </w:rPr>
        <w:t>, della sussistenza dei seguenti presupposti:</w:t>
      </w:r>
    </w:p>
    <w:p w14:paraId="26DA045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l'offerta è conforme alle previsioni contenute nel bando di gara o nell'invito a confermare l’interesse nonché nei documenti di gara;</w:t>
      </w:r>
    </w:p>
    <w:p w14:paraId="0444E42F" w14:textId="79A9707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l'offerta proviene da un offerente che non è escluso ai sensi del Capo II del Titolo IV</w:t>
      </w:r>
      <w:r w:rsidR="005E0FC0" w:rsidRPr="004A5029">
        <w:rPr>
          <w:rFonts w:ascii="Times New Roman" w:hAnsi="Times New Roman" w:cs="Times New Roman"/>
          <w:color w:val="000000" w:themeColor="text1"/>
        </w:rPr>
        <w:t xml:space="preserve"> </w:t>
      </w:r>
      <w:r w:rsidR="005E0FC0" w:rsidRPr="004A5029">
        <w:rPr>
          <w:rFonts w:ascii="Times New Roman" w:hAnsi="Times New Roman" w:cs="Times New Roman"/>
          <w:b/>
          <w:bCs/>
          <w:color w:val="000000" w:themeColor="text1"/>
        </w:rPr>
        <w:t>della presente Parte</w:t>
      </w:r>
      <w:r w:rsidRPr="004A5029">
        <w:rPr>
          <w:rFonts w:ascii="Times New Roman" w:hAnsi="Times New Roman" w:cs="Times New Roman"/>
          <w:color w:val="000000" w:themeColor="text1"/>
        </w:rPr>
        <w:t xml:space="preserve"> e che possiede i requisiti di cui all’articolo 100 e, se del caso, dell’articolo 103.</w:t>
      </w:r>
    </w:p>
    <w:p w14:paraId="4E69F4B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stazione appaltante può decidere di non aggiudicare l'appalto all'offerente che ha presentato l'offerta economicamente più vantaggiosa se ha accertato che l'offerta non soddisfa gli obblighi in materia ambientale, sociale e del lavoro stabiliti dalla normativa europea e nazionale, dai contratti collettivi o dalle disposizioni internazionali di diritto del lavoro indicate nell’allegato X alla direttiva 2014/24/UE del Parlamento europeo e del Consiglio del 26 febbraio 2014.</w:t>
      </w:r>
    </w:p>
    <w:p w14:paraId="3B94F17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Nelle procedure aperte, la stazione appaltante può disporre negli atti di gara che le offerte siano esaminate prima della verifica dell’idoneità degli offerenti. Tale facoltà può essere esercitata dopo la scadenza del termine per la presentazione delle offerte. Se si avvale di tale possibilità, la stazione appaltante garantisce che la verifica dell’assenza dei motivi di esclusione e del rispetto dei criteri di selezione sia effettuata in maniera imparziale e trasparente.</w:t>
      </w:r>
    </w:p>
    <w:p w14:paraId="3889A505" w14:textId="77777777" w:rsidR="00446F27" w:rsidRPr="004A5029" w:rsidRDefault="00446F27" w:rsidP="00446F27">
      <w:pPr>
        <w:spacing w:before="120"/>
        <w:jc w:val="both"/>
        <w:rPr>
          <w:rFonts w:ascii="Times New Roman" w:hAnsi="Times New Roman" w:cs="Times New Roman"/>
          <w:color w:val="000000" w:themeColor="text1"/>
        </w:rPr>
      </w:pPr>
    </w:p>
    <w:p w14:paraId="426F4872" w14:textId="77777777" w:rsidR="00446F27" w:rsidRPr="004A5029" w:rsidRDefault="00446F27" w:rsidP="00446F27">
      <w:pPr>
        <w:jc w:val="both"/>
        <w:rPr>
          <w:rFonts w:ascii="Times New Roman" w:eastAsiaTheme="majorEastAsia" w:hAnsi="Times New Roman" w:cs="Times New Roman"/>
          <w:b/>
          <w:color w:val="000000" w:themeColor="text1"/>
        </w:rPr>
      </w:pPr>
      <w:r w:rsidRPr="004A5029">
        <w:rPr>
          <w:rFonts w:ascii="Times New Roman" w:eastAsiaTheme="majorEastAsia" w:hAnsi="Times New Roman" w:cs="Times New Roman"/>
          <w:b/>
          <w:color w:val="000000" w:themeColor="text1"/>
        </w:rPr>
        <w:t>Articolo 108.</w:t>
      </w:r>
    </w:p>
    <w:p w14:paraId="6328F7F1" w14:textId="2AD757C2" w:rsidR="00446F27" w:rsidRPr="004A5029" w:rsidRDefault="00446F27" w:rsidP="00446F27">
      <w:pPr>
        <w:jc w:val="both"/>
        <w:rPr>
          <w:rFonts w:ascii="Times New Roman" w:eastAsiaTheme="majorEastAsia" w:hAnsi="Times New Roman" w:cs="Times New Roman"/>
          <w:bCs/>
          <w:i/>
          <w:color w:val="000000" w:themeColor="text1"/>
        </w:rPr>
      </w:pPr>
      <w:r w:rsidRPr="004A5029">
        <w:rPr>
          <w:rFonts w:ascii="Times New Roman" w:eastAsiaTheme="majorEastAsia" w:hAnsi="Times New Roman" w:cs="Times New Roman"/>
          <w:bCs/>
          <w:i/>
          <w:color w:val="000000" w:themeColor="text1"/>
        </w:rPr>
        <w:t>Criteri di aggiudicazione degli appalti</w:t>
      </w:r>
      <w:r w:rsidR="00234B2F" w:rsidRPr="004A5029">
        <w:rPr>
          <w:rFonts w:ascii="Times New Roman" w:eastAsiaTheme="majorEastAsia" w:hAnsi="Times New Roman" w:cs="Times New Roman"/>
          <w:bCs/>
          <w:i/>
          <w:color w:val="000000" w:themeColor="text1"/>
        </w:rPr>
        <w:t xml:space="preserve"> di </w:t>
      </w:r>
      <w:r w:rsidR="00234B2F" w:rsidRPr="004A5029">
        <w:rPr>
          <w:rFonts w:ascii="Times New Roman" w:eastAsiaTheme="majorEastAsia" w:hAnsi="Times New Roman" w:cs="Times New Roman"/>
          <w:b/>
          <w:i/>
          <w:color w:val="000000" w:themeColor="text1"/>
        </w:rPr>
        <w:t>lavori, servizi e forniture</w:t>
      </w:r>
      <w:r w:rsidRPr="004A5029">
        <w:rPr>
          <w:rFonts w:ascii="Times New Roman" w:eastAsiaTheme="majorEastAsia" w:hAnsi="Times New Roman" w:cs="Times New Roman"/>
          <w:b/>
          <w:i/>
          <w:color w:val="000000" w:themeColor="text1"/>
        </w:rPr>
        <w:t>.</w:t>
      </w:r>
    </w:p>
    <w:p w14:paraId="154F757D" w14:textId="184902A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Fatte salve le disposizioni legislative, regolamentari o amministrative relative al prezzo di determinate forniture o alla remunerazione di servizi specifici, le stazioni appaltanti procedono all'aggiudicazione degli appalti </w:t>
      </w:r>
      <w:r w:rsidR="00234B2F" w:rsidRPr="004A5029">
        <w:rPr>
          <w:rFonts w:ascii="Times New Roman" w:hAnsi="Times New Roman" w:cs="Times New Roman"/>
          <w:color w:val="000000" w:themeColor="text1"/>
        </w:rPr>
        <w:t xml:space="preserve">di </w:t>
      </w:r>
      <w:r w:rsidR="00234B2F" w:rsidRPr="004A5029">
        <w:rPr>
          <w:rFonts w:ascii="Times New Roman" w:hAnsi="Times New Roman" w:cs="Times New Roman"/>
          <w:b/>
          <w:bCs/>
          <w:color w:val="000000" w:themeColor="text1"/>
        </w:rPr>
        <w:t>lavori, servizi e forniture</w:t>
      </w:r>
      <w:r w:rsidR="00234B2F"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e all'affidamento dei concorsi di progettazione e dei concorsi di idee sulla base del criterio dell'offerta economicamente più vantaggiosa, individuata sulla base del miglior rapporto qualità/prezzo o sulla base dell'elemento prezzo o del costo, seguendo un criterio di comparazione costo/efficacia quale il costo del ciclo di vita, conformemente a quanto previsto dall’allegato </w:t>
      </w:r>
      <w:r w:rsidRPr="004A5029">
        <w:rPr>
          <w:rFonts w:ascii="Times New Roman" w:hAnsi="Times New Roman" w:cs="Times New Roman"/>
          <w:bCs/>
          <w:color w:val="000000" w:themeColor="text1"/>
        </w:rPr>
        <w:t>II.8</w:t>
      </w:r>
      <w:r w:rsidRPr="004A5029">
        <w:rPr>
          <w:rFonts w:ascii="Times New Roman" w:hAnsi="Times New Roman" w:cs="Times New Roman"/>
          <w:color w:val="000000" w:themeColor="text1"/>
        </w:rPr>
        <w:t>, con riguardo al costo del ciclo di vita.</w:t>
      </w:r>
    </w:p>
    <w:p w14:paraId="5CCEC25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Sono aggiudicati esclusivamente sulla base del criterio dell'offerta economicamente più vantaggiosa individuata sulla base del miglior rapporto qualità/prezzo:</w:t>
      </w:r>
    </w:p>
    <w:p w14:paraId="7B457E2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 contratti relativi ai servizi sociali e di ristorazione ospedaliera, assistenziale e scolastica, nonché ai servizi ad alta intensità di manodopera, come definiti dall’articolo 2, comma 1, lettera e), dell’allegato I.1;</w:t>
      </w:r>
    </w:p>
    <w:p w14:paraId="1BD5A67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 contratti relativi all'affidamento dei servizi di ingegneria e architettura e degli altri servizi di natura tecnica e intellettuale di importo pari o superiore a 140.000 euro;</w:t>
      </w:r>
    </w:p>
    <w:p w14:paraId="2C1BE99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i contratti di servizi e le forniture di importo pari o superiore a 140.000 euro caratterizzati da notevole contenuto tecnologico o che hanno un carattere innovativo;</w:t>
      </w:r>
    </w:p>
    <w:p w14:paraId="62E9BCB0" w14:textId="77777777" w:rsidR="00446F27" w:rsidRPr="004A5029" w:rsidRDefault="00446F27" w:rsidP="00446F27">
      <w:pPr>
        <w:jc w:val="both"/>
        <w:rPr>
          <w:rFonts w:ascii="Times New Roman" w:hAnsi="Times New Roman" w:cs="Times New Roman"/>
          <w:strike/>
          <w:color w:val="000000" w:themeColor="text1"/>
        </w:rPr>
      </w:pPr>
      <w:r w:rsidRPr="004A5029">
        <w:rPr>
          <w:rFonts w:ascii="Times New Roman" w:hAnsi="Times New Roman" w:cs="Times New Roman"/>
          <w:color w:val="000000" w:themeColor="text1"/>
        </w:rPr>
        <w:t>d) gli affidamenti in caso di dialogo competitivo e di partenariato per l’innovazione;</w:t>
      </w:r>
    </w:p>
    <w:p w14:paraId="2C1F612F" w14:textId="4FF8102E"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e) gli affidamenti di appalto integrato</w:t>
      </w:r>
      <w:r w:rsidR="00234B2F" w:rsidRPr="004A5029">
        <w:rPr>
          <w:rFonts w:ascii="Times New Roman" w:hAnsi="Times New Roman" w:cs="Times New Roman"/>
          <w:b/>
          <w:bCs/>
          <w:strike/>
          <w:color w:val="000000" w:themeColor="text1"/>
        </w:rPr>
        <w:t>.</w:t>
      </w:r>
      <w:r w:rsidR="00234B2F" w:rsidRPr="004A5029">
        <w:rPr>
          <w:rFonts w:ascii="Times New Roman" w:hAnsi="Times New Roman" w:cs="Times New Roman"/>
          <w:b/>
          <w:bCs/>
          <w:color w:val="000000" w:themeColor="text1"/>
        </w:rPr>
        <w:t>;</w:t>
      </w:r>
    </w:p>
    <w:p w14:paraId="7A919E6E" w14:textId="0C3A0A7B" w:rsidR="00234B2F" w:rsidRPr="004A5029" w:rsidRDefault="00234B2F" w:rsidP="00446F27">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f) i contratti relativi ai lavori caratterizzati da </w:t>
      </w:r>
      <w:r w:rsidR="00FB03BE" w:rsidRPr="004A5029">
        <w:rPr>
          <w:rFonts w:ascii="Times New Roman" w:hAnsi="Times New Roman" w:cs="Times New Roman"/>
          <w:b/>
          <w:bCs/>
          <w:color w:val="000000" w:themeColor="text1"/>
        </w:rPr>
        <w:t xml:space="preserve">notevole </w:t>
      </w:r>
      <w:r w:rsidRPr="004A5029">
        <w:rPr>
          <w:rFonts w:ascii="Times New Roman" w:hAnsi="Times New Roman" w:cs="Times New Roman"/>
          <w:b/>
          <w:bCs/>
          <w:color w:val="000000" w:themeColor="text1"/>
        </w:rPr>
        <w:t>contenuto tecnologico o con carattere innovativo.</w:t>
      </w:r>
    </w:p>
    <w:p w14:paraId="1E963F5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Può essere utilizzato il criterio del minor prezzo per i servizi e le forniture con caratteristiche standardizzate o le cui condizioni sono definite dal mercato, fatta eccezione per i servizi ad alta intensità di manodopera di cui alla definizione dell’articolo 2, comma 1, lettera e), dell’allegato I.1.</w:t>
      </w:r>
    </w:p>
    <w:p w14:paraId="350E7EF5" w14:textId="6B9DA793" w:rsidR="00446F27" w:rsidRPr="004A5029" w:rsidRDefault="00446F27" w:rsidP="00446F27">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4. I documenti di gara stabiliscono i criteri di aggiudicazione dell'offerta, pertinenti alla natura, all'oggetto e alle caratteristiche del contratto. In particolare, l'offerta economicamente più vantaggiosa, individuata sulla base del miglior rapporto qualità/prezzo, è valutata sulla base di criteri oggettivi, quali gli aspetti qualitativi, ambientali o sociali, connessi all'oggetto dell'appalto.</w:t>
      </w:r>
      <w:r w:rsidR="00234B2F" w:rsidRPr="004A5029">
        <w:rPr>
          <w:rFonts w:ascii="Times New Roman" w:hAnsi="Times New Roman" w:cs="Times New Roman"/>
          <w:color w:val="000000" w:themeColor="text1"/>
        </w:rPr>
        <w:t xml:space="preserve"> </w:t>
      </w:r>
      <w:r w:rsidR="00234B2F" w:rsidRPr="004A5029">
        <w:rPr>
          <w:rFonts w:ascii="Times New Roman" w:hAnsi="Times New Roman" w:cs="Times New Roman"/>
          <w:b/>
          <w:bCs/>
          <w:color w:val="000000" w:themeColor="text1"/>
        </w:rPr>
        <w:t>La stazione appaltante, al fine di assicurare l'effettiva individuazione del miglior rapporto qualità/prezzo, valorizza gli elementi qualitativi dell'offerta e individua criteri tali da garantire un confronto concorrenziale effettivo sui profili tecnici.</w:t>
      </w:r>
      <w:r w:rsidR="00FB03BE" w:rsidRPr="004A5029">
        <w:rPr>
          <w:rFonts w:ascii="Times New Roman" w:hAnsi="Times New Roman" w:cs="Times New Roman"/>
          <w:b/>
          <w:bCs/>
          <w:color w:val="000000" w:themeColor="text1"/>
        </w:rPr>
        <w:t xml:space="preserve"> Nelle attività di approvvigionamento di beni e servizi informatici per la pubblica amministrazione, le stazioni appaltanti, incluse le centrali di committenza, nella valutazione dell’elemento qualitativo ai fini dell’individuazione del miglior rapporto qualità prezzo per l’aggiudicazione, tengono sempre in considerazione gli elementi di cybersicurezza, attribuendovi specifico e peculiare rilievo nei casi in cui il contesto di impiego </w:t>
      </w:r>
      <w:r w:rsidR="00FB03BE" w:rsidRPr="00796E46">
        <w:rPr>
          <w:rFonts w:ascii="Times New Roman" w:hAnsi="Times New Roman" w:cs="Times New Roman"/>
          <w:b/>
          <w:bCs/>
          <w:color w:val="000000" w:themeColor="text1"/>
        </w:rPr>
        <w:t>è</w:t>
      </w:r>
      <w:r w:rsidR="00FB03BE" w:rsidRPr="004A5029">
        <w:rPr>
          <w:rFonts w:ascii="Times New Roman" w:hAnsi="Times New Roman" w:cs="Times New Roman"/>
          <w:b/>
          <w:bCs/>
          <w:color w:val="000000" w:themeColor="text1"/>
        </w:rPr>
        <w:t xml:space="preserve"> connesso alla tutela degli interessi nazionali strategici. </w:t>
      </w:r>
      <w:r w:rsidR="00FB03BE" w:rsidRPr="00BD54D8">
        <w:rPr>
          <w:rFonts w:ascii="Times New Roman" w:hAnsi="Times New Roman" w:cs="Times New Roman"/>
          <w:b/>
          <w:bCs/>
          <w:color w:val="000000" w:themeColor="text1"/>
        </w:rPr>
        <w:t xml:space="preserve">Nei casi di cui al </w:t>
      </w:r>
      <w:r w:rsidR="009803AF" w:rsidRPr="00BD54D8">
        <w:rPr>
          <w:rFonts w:ascii="Times New Roman" w:hAnsi="Times New Roman" w:cs="Times New Roman"/>
          <w:b/>
          <w:bCs/>
          <w:color w:val="000000" w:themeColor="text1"/>
        </w:rPr>
        <w:t xml:space="preserve">quarto </w:t>
      </w:r>
      <w:r w:rsidR="00FB03BE" w:rsidRPr="00BD54D8">
        <w:rPr>
          <w:rFonts w:ascii="Times New Roman" w:hAnsi="Times New Roman" w:cs="Times New Roman"/>
          <w:b/>
          <w:bCs/>
          <w:color w:val="000000" w:themeColor="text1"/>
        </w:rPr>
        <w:t xml:space="preserve">periodo </w:t>
      </w:r>
      <w:r w:rsidR="00FB03BE" w:rsidRPr="00BD54D8">
        <w:rPr>
          <w:rFonts w:ascii="Times New Roman" w:hAnsi="Times New Roman" w:cs="Times New Roman"/>
          <w:b/>
          <w:bCs/>
          <w:strike/>
          <w:color w:val="000000" w:themeColor="text1"/>
        </w:rPr>
        <w:t>precedente</w:t>
      </w:r>
      <w:r w:rsidR="00FB03BE" w:rsidRPr="00BD54D8">
        <w:rPr>
          <w:rFonts w:ascii="Times New Roman" w:hAnsi="Times New Roman" w:cs="Times New Roman"/>
          <w:b/>
          <w:bCs/>
          <w:color w:val="000000" w:themeColor="text1"/>
        </w:rPr>
        <w:t>, quando i beni e servizi informatici oggetto di appalto sono impiegati in un contesto</w:t>
      </w:r>
      <w:r w:rsidR="00FB03BE" w:rsidRPr="004A5029">
        <w:rPr>
          <w:rFonts w:ascii="Times New Roman" w:hAnsi="Times New Roman" w:cs="Times New Roman"/>
          <w:b/>
          <w:bCs/>
          <w:color w:val="000000" w:themeColor="text1"/>
        </w:rPr>
        <w:t xml:space="preserve"> connesso alla tutela degli interessi nazionali strategici, la stazione appaltante stabilisce un tetto massimo per il punteggio economico entro il limite del 10 per cento. Per i contratti ad alta intensità di manodopera, la stazione appaltante stabilisce un tetto massimo per il punteggio economico entro il limite del 30 per cento.</w:t>
      </w:r>
    </w:p>
    <w:p w14:paraId="73130DF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L'elemento relativo al costo, anche nei casi di cui alle disposizioni richiamate al comma 1, può assumere la forma di un prezzo o costo fisso sulla base del quale gli operatori economici competeranno solo in base a criteri qualitativi. </w:t>
      </w:r>
    </w:p>
    <w:p w14:paraId="41639B4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I criteri di aggiudicazione sono considerati connessi all'oggetto dell'appalto quando riguardino lavori, forniture o servizi da fornire sotto qualsiasi aspetto e in qualsiasi fase del loro ciclo di vita, compresi i fattori coinvolti nel processo specifico di produzione, fornitura o scambio di questi lavori, forniture o servizi o in un processo specifico per una fase successiva del loro ciclo di vita, anche se questi fattori non sono parte del loro contenuto sostanziale.</w:t>
      </w:r>
    </w:p>
    <w:p w14:paraId="571C4E92" w14:textId="09780493" w:rsidR="00446F27" w:rsidRPr="004A5029" w:rsidRDefault="00446F27" w:rsidP="00600CEA">
      <w:pPr>
        <w:jc w:val="both"/>
        <w:rPr>
          <w:rFonts w:ascii="Times New Roman" w:eastAsia="Calibri" w:hAnsi="Times New Roman" w:cs="Times New Roman"/>
          <w:b/>
          <w:bCs/>
          <w:color w:val="000000" w:themeColor="text1"/>
        </w:rPr>
      </w:pPr>
      <w:r w:rsidRPr="004A5029">
        <w:rPr>
          <w:rFonts w:ascii="Times New Roman" w:hAnsi="Times New Roman" w:cs="Times New Roman"/>
          <w:color w:val="000000" w:themeColor="text1"/>
        </w:rPr>
        <w:t>7. I documenti di gara oppure, in caso di dialogo competitivo, il bando o il documento descrittivo indicano i singoli criteri di valutazione e la relativa ponderazione, anche prevedendo una forcella in cui lo scarto tra il minimo e il massimo deve essere adeguato. Per ciascun criterio di valutazione prescelto possono essere previsti sub-criteri e sub-pesi o sub-punteggi.</w:t>
      </w:r>
      <w:r w:rsidR="00332CE1" w:rsidRPr="004A5029">
        <w:rPr>
          <w:rFonts w:ascii="Times New Roman" w:hAnsi="Times New Roman" w:cs="Times New Roman"/>
          <w:color w:val="000000" w:themeColor="text1"/>
        </w:rPr>
        <w:t xml:space="preserve"> </w:t>
      </w:r>
      <w:r w:rsidR="00332CE1" w:rsidRPr="004A5029">
        <w:rPr>
          <w:rFonts w:ascii="Times New Roman" w:eastAsia="Calibri" w:hAnsi="Times New Roman" w:cs="Times New Roman"/>
          <w:b/>
          <w:bCs/>
          <w:color w:val="000000" w:themeColor="text1"/>
        </w:rPr>
        <w:t xml:space="preserve">Ai fini della tutela della libera concorrenza e </w:t>
      </w:r>
      <w:r w:rsidR="00600CEA" w:rsidRPr="004A5029">
        <w:rPr>
          <w:rFonts w:ascii="Times New Roman" w:eastAsia="Calibri" w:hAnsi="Times New Roman" w:cs="Times New Roman"/>
          <w:b/>
          <w:bCs/>
          <w:color w:val="000000" w:themeColor="text1"/>
        </w:rPr>
        <w:t>della promozione de</w:t>
      </w:r>
      <w:r w:rsidR="00332CE1" w:rsidRPr="004A5029">
        <w:rPr>
          <w:rFonts w:ascii="Times New Roman" w:eastAsia="Calibri" w:hAnsi="Times New Roman" w:cs="Times New Roman"/>
          <w:b/>
          <w:bCs/>
          <w:color w:val="000000" w:themeColor="text1"/>
        </w:rPr>
        <w:t>l pluralismo degli operatori nel mercato, le procedure relative agli affidamenti di cui al Libro II, parte IV</w:t>
      </w:r>
      <w:r w:rsidR="003F6762" w:rsidRPr="004A5029">
        <w:rPr>
          <w:rFonts w:ascii="Times New Roman" w:eastAsia="Calibri" w:hAnsi="Times New Roman" w:cs="Times New Roman"/>
          <w:b/>
          <w:bCs/>
          <w:color w:val="000000" w:themeColor="text1"/>
        </w:rPr>
        <w:t>,</w:t>
      </w:r>
      <w:r w:rsidR="00332CE1" w:rsidRPr="004A5029">
        <w:rPr>
          <w:rFonts w:ascii="Times New Roman" w:eastAsia="Calibri" w:hAnsi="Times New Roman" w:cs="Times New Roman"/>
          <w:b/>
          <w:bCs/>
          <w:color w:val="000000" w:themeColor="text1"/>
        </w:rPr>
        <w:t xml:space="preserve"> possono prevedere, nel bando di gara, nell’avviso o nell’invito, criteri premiali atti a favorire la partecipazio</w:t>
      </w:r>
      <w:bookmarkStart w:id="41" w:name="_Hlk125707266"/>
      <w:r w:rsidR="00332CE1" w:rsidRPr="004A5029">
        <w:rPr>
          <w:rFonts w:ascii="Times New Roman" w:eastAsia="Calibri" w:hAnsi="Times New Roman" w:cs="Times New Roman"/>
          <w:b/>
          <w:bCs/>
          <w:color w:val="000000" w:themeColor="text1"/>
        </w:rPr>
        <w:t xml:space="preserve">ne delle piccole e medie imprese </w:t>
      </w:r>
      <w:bookmarkEnd w:id="41"/>
      <w:r w:rsidR="00332CE1" w:rsidRPr="004A5029">
        <w:rPr>
          <w:rFonts w:ascii="Times New Roman" w:eastAsia="Calibri" w:hAnsi="Times New Roman" w:cs="Times New Roman"/>
          <w:b/>
          <w:bCs/>
          <w:color w:val="000000" w:themeColor="text1"/>
        </w:rPr>
        <w:t xml:space="preserve">nella valutazione dell’offerta. Le disposizioni di cui al </w:t>
      </w:r>
      <w:r w:rsidR="00600CEA" w:rsidRPr="004A5029">
        <w:rPr>
          <w:rFonts w:ascii="Times New Roman" w:eastAsia="Calibri" w:hAnsi="Times New Roman" w:cs="Times New Roman"/>
          <w:b/>
          <w:bCs/>
          <w:color w:val="000000" w:themeColor="text1"/>
        </w:rPr>
        <w:t>terzo</w:t>
      </w:r>
      <w:r w:rsidR="00E176EB" w:rsidRPr="004A5029">
        <w:rPr>
          <w:rFonts w:ascii="Times New Roman" w:eastAsia="Calibri" w:hAnsi="Times New Roman" w:cs="Times New Roman"/>
          <w:b/>
          <w:bCs/>
          <w:color w:val="000000" w:themeColor="text1"/>
        </w:rPr>
        <w:t xml:space="preserve"> </w:t>
      </w:r>
      <w:r w:rsidR="00332CE1" w:rsidRPr="004A5029">
        <w:rPr>
          <w:rFonts w:ascii="Times New Roman" w:eastAsia="Calibri" w:hAnsi="Times New Roman" w:cs="Times New Roman"/>
          <w:b/>
          <w:bCs/>
          <w:color w:val="000000" w:themeColor="text1"/>
        </w:rPr>
        <w:t>periodo si applicano compatibilmente con il diritto dell’Unione europea e con i princìpi di parità di trattamento, non discriminazione, trasparenza e proporzionalità.</w:t>
      </w:r>
    </w:p>
    <w:p w14:paraId="7B94DE0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Le stazioni appaltanti, quando ritengono la ponderazione di cui al comma 7 non possibile per ragioni oggettive, indicano nel bando di gara e nel capitolato d'oneri o, in caso di dialogo competitivo, nel bando o nel documento descrittivo, l'ordine decrescente di importanza dei criteri. Per attuare la ponderazione o comunque attribuire il punteggio a ciascun elemento dell'offerta, le stazioni appaltanti utilizzano metodologie che individuino con un unico parametro numerico finale l'offerta più vantaggiosa.</w:t>
      </w:r>
    </w:p>
    <w:p w14:paraId="0A5F33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Nell'offerta economica l'operatore indica, </w:t>
      </w:r>
      <w:r w:rsidRPr="004A5029">
        <w:rPr>
          <w:rFonts w:ascii="Times New Roman" w:hAnsi="Times New Roman" w:cs="Times New Roman"/>
          <w:bCs/>
          <w:color w:val="000000" w:themeColor="text1"/>
        </w:rPr>
        <w:t>a pena di esclusione</w:t>
      </w:r>
      <w:r w:rsidRPr="004A5029">
        <w:rPr>
          <w:rFonts w:ascii="Times New Roman" w:hAnsi="Times New Roman" w:cs="Times New Roman"/>
          <w:color w:val="000000" w:themeColor="text1"/>
        </w:rPr>
        <w:t xml:space="preserve">, i costi della manodopera e gli oneri aziendali per l’adempimento delle disposizioni in materia di salute e sicurezza sui luoghi di lavoro eccetto che nelle forniture senza posa in opera </w:t>
      </w:r>
      <w:r w:rsidRPr="004A5029">
        <w:rPr>
          <w:rFonts w:ascii="Times New Roman" w:hAnsi="Times New Roman" w:cs="Times New Roman"/>
          <w:bCs/>
          <w:color w:val="000000" w:themeColor="text1"/>
        </w:rPr>
        <w:t>e</w:t>
      </w:r>
      <w:r w:rsidRPr="004A5029">
        <w:rPr>
          <w:rFonts w:ascii="Times New Roman" w:hAnsi="Times New Roman" w:cs="Times New Roman"/>
          <w:color w:val="000000" w:themeColor="text1"/>
        </w:rPr>
        <w:t xml:space="preserve"> nei servizi di natura intellettuale.</w:t>
      </w:r>
    </w:p>
    <w:p w14:paraId="0112FCAA" w14:textId="7B1B8BB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Le stazioni appaltanti possono decidere di non procedere all’aggiudicazione se nessuna offerta risulti conveniente o idonea in relazione all’oggetto del contratto. Tale facoltà è indicata espressamente nel bando di gara o invito nelle procedure </w:t>
      </w:r>
      <w:r w:rsidRPr="004A5029">
        <w:rPr>
          <w:rFonts w:ascii="Times New Roman" w:hAnsi="Times New Roman" w:cs="Times New Roman"/>
          <w:b/>
          <w:bCs/>
          <w:strike/>
          <w:color w:val="000000" w:themeColor="text1"/>
        </w:rPr>
        <w:t>sena</w:t>
      </w:r>
      <w:r w:rsidRPr="004A5029">
        <w:rPr>
          <w:rFonts w:ascii="Times New Roman" w:hAnsi="Times New Roman" w:cs="Times New Roman"/>
          <w:b/>
          <w:bCs/>
          <w:color w:val="000000" w:themeColor="text1"/>
        </w:rPr>
        <w:t xml:space="preserve"> </w:t>
      </w:r>
      <w:r w:rsidR="0033338F" w:rsidRPr="004A5029">
        <w:rPr>
          <w:rFonts w:ascii="Times New Roman" w:hAnsi="Times New Roman" w:cs="Times New Roman"/>
          <w:b/>
          <w:bCs/>
          <w:color w:val="000000" w:themeColor="text1"/>
        </w:rPr>
        <w:t>senza</w:t>
      </w:r>
      <w:r w:rsidR="0033338F"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bando e può essere esercitata non oltre il termine di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dalla conclusione delle valutazioni delle offerte.</w:t>
      </w:r>
    </w:p>
    <w:p w14:paraId="28797F7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11. In caso di appalti di lavori aggiudicati con il criterio dell’offerta economicamente più vantaggiosa, individuata sulla base del migliore rapporto qualità/prezzo, le stazioni appaltanti non possono attribuire alcun punteggio per l'offerta di opere aggiuntive rispetto a quanto previsto nel progetto esecutivo a base d'asta.</w:t>
      </w:r>
    </w:p>
    <w:p w14:paraId="620852D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12. Ogni variazione che intervenga, anche in conseguenza di una pronuncia giurisdizionale, successivamente al provvedimento di aggiudicazione, tenendo anche conto dell’eventuale inversione procedimentale, non è rilevante ai fini del calcolo di medie nella procedura, né per l'individuazione della soglia di anomalia delle offerte, eventualmente stabilita nei documenti di gara, e non produce conseguenze sui procedimenti relativi agli altri lotti della medesima gara.</w:t>
      </w:r>
    </w:p>
    <w:p w14:paraId="29079D35" w14:textId="77777777" w:rsidR="00446F27" w:rsidRPr="004A5029" w:rsidRDefault="00446F27" w:rsidP="00446F27">
      <w:pPr>
        <w:jc w:val="both"/>
        <w:rPr>
          <w:rFonts w:ascii="Times New Roman" w:hAnsi="Times New Roman" w:cs="Times New Roman"/>
          <w:color w:val="000000" w:themeColor="text1"/>
        </w:rPr>
      </w:pPr>
    </w:p>
    <w:p w14:paraId="3495FDDA"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eastAsiaTheme="majorEastAsia" w:hAnsi="Times New Roman" w:cs="Times New Roman"/>
          <w:b/>
          <w:color w:val="000000" w:themeColor="text1"/>
        </w:rPr>
        <w:t>Articolo 109.</w:t>
      </w:r>
      <w:r w:rsidRPr="004A5029">
        <w:rPr>
          <w:rFonts w:ascii="Times New Roman" w:eastAsiaTheme="majorEastAsia" w:hAnsi="Times New Roman" w:cs="Times New Roman"/>
          <w:color w:val="000000" w:themeColor="text1"/>
        </w:rPr>
        <w:t xml:space="preserve"> </w:t>
      </w:r>
    </w:p>
    <w:p w14:paraId="17E6778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Reputazione dell’impresa.</w:t>
      </w:r>
    </w:p>
    <w:p w14:paraId="071CB200" w14:textId="1C66240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È istituito presso l’ANAC, che ne cura la gestione, un sistema digitale di monitoraggio delle prestazioni, quale elemento del fascicolo virtuale degli operatori. Il sistema è fondato su requisiti reputazionali valutati sulla base di indici qualitativi e quantitativi, oggettivi e misurabili, nonché sulla base di accertamenti definitivi</w:t>
      </w:r>
      <w:r w:rsidR="00847A15"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che esprimono l’affidabilità dell’impresa in fase esecutiva, il rispetto della legalità</w:t>
      </w:r>
      <w:r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w:t>
      </w:r>
      <w:r w:rsidR="00C75A59" w:rsidRPr="004A5029">
        <w:rPr>
          <w:rFonts w:ascii="Times New Roman" w:hAnsi="Times New Roman" w:cs="Times New Roman"/>
          <w:color w:val="000000" w:themeColor="text1"/>
        </w:rPr>
        <w:t xml:space="preserve">e </w:t>
      </w:r>
      <w:r w:rsidRPr="004A5029">
        <w:rPr>
          <w:rFonts w:ascii="Times New Roman" w:hAnsi="Times New Roman" w:cs="Times New Roman"/>
          <w:b/>
          <w:bCs/>
          <w:strike/>
          <w:color w:val="000000" w:themeColor="text1"/>
        </w:rPr>
        <w:t>l’impegno sul piano sociale</w:t>
      </w:r>
      <w:r w:rsidR="0085711D" w:rsidRPr="004A5029">
        <w:rPr>
          <w:rFonts w:cstheme="minorHAnsi"/>
          <w:b/>
          <w:color w:val="000000" w:themeColor="text1"/>
          <w:sz w:val="20"/>
          <w:szCs w:val="20"/>
        </w:rPr>
        <w:t xml:space="preserve"> </w:t>
      </w:r>
      <w:r w:rsidR="0085711D" w:rsidRPr="004A5029">
        <w:rPr>
          <w:rFonts w:ascii="Times New Roman" w:hAnsi="Times New Roman" w:cs="Times New Roman"/>
          <w:b/>
          <w:bCs/>
          <w:color w:val="000000" w:themeColor="text1"/>
        </w:rPr>
        <w:t>degli obiettivi di sostenibilità e responsabilità sociale</w:t>
      </w:r>
      <w:r w:rsidRPr="004A5029">
        <w:rPr>
          <w:rFonts w:ascii="Times New Roman" w:hAnsi="Times New Roman" w:cs="Times New Roman"/>
          <w:color w:val="000000" w:themeColor="text1"/>
        </w:rPr>
        <w:t>.</w:t>
      </w:r>
    </w:p>
    <w:p w14:paraId="70F6869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L’ANAC definisce gli elementi del monitoraggio, le modalità di raccolta dei dati e il meccanismo di applicazione del sistema per incentivare gli operatori al rispetto dei principi del risultato di cui all’articolo 1 e di buona fede e affidamento di cui all’articolo 5, bilanciando questi elementi con il mantenimento dell’apertura del mercato, specie con riferimento alla partecipazione di nuovi operatori.</w:t>
      </w:r>
    </w:p>
    <w:p w14:paraId="7387737A" w14:textId="43F3D30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Alla presente disposizione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data attuazione entro </w:t>
      </w:r>
      <w:r w:rsidRPr="004A5029">
        <w:rPr>
          <w:rFonts w:ascii="Times New Roman" w:hAnsi="Times New Roman" w:cs="Times New Roman"/>
          <w:strike/>
          <w:color w:val="000000" w:themeColor="text1"/>
        </w:rPr>
        <w:t>18</w:t>
      </w:r>
      <w:r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 xml:space="preserve">diciotto </w:t>
      </w:r>
      <w:r w:rsidRPr="004A5029">
        <w:rPr>
          <w:rFonts w:ascii="Times New Roman" w:hAnsi="Times New Roman" w:cs="Times New Roman"/>
          <w:color w:val="000000" w:themeColor="text1"/>
        </w:rPr>
        <w:t>mesi dalla data di entrata in vigore del codice, anche tenendo conto dei risultati ottenuti nel periodo iniziale di sperimentazione.</w:t>
      </w:r>
    </w:p>
    <w:p w14:paraId="17686DC7" w14:textId="77777777" w:rsidR="00446F27" w:rsidRPr="004A5029" w:rsidRDefault="00446F27" w:rsidP="00446F27">
      <w:pPr>
        <w:autoSpaceDE w:val="0"/>
        <w:autoSpaceDN w:val="0"/>
        <w:adjustRightInd w:val="0"/>
        <w:jc w:val="both"/>
        <w:rPr>
          <w:rFonts w:ascii="Times New Roman" w:hAnsi="Times New Roman" w:cs="Times New Roman"/>
          <w:b/>
          <w:color w:val="000000" w:themeColor="text1"/>
        </w:rPr>
      </w:pPr>
    </w:p>
    <w:p w14:paraId="079D9548" w14:textId="77777777" w:rsidR="00446F27" w:rsidRPr="004A5029" w:rsidRDefault="00446F27" w:rsidP="00446F27">
      <w:pPr>
        <w:jc w:val="both"/>
        <w:rPr>
          <w:rFonts w:ascii="Times New Roman" w:eastAsiaTheme="majorEastAsia" w:hAnsi="Times New Roman" w:cs="Times New Roman"/>
          <w:color w:val="000000" w:themeColor="text1"/>
        </w:rPr>
      </w:pPr>
      <w:r w:rsidRPr="004A5029">
        <w:rPr>
          <w:rFonts w:ascii="Times New Roman" w:eastAsiaTheme="majorEastAsia" w:hAnsi="Times New Roman" w:cs="Times New Roman"/>
          <w:b/>
          <w:color w:val="000000" w:themeColor="text1"/>
        </w:rPr>
        <w:t>Articolo 110.</w:t>
      </w:r>
      <w:r w:rsidRPr="004A5029">
        <w:rPr>
          <w:rFonts w:ascii="Times New Roman" w:eastAsiaTheme="majorEastAsia" w:hAnsi="Times New Roman" w:cs="Times New Roman"/>
          <w:color w:val="000000" w:themeColor="text1"/>
        </w:rPr>
        <w:t xml:space="preserve"> </w:t>
      </w:r>
    </w:p>
    <w:p w14:paraId="576F0219" w14:textId="77777777" w:rsidR="00446F27" w:rsidRPr="004A5029" w:rsidRDefault="00446F27" w:rsidP="00446F27">
      <w:pPr>
        <w:jc w:val="both"/>
        <w:rPr>
          <w:rFonts w:ascii="Times New Roman" w:eastAsiaTheme="majorEastAsia" w:hAnsi="Times New Roman" w:cs="Times New Roman"/>
          <w:bCs/>
          <w:i/>
          <w:color w:val="000000" w:themeColor="text1"/>
        </w:rPr>
      </w:pPr>
      <w:r w:rsidRPr="004A5029">
        <w:rPr>
          <w:rFonts w:ascii="Times New Roman" w:eastAsiaTheme="majorEastAsia" w:hAnsi="Times New Roman" w:cs="Times New Roman"/>
          <w:bCs/>
          <w:i/>
          <w:color w:val="000000" w:themeColor="text1"/>
        </w:rPr>
        <w:t>Offerte anormalmente basse.</w:t>
      </w:r>
    </w:p>
    <w:p w14:paraId="46149CE5"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hAnsi="Times New Roman" w:cs="Times New Roman"/>
          <w:color w:val="000000" w:themeColor="text1"/>
        </w:rPr>
        <w:t>1. Le stazioni appaltanti valutano la congruità, la serietà, la sostenibilità e la realizzabilità della migliore offerta, che in base a elementi specifici, inclusi i costi dichiarati ai sensi dell’articolo 108, comma 9, appaia anormalmente bassa. Il bando o l’avviso indicano gli elementi specifici ai fini della valutazione</w:t>
      </w:r>
      <w:r w:rsidRPr="004A5029">
        <w:rPr>
          <w:rFonts w:ascii="Times New Roman" w:eastAsia="Calibri" w:hAnsi="Times New Roman" w:cs="Times New Roman"/>
          <w:color w:val="000000" w:themeColor="text1"/>
        </w:rPr>
        <w:t>.</w:t>
      </w:r>
    </w:p>
    <w:p w14:paraId="71059EF2" w14:textId="43D0F3A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In presenza di un’offerta che appaia anormalmente bassa le stazioni appaltanti richiedono per iscritto all’operatore economico le spiegazioni sul prezzo o sui costi proposti, assegnando a tal fine un termine non superiore a </w:t>
      </w:r>
      <w:r w:rsidRPr="004A5029">
        <w:rPr>
          <w:rFonts w:ascii="Times New Roman" w:hAnsi="Times New Roman" w:cs="Times New Roman"/>
          <w:strike/>
          <w:color w:val="000000" w:themeColor="text1"/>
        </w:rPr>
        <w:t>15</w:t>
      </w:r>
      <w:r w:rsidRPr="004A5029">
        <w:rPr>
          <w:rFonts w:ascii="Times New Roman" w:hAnsi="Times New Roman" w:cs="Times New Roman"/>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w:t>
      </w:r>
    </w:p>
    <w:p w14:paraId="5F40DFD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 spiegazioni di cui al comma 2 possono riguardare i seguenti elementi:</w:t>
      </w:r>
    </w:p>
    <w:p w14:paraId="6B44603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l'economia del processo di fabbricazione dei prodotti, dei servizi prestati o del metodo di costruzione;</w:t>
      </w:r>
    </w:p>
    <w:p w14:paraId="7556D26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le soluzioni tecniche prescelte o le condizioni eccezionalmente favorevoli di cui dispone l'offerente per fornire i prodotti, per prestare i servizi o per eseguire i lavori;</w:t>
      </w:r>
    </w:p>
    <w:p w14:paraId="422CAEE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l'originalità dei lavori, delle forniture o dei servizi proposti dall'offerente.</w:t>
      </w:r>
    </w:p>
    <w:p w14:paraId="6ABCDB7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Non sono ammesse giustificazioni:</w:t>
      </w:r>
    </w:p>
    <w:p w14:paraId="3E910F4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in relazione a trattamenti salariali minimi inderogabili stabiliti dalla legge o da fonti autorizzate dalla legge;</w:t>
      </w:r>
    </w:p>
    <w:p w14:paraId="6F82174C" w14:textId="0840A0E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in relazione agli oneri di sicurezza di cui alla normativa vigente</w:t>
      </w:r>
      <w:r w:rsidR="00FB03BE" w:rsidRPr="004A5029">
        <w:rPr>
          <w:rFonts w:ascii="Times New Roman" w:hAnsi="Times New Roman" w:cs="Times New Roman"/>
          <w:color w:val="000000" w:themeColor="text1"/>
        </w:rPr>
        <w:t>.</w:t>
      </w:r>
    </w:p>
    <w:p w14:paraId="2BA1E5A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 stazione appaltante esclude l'offerta se le spiegazioni fornite non giustificano adeguatamente il livello di prezzi o di costi proposti, tenendo conto degli elementi di cui al comma 3, oppure se l’offerta è anormalmente bassa in quanto:</w:t>
      </w:r>
    </w:p>
    <w:p w14:paraId="69F6330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non rispetta gli obblighi in materia ambientale, sociale e del lavoro stabiliti dalla normativa europea e nazionale, dai contratti collettivi o dalle disposizioni internazionali di diritto del lavoro indicate nell’allegato X alla direttiva 2014/24/UE del Parlamento europeo e del Consiglio del 26 febbraio 2014;</w:t>
      </w:r>
    </w:p>
    <w:p w14:paraId="49B05E1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non rispetta gli obblighi di cui all'articolo 119;</w:t>
      </w:r>
    </w:p>
    <w:p w14:paraId="2141C5A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sono incongrui gli oneri aziendali della sicurezza di cui all'articolo 108, comma 9, rispetto all'entità e alle caratteristiche dei lavori, dei servizi e delle forniture;</w:t>
      </w:r>
    </w:p>
    <w:p w14:paraId="6D929114" w14:textId="7B0505F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il costo del personale è inferiore ai minimi salariali retributivi indicati nelle apposite tabelle di cui all'articolo 41, comma </w:t>
      </w:r>
      <w:r w:rsidRPr="004A5029">
        <w:rPr>
          <w:rFonts w:ascii="Times New Roman" w:hAnsi="Times New Roman" w:cs="Times New Roman"/>
          <w:b/>
          <w:bCs/>
          <w:strike/>
          <w:color w:val="000000" w:themeColor="text1"/>
        </w:rPr>
        <w:t>12</w:t>
      </w:r>
      <w:r w:rsidR="005E0FC0" w:rsidRPr="004A5029">
        <w:rPr>
          <w:rFonts w:ascii="Times New Roman" w:hAnsi="Times New Roman" w:cs="Times New Roman"/>
          <w:color w:val="000000" w:themeColor="text1"/>
        </w:rPr>
        <w:t xml:space="preserve"> </w:t>
      </w:r>
      <w:r w:rsidR="005E0FC0" w:rsidRPr="004A5029">
        <w:rPr>
          <w:rFonts w:ascii="Times New Roman" w:hAnsi="Times New Roman" w:cs="Times New Roman"/>
          <w:b/>
          <w:bCs/>
          <w:color w:val="000000" w:themeColor="text1"/>
        </w:rPr>
        <w:t>13</w:t>
      </w:r>
      <w:r w:rsidRPr="004A5029">
        <w:rPr>
          <w:rFonts w:ascii="Times New Roman" w:hAnsi="Times New Roman" w:cs="Times New Roman"/>
          <w:color w:val="000000" w:themeColor="text1"/>
        </w:rPr>
        <w:t>.</w:t>
      </w:r>
    </w:p>
    <w:p w14:paraId="10B473D0" w14:textId="4CA7C6E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Qualora accerti che un'offerta è anormalmente bassa in quanto l'offerente ha ottenuto un aiuto di Stato, la stazione appaltante può escluderla unicamente per questo motivo, soltanto dopo aver consultato l'offerente e se quest'ultimo non è in grado di dimostrare, entro un termine sufficiente stabilito dalla stazione appaltante, che l'aiuto era compatibile con il mercato interno ai sensi dell'articolo 107 </w:t>
      </w:r>
      <w:r w:rsidR="004B7F60" w:rsidRPr="004A5029">
        <w:rPr>
          <w:rFonts w:ascii="Times New Roman" w:hAnsi="Times New Roman" w:cs="Times New Roman"/>
          <w:color w:val="000000" w:themeColor="text1"/>
        </w:rPr>
        <w:t>del Trattato sul funzionamento dell'Unione europea</w:t>
      </w:r>
      <w:r w:rsidRPr="004A5029">
        <w:rPr>
          <w:rFonts w:ascii="Times New Roman" w:hAnsi="Times New Roman" w:cs="Times New Roman"/>
          <w:color w:val="000000" w:themeColor="text1"/>
        </w:rPr>
        <w:t>. In caso di esclusione la stazione appaltante informa la Commissione europea.</w:t>
      </w:r>
    </w:p>
    <w:p w14:paraId="53BD644D" w14:textId="77777777" w:rsidR="00446F27" w:rsidRPr="004A5029" w:rsidRDefault="00446F27" w:rsidP="00446F27">
      <w:pPr>
        <w:jc w:val="both"/>
        <w:rPr>
          <w:rFonts w:ascii="Times New Roman" w:hAnsi="Times New Roman" w:cs="Times New Roman"/>
          <w:color w:val="000000" w:themeColor="text1"/>
        </w:rPr>
      </w:pPr>
    </w:p>
    <w:p w14:paraId="347A44B2" w14:textId="77777777" w:rsidR="00446F27" w:rsidRPr="004A5029" w:rsidRDefault="00446F27" w:rsidP="00446F27">
      <w:pPr>
        <w:jc w:val="both"/>
        <w:rPr>
          <w:rFonts w:ascii="Times New Roman" w:eastAsiaTheme="majorEastAsia" w:hAnsi="Times New Roman" w:cs="Times New Roman"/>
          <w:b/>
          <w:color w:val="000000" w:themeColor="text1"/>
        </w:rPr>
      </w:pPr>
      <w:r w:rsidRPr="004A5029">
        <w:rPr>
          <w:rFonts w:ascii="Times New Roman" w:hAnsi="Times New Roman" w:cs="Times New Roman"/>
          <w:b/>
          <w:color w:val="000000" w:themeColor="text1"/>
        </w:rPr>
        <w:t xml:space="preserve">Articolo </w:t>
      </w:r>
      <w:r w:rsidRPr="004A5029">
        <w:rPr>
          <w:rFonts w:ascii="Times New Roman" w:eastAsiaTheme="majorEastAsia" w:hAnsi="Times New Roman" w:cs="Times New Roman"/>
          <w:b/>
          <w:color w:val="000000" w:themeColor="text1"/>
        </w:rPr>
        <w:t>111.</w:t>
      </w:r>
    </w:p>
    <w:p w14:paraId="0ACCF652" w14:textId="77777777" w:rsidR="00446F27" w:rsidRPr="004A5029" w:rsidRDefault="00446F27" w:rsidP="00446F27">
      <w:pPr>
        <w:rPr>
          <w:rFonts w:ascii="Times New Roman" w:hAnsi="Times New Roman" w:cs="Times New Roman"/>
          <w:color w:val="000000" w:themeColor="text1"/>
        </w:rPr>
      </w:pPr>
      <w:r w:rsidRPr="004A5029">
        <w:rPr>
          <w:rFonts w:ascii="Times New Roman" w:eastAsiaTheme="majorEastAsia" w:hAnsi="Times New Roman" w:cs="Times New Roman"/>
          <w:bCs/>
          <w:i/>
          <w:color w:val="000000" w:themeColor="text1"/>
        </w:rPr>
        <w:t>Avvisi relativi agli appalti aggiudicati.</w:t>
      </w:r>
    </w:p>
    <w:p w14:paraId="1F015F62" w14:textId="169D49E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stazioni appaltanti che hanno aggiudicato un contratto pubblico o concluso un accordo quadro inviano un avviso secondo le modalità di pubblicazione di cui all'articolo 84, conforme all’allegato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arte I, lettera D</w:t>
      </w:r>
      <w:r w:rsidR="007B2E4C"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relativo ai risultati della procedura di aggiudicazione, entro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dalla conclusione del contratto o dalla conclusione dell'accordo quadro.</w:t>
      </w:r>
    </w:p>
    <w:p w14:paraId="7F65257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Se la gara è stata indetta mediante un avviso di pre-informazione e se la stazione appaltante ha deciso che non aggiudicherà ulteriori appalti nel periodo coperto dall'avviso di pre-informazione, l'avviso di aggiudicazione contiene un'indicazione specifica al riguardo.</w:t>
      </w:r>
    </w:p>
    <w:p w14:paraId="317F7B10" w14:textId="70FF2E3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Nel caso di accordi quadro conclusi ai sensi dell'articolo 59, le stazioni appaltanti sono esentate dall'obbligo di inviare un avviso sui risultati della procedura di aggiudicazione di ciascun appalto basato su tale accordo e raggruppano gli avvisi sui risultati della procedura d'appalto per gli appalti fondati sull'accordo quadro su base trimestrale. In tal caso, esse inviano gli avvisi raggruppati entro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dalla fine di ogni trimestre.</w:t>
      </w:r>
    </w:p>
    <w:p w14:paraId="7299CC55" w14:textId="3A3DA97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Le stazioni appaltanti inviano all'Ufficio delle pubblicazioni dell'Unione europea, conformemente a quanto previsto dall'articolo </w:t>
      </w:r>
      <w:r w:rsidRPr="004A5029">
        <w:rPr>
          <w:rFonts w:ascii="Times New Roman" w:hAnsi="Times New Roman" w:cs="Times New Roman"/>
          <w:b/>
          <w:bCs/>
          <w:strike/>
          <w:color w:val="000000" w:themeColor="text1"/>
        </w:rPr>
        <w:t>83</w:t>
      </w:r>
      <w:r w:rsidR="0001028A" w:rsidRPr="004A5029">
        <w:rPr>
          <w:rFonts w:ascii="Times New Roman" w:hAnsi="Times New Roman" w:cs="Times New Roman"/>
          <w:b/>
          <w:bCs/>
          <w:color w:val="000000" w:themeColor="text1"/>
        </w:rPr>
        <w:t xml:space="preserve"> 84</w:t>
      </w:r>
      <w:r w:rsidRPr="004A5029">
        <w:rPr>
          <w:rFonts w:ascii="Times New Roman" w:hAnsi="Times New Roman" w:cs="Times New Roman"/>
          <w:color w:val="000000" w:themeColor="text1"/>
        </w:rPr>
        <w:t xml:space="preserve">, un avviso di aggiudicazione di appalto entro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dall'aggiudicazione di ogni appalto basata su un sistema dinamico di acquisizione. Esse possono tuttavia raggruppare gli avvisi su base trimestrale. In tal caso, inviano gli avvisi raggruppati al più tardi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dopo la fine di ogni trimestre.</w:t>
      </w:r>
    </w:p>
    <w:p w14:paraId="776E37B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Fermo restando quanto disposto dagli articoli 35 e 36, talune informazioni relative all'aggiudicazione dell'appalto o alla conclusione dell'accordo quadro possono non essere pubblicate qualora la loro divulgazione ostacoli l'applicazione della legge, sia contraria all'interesse pubblico, pregiudichi i legittimi interessi commerciali di un particolare operatore economico, pubblico o privato, oppure possa arrecare pregiudizio alla concorrenza leale tra operatori economici.</w:t>
      </w:r>
    </w:p>
    <w:p w14:paraId="1A3FAC43" w14:textId="77777777" w:rsidR="00446F27" w:rsidRPr="004A5029" w:rsidRDefault="00446F27" w:rsidP="00446F27">
      <w:pPr>
        <w:rPr>
          <w:rFonts w:ascii="Times New Roman" w:hAnsi="Times New Roman" w:cs="Times New Roman"/>
          <w:color w:val="000000" w:themeColor="text1"/>
        </w:rPr>
      </w:pPr>
    </w:p>
    <w:p w14:paraId="25F55CBB" w14:textId="77777777" w:rsidR="00446F27" w:rsidRPr="004A5029" w:rsidRDefault="00446F27" w:rsidP="00446F27">
      <w:pPr>
        <w:jc w:val="both"/>
        <w:rPr>
          <w:rFonts w:ascii="Times New Roman" w:eastAsiaTheme="majorEastAsia" w:hAnsi="Times New Roman" w:cs="Times New Roman"/>
          <w:b/>
          <w:color w:val="000000" w:themeColor="text1"/>
        </w:rPr>
      </w:pPr>
      <w:r w:rsidRPr="004A5029">
        <w:rPr>
          <w:rFonts w:ascii="Times New Roman" w:hAnsi="Times New Roman" w:cs="Times New Roman"/>
          <w:b/>
          <w:color w:val="000000" w:themeColor="text1"/>
        </w:rPr>
        <w:t xml:space="preserve">Articolo </w:t>
      </w:r>
      <w:r w:rsidRPr="004A5029">
        <w:rPr>
          <w:rFonts w:ascii="Times New Roman" w:eastAsiaTheme="majorEastAsia" w:hAnsi="Times New Roman" w:cs="Times New Roman"/>
          <w:b/>
          <w:color w:val="000000" w:themeColor="text1"/>
        </w:rPr>
        <w:t>112.</w:t>
      </w:r>
    </w:p>
    <w:p w14:paraId="5D827B8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heme="majorEastAsia" w:hAnsi="Times New Roman" w:cs="Times New Roman"/>
          <w:bCs/>
          <w:i/>
          <w:color w:val="000000" w:themeColor="text1"/>
        </w:rPr>
        <w:t>Relazioni uniche sulle procedure di aggiudicazione degli appalti.</w:t>
      </w:r>
    </w:p>
    <w:p w14:paraId="63D4E6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Per ogni appalto od ogni accordo quadro di importo pari o superiore alle soglie di cui all'articolo 14 e ogniqualvolta sia istituito un sistema dinamico di acquisizione, la stazione appaltante redige una relazione contenente almeno le seguenti informazioni:</w:t>
      </w:r>
    </w:p>
    <w:p w14:paraId="149F8C6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il nome e l'indirizzo della stazione appaltante, l'oggetto e il valore dell'appalto, dell'accordo quadro o del sistema dinamico di acquisizione;</w:t>
      </w:r>
    </w:p>
    <w:p w14:paraId="0BA48CA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se del caso, i risultati della selezione qualitativa e</w:t>
      </w:r>
      <w:r w:rsidRPr="00A84BF7">
        <w:rPr>
          <w:rFonts w:ascii="Times New Roman" w:hAnsi="Times New Roman" w:cs="Times New Roman"/>
          <w:b/>
          <w:bCs/>
          <w:strike/>
          <w:color w:val="000000" w:themeColor="text1"/>
        </w:rPr>
        <w:t xml:space="preserve">/o </w:t>
      </w:r>
      <w:r w:rsidRPr="004A5029">
        <w:rPr>
          <w:rFonts w:ascii="Times New Roman" w:hAnsi="Times New Roman" w:cs="Times New Roman"/>
          <w:color w:val="000000" w:themeColor="text1"/>
        </w:rPr>
        <w:t>della riduzione dei numeri di candidati altrimenti qualificati da invitare a partecipare o del numero di offerte e soluzioni:</w:t>
      </w:r>
    </w:p>
    <w:p w14:paraId="72D4C3D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 nomi dei candidati o degli offerenti selezionati e i motivi della selezione;</w:t>
      </w:r>
    </w:p>
    <w:p w14:paraId="589A26B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 nomi dei candidati o degli offerenti esclusi e i motivi dell'esclusione;</w:t>
      </w:r>
    </w:p>
    <w:p w14:paraId="563C628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i motivi del rigetto delle offerte giudicate anormalmente basse;</w:t>
      </w:r>
    </w:p>
    <w:p w14:paraId="546C5AD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il nome dell'aggiudicatario e le ragioni della scelta della sua offerta, nonché, se è nota, la parte dell'appalto o dell'accordo quadro che l'aggiudicatario intende subappaltare a terzi; e, se noti al momento della redazione, i nomi degli eventuali subappaltatori del contraente principale;</w:t>
      </w:r>
    </w:p>
    <w:p w14:paraId="66E8EC7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per le procedure competitive con negoziazione e i dialoghi competitivi, le circostanze di cui all'articolo 70 che giustificano l'utilizzazione di tali procedure;</w:t>
      </w:r>
    </w:p>
    <w:p w14:paraId="626D6B2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per quanto riguarda le procedure negoziate senza pubblicazione di un bando di gara, le circostanze di cui all'articolo 76 che giustificano l'utilizzazione di tali procedure;</w:t>
      </w:r>
    </w:p>
    <w:p w14:paraId="3E65AF6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g) eventualmente, le ragioni per le quali l'amministrazione aggiudicatrice ha deciso di non aggiudicare un appalto, concludere un accordo quadro o istituire un sistema dinamico di acquisizione;</w:t>
      </w:r>
    </w:p>
    <w:p w14:paraId="40C7253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h) eventualmente, i conflitti di interesse individuati e le misure successivamente adottate.</w:t>
      </w:r>
    </w:p>
    <w:p w14:paraId="7B335B9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relazione di cui al comma 1 non è richiesta per gli appalti basati su accordi quadro conclusi con un solo operatore economico e aggiudicati entro i limiti delle condizioni fissate nell'accordo quadro, o se l'accordo quadro contiene tutti i termini che disciplinano la prestazione dei lavori, dei servizi e delle forniture in questione nonché le condizioni oggettive per determinare quale degli operatori economici parti dell'accordo quadro effettuerà tale prestazione.</w:t>
      </w:r>
    </w:p>
    <w:p w14:paraId="316BE94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Quando l'avviso di aggiudicazione dell'appalto stilato a norma dell'articolo 111 o dell’articolo 127, comma 3, contiene le informazioni richieste al comma 1, le stazioni appaltanti possono fare riferimento a tale avviso.</w:t>
      </w:r>
    </w:p>
    <w:p w14:paraId="6B626D12" w14:textId="02563B6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Le stazioni appaltanti documentano lo svolgimento di tutte le procedure di aggiudicazione. Garantiscono la conservazione di una documentazione sufficiente a giustificare </w:t>
      </w:r>
      <w:r w:rsidR="0001028A" w:rsidRPr="004A5029">
        <w:rPr>
          <w:rFonts w:ascii="Times New Roman" w:hAnsi="Times New Roman" w:cs="Times New Roman"/>
          <w:b/>
          <w:bCs/>
          <w:color w:val="000000" w:themeColor="text1"/>
        </w:rPr>
        <w:t>le</w:t>
      </w:r>
      <w:r w:rsidR="0001028A"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decisioni adottate in tutte le fasi della procedura di appalto, quali la documentazione relativa alle comunicazioni con gli operatori economici e le deliberazioni interne, la preparazione dei documenti di gara, il dialogo o la negoziazione se previsti, la selezione e l'aggiudicazione dell'appalto. La documentazione è conservata per almeno cinque anni a partire dalla data di aggiudicazione dell'appalto, oppure, in caso di pendenza di una controversia, fino al passaggio in giudicato della relativa sentenza.</w:t>
      </w:r>
    </w:p>
    <w:p w14:paraId="170418A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 relazione o i suoi principali elementi sono comunicati alla Cabina di regia di cui all'articolo 221 per la successiva comunicazione alla Commissione europea, alle autorità, agli organismi o alle strutture competenti, quando tale relazione è richiesta.</w:t>
      </w:r>
    </w:p>
    <w:p w14:paraId="2BBD94B2" w14:textId="77777777" w:rsidR="00446F27" w:rsidRPr="004A5029" w:rsidRDefault="00446F27" w:rsidP="00446F27">
      <w:pPr>
        <w:jc w:val="both"/>
        <w:rPr>
          <w:rFonts w:ascii="Times New Roman" w:hAnsi="Times New Roman" w:cs="Times New Roman"/>
          <w:color w:val="000000" w:themeColor="text1"/>
        </w:rPr>
        <w:sectPr w:rsidR="00446F27" w:rsidRPr="004A5029">
          <w:headerReference w:type="default" r:id="rId30"/>
          <w:pgSz w:w="11906" w:h="16838"/>
          <w:pgMar w:top="1417" w:right="1134" w:bottom="1134" w:left="1134" w:header="708" w:footer="708" w:gutter="0"/>
          <w:cols w:space="708"/>
          <w:docGrid w:linePitch="360"/>
        </w:sectPr>
      </w:pPr>
      <w:r w:rsidRPr="004A5029">
        <w:rPr>
          <w:rFonts w:ascii="Times New Roman" w:hAnsi="Times New Roman" w:cs="Times New Roman"/>
          <w:color w:val="000000" w:themeColor="text1"/>
        </w:rPr>
        <w:br w:type="page"/>
      </w:r>
    </w:p>
    <w:p w14:paraId="07DB160D" w14:textId="77777777" w:rsidR="00446F27" w:rsidRPr="004A5029" w:rsidRDefault="00446F27" w:rsidP="00446F27">
      <w:pPr>
        <w:jc w:val="center"/>
        <w:rPr>
          <w:rFonts w:ascii="Times New Roman" w:hAnsi="Times New Roman" w:cs="Times New Roman"/>
          <w:b/>
          <w:color w:val="000000" w:themeColor="text1"/>
          <w:bdr w:val="none" w:sz="0" w:space="0" w:color="auto" w:frame="1"/>
        </w:rPr>
      </w:pPr>
      <w:r w:rsidRPr="004A5029">
        <w:rPr>
          <w:rFonts w:ascii="Times New Roman" w:hAnsi="Times New Roman" w:cs="Times New Roman"/>
          <w:b/>
          <w:color w:val="000000" w:themeColor="text1"/>
          <w:bdr w:val="none" w:sz="0" w:space="0" w:color="auto" w:frame="1"/>
        </w:rPr>
        <w:t>PARTE VI</w:t>
      </w:r>
    </w:p>
    <w:p w14:paraId="4C3774DE" w14:textId="77777777" w:rsidR="00446F27" w:rsidRPr="004A5029" w:rsidRDefault="00446F27" w:rsidP="00446F27">
      <w:pPr>
        <w:jc w:val="center"/>
        <w:rPr>
          <w:rFonts w:ascii="Times New Roman" w:eastAsia="Calibri" w:hAnsi="Times New Roman" w:cs="Times New Roman"/>
          <w:b/>
          <w:color w:val="000000" w:themeColor="text1"/>
        </w:rPr>
      </w:pPr>
      <w:r w:rsidRPr="004A5029">
        <w:rPr>
          <w:rFonts w:ascii="Times New Roman" w:hAnsi="Times New Roman" w:cs="Times New Roman"/>
          <w:b/>
          <w:color w:val="000000" w:themeColor="text1"/>
          <w:bdr w:val="none" w:sz="0" w:space="0" w:color="auto" w:frame="1"/>
        </w:rPr>
        <w:t>DELL’ESECUZIONE</w:t>
      </w:r>
    </w:p>
    <w:p w14:paraId="5854DE7F" w14:textId="77777777" w:rsidR="00446F27" w:rsidRPr="004A5029" w:rsidRDefault="00446F27" w:rsidP="00446F27">
      <w:pPr>
        <w:jc w:val="both"/>
        <w:rPr>
          <w:rFonts w:ascii="Times New Roman" w:eastAsia="Calibri" w:hAnsi="Times New Roman" w:cs="Times New Roman"/>
          <w:color w:val="000000" w:themeColor="text1"/>
        </w:rPr>
      </w:pPr>
    </w:p>
    <w:p w14:paraId="23C50055" w14:textId="77777777"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eastAsia="Calibri" w:hAnsi="Times New Roman" w:cs="Times New Roman"/>
          <w:b/>
          <w:color w:val="000000" w:themeColor="text1"/>
        </w:rPr>
        <w:t xml:space="preserve">Articolo 113. </w:t>
      </w:r>
    </w:p>
    <w:p w14:paraId="06253BAE" w14:textId="77777777" w:rsidR="00446F27" w:rsidRPr="004A5029" w:rsidRDefault="00446F27" w:rsidP="00446F27">
      <w:pPr>
        <w:jc w:val="both"/>
        <w:rPr>
          <w:rFonts w:ascii="Times New Roman" w:eastAsia="Calibri" w:hAnsi="Times New Roman" w:cs="Times New Roman"/>
          <w:b/>
          <w:color w:val="000000" w:themeColor="text1"/>
        </w:rPr>
      </w:pPr>
      <w:r w:rsidRPr="004A5029">
        <w:rPr>
          <w:rFonts w:ascii="Times New Roman" w:eastAsia="Calibri" w:hAnsi="Times New Roman" w:cs="Times New Roman"/>
          <w:i/>
          <w:iCs/>
          <w:color w:val="000000" w:themeColor="text1"/>
        </w:rPr>
        <w:t>Requisiti per l’esecuzione dell’appalto.</w:t>
      </w:r>
    </w:p>
    <w:p w14:paraId="24724416"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 Le stazioni appaltanti possono richiedere requisiti particolari per l'esecuzione del contratto, purché siano compatibili con il diritto europeo e con i principi di parità di trattamento, non discriminazione, trasparenza, proporzionalità, innovazione e siano precisati nel bando di gara, o nell'invito in caso di procedure senza bando o nel capitolato d'oneri. Dette condizioni possono attenere, in particolare, a esigenze sociali e ambientali.</w:t>
      </w:r>
    </w:p>
    <w:p w14:paraId="65025C2E"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In sede di offerta gli operatori economici dichiarano di accettare i requisiti particolari nell'ipotesi in cui risulteranno aggiudicatari.</w:t>
      </w:r>
    </w:p>
    <w:p w14:paraId="2CA7ADD4" w14:textId="77777777" w:rsidR="00446F27" w:rsidRPr="004A5029" w:rsidRDefault="00446F27" w:rsidP="00446F27">
      <w:pPr>
        <w:jc w:val="both"/>
        <w:rPr>
          <w:rFonts w:ascii="Times New Roman" w:eastAsia="Calibri" w:hAnsi="Times New Roman" w:cs="Times New Roman"/>
          <w:b/>
          <w:bCs/>
          <w:color w:val="000000" w:themeColor="text1"/>
        </w:rPr>
      </w:pPr>
    </w:p>
    <w:p w14:paraId="7D84F6AD" w14:textId="77777777" w:rsidR="00446F27" w:rsidRPr="004A5029" w:rsidRDefault="00446F27" w:rsidP="00446F27">
      <w:pPr>
        <w:pStyle w:val="NormaleWeb"/>
        <w:jc w:val="both"/>
        <w:rPr>
          <w:b/>
          <w:bCs/>
          <w:color w:val="000000" w:themeColor="text1"/>
          <w:sz w:val="22"/>
          <w:szCs w:val="22"/>
        </w:rPr>
      </w:pPr>
      <w:r w:rsidRPr="004A5029">
        <w:rPr>
          <w:b/>
          <w:bCs/>
          <w:color w:val="000000" w:themeColor="text1"/>
          <w:sz w:val="22"/>
          <w:szCs w:val="22"/>
        </w:rPr>
        <w:t>Articolo 114.</w:t>
      </w:r>
    </w:p>
    <w:p w14:paraId="78C91EAC" w14:textId="77777777" w:rsidR="00446F27" w:rsidRPr="004A5029" w:rsidRDefault="00446F27" w:rsidP="00446F27">
      <w:pPr>
        <w:pStyle w:val="NormaleWeb"/>
        <w:jc w:val="both"/>
        <w:rPr>
          <w:color w:val="000000" w:themeColor="text1"/>
          <w:sz w:val="22"/>
          <w:szCs w:val="22"/>
        </w:rPr>
      </w:pPr>
      <w:r w:rsidRPr="004A5029">
        <w:rPr>
          <w:bCs/>
          <w:i/>
          <w:color w:val="000000" w:themeColor="text1"/>
          <w:sz w:val="22"/>
          <w:szCs w:val="22"/>
        </w:rPr>
        <w:t>Direzione dei lavori e dell’esecuzione dei contratti.</w:t>
      </w:r>
    </w:p>
    <w:p w14:paraId="17B40476"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 L’esecuzione dei contratti aventi ad oggetto lavori, servizi o forniture è diretta dal RUP, che controlla i livelli di qualità delle prestazioni. Il RUP, nella fase dell'esecuzione, si avvale del direttore dell'esecuzione del contratto o del direttore dei lavori, del coordinatore in materia di salute e di sicurezza durante l'esecuzione previsto dal decreto legislativo 9 aprile 2008, n. 81, nonché del collaudatore oppure della commissione di collaudo o del verificatore della conformità e accerta il corretto ed effettivo svolgimento delle funzioni ad ognuno affidate.</w:t>
      </w:r>
    </w:p>
    <w:p w14:paraId="2966D13F"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Per la direzione e il controllo dell'esecuzione dei contratti relativi a lavori le stazioni appaltanti nominano, prima dell'avvio della procedura per l'affidamento, su proposta del RUP, un direttore dei lavori che può essere coadiuvato, in relazione alla complessità dell'intervento, da un ufficio di direzione dei lavori, costituito da uno o più direttori operativi e da ispettori di cantiere, ed eventualmente dalle figure previste nell’allegato I.9.</w:t>
      </w:r>
    </w:p>
    <w:p w14:paraId="4EF50BCB" w14:textId="77777777" w:rsidR="00446F27" w:rsidRPr="004A5029" w:rsidRDefault="00446F27" w:rsidP="00446F27">
      <w:pPr>
        <w:pStyle w:val="Default"/>
        <w:spacing w:after="160" w:line="259" w:lineRule="auto"/>
        <w:jc w:val="both"/>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 xml:space="preserve">3. Il direttore dei lavori, con l'ufficio di direzione dei lavori, ove costituito, è preposto al controllo tecnico, contabile e amministrativo dell'esecuzione dell'intervento anche mediante metodi e strumenti di gestione informativa digitale di cui all’allegato I.9, se previsti, per eseguire i lavori a regola d'arte e in conformità al progetto e al contratto. </w:t>
      </w:r>
    </w:p>
    <w:p w14:paraId="54219C72" w14:textId="5A8549A4" w:rsidR="00446F27" w:rsidRPr="004A5029" w:rsidRDefault="00446F27" w:rsidP="00446F27">
      <w:pPr>
        <w:pStyle w:val="Default"/>
        <w:spacing w:after="160" w:line="259" w:lineRule="auto"/>
        <w:jc w:val="both"/>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 xml:space="preserve">4. Nel caso di contratti di importo non superiore a </w:t>
      </w:r>
      <w:r w:rsidR="00C353A3" w:rsidRPr="004A5029">
        <w:rPr>
          <w:rFonts w:ascii="Times New Roman" w:hAnsi="Times New Roman" w:cs="Times New Roman"/>
          <w:color w:val="000000" w:themeColor="text1"/>
          <w:sz w:val="22"/>
          <w:szCs w:val="22"/>
        </w:rPr>
        <w:t>1</w:t>
      </w:r>
      <w:r w:rsidRPr="004A5029">
        <w:rPr>
          <w:rFonts w:ascii="Times New Roman" w:hAnsi="Times New Roman" w:cs="Times New Roman"/>
          <w:color w:val="000000" w:themeColor="text1"/>
          <w:sz w:val="22"/>
          <w:szCs w:val="22"/>
        </w:rPr>
        <w:t xml:space="preserve"> milione di euro e comunque in assenza di lavori complessi e di rischi di interferenze, il direttore dei lavori, se in possesso dei requisiti richiesti dalla normativa vigente sulla sicurezza, svolge anche le funzioni di coordinatore per la sicurezza in fase di esecuzione. Se il direttore dei lavori non può svolgere tali funzioni, la stazione appaltante designa almeno un direttore operativo in possesso dei requisiti, individuato con le modalità previste dal codice. In tal caso il coordinatore per la sicurezza in fase di esecuzione assume la responsabilità per le funzioni ad esso assegnate dalla normativa sulla sicurezza, operando in piena autonomia.</w:t>
      </w:r>
    </w:p>
    <w:p w14:paraId="7B210C6E" w14:textId="56501593" w:rsidR="00446F27" w:rsidRPr="004A5029" w:rsidRDefault="00446F27" w:rsidP="00446F27">
      <w:pPr>
        <w:pStyle w:val="Default"/>
        <w:spacing w:after="160" w:line="259" w:lineRule="auto"/>
        <w:jc w:val="both"/>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 xml:space="preserve">5. L’allegato II.14 stabilisce le attività e i compiti demandati al direttore dei lavori e agli assistenti con funzioni di direttori operativi e di ispettori di cantiere e, se presenti, delle figure di cui all’allegato I.9. In sede di prima applicazione del codice, l’allegato </w:t>
      </w:r>
      <w:r w:rsidR="002C470F" w:rsidRPr="004A5029">
        <w:rPr>
          <w:rFonts w:ascii="Times New Roman" w:hAnsi="Times New Roman" w:cs="Times New Roman"/>
          <w:b/>
          <w:bCs/>
          <w:color w:val="000000" w:themeColor="text1"/>
          <w:sz w:val="22"/>
          <w:szCs w:val="22"/>
        </w:rPr>
        <w:t>II.14</w:t>
      </w:r>
      <w:r w:rsidR="002C470F" w:rsidRPr="004A5029">
        <w:rPr>
          <w:rFonts w:ascii="Times New Roman" w:hAnsi="Times New Roman" w:cs="Times New Roman"/>
          <w:color w:val="000000" w:themeColor="text1"/>
          <w:sz w:val="22"/>
          <w:szCs w:val="22"/>
        </w:rPr>
        <w:t xml:space="preserve"> </w:t>
      </w:r>
      <w:r w:rsidRPr="004A5029">
        <w:rPr>
          <w:rFonts w:ascii="Times New Roman" w:hAnsi="Times New Roman" w:cs="Times New Roman"/>
          <w:color w:val="000000" w:themeColor="text1"/>
          <w:sz w:val="22"/>
          <w:szCs w:val="22"/>
        </w:rPr>
        <w:t xml:space="preserve">è abrogato a decorrere dalla data di entrata in vigore di un corrispondente regolamento </w:t>
      </w:r>
      <w:r w:rsidR="00364325" w:rsidRPr="004A5029">
        <w:rPr>
          <w:rFonts w:ascii="Times New Roman" w:hAnsi="Times New Roman" w:cs="Times New Roman"/>
          <w:color w:val="000000" w:themeColor="text1"/>
          <w:sz w:val="22"/>
          <w:szCs w:val="22"/>
        </w:rPr>
        <w:t>adottato</w:t>
      </w:r>
      <w:r w:rsidRPr="004A5029">
        <w:rPr>
          <w:rFonts w:ascii="Times New Roman" w:hAnsi="Times New Roman" w:cs="Times New Roman"/>
          <w:color w:val="000000" w:themeColor="text1"/>
          <w:sz w:val="22"/>
          <w:szCs w:val="22"/>
        </w:rPr>
        <w:t xml:space="preserve"> ai sensi dell’articolo 17, comma 3, della legge 23 agosto 1988, n. 400, con decreto del Ministro delle infrastrutture e dei trasporti, sentito il Consiglio superiore dei lavori pubblici, che lo sostituisce integralmente anche in qualità di allegato al codice.</w:t>
      </w:r>
    </w:p>
    <w:p w14:paraId="30853198" w14:textId="37B0B8D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Salvo che non sia diversamente previsto nel bando di gara per la progettazione, le stazioni appaltanti che sono amministrazioni pubbliche affidano l’attività di direzione dei lavori ai propri dipendenti; in mancanza, la affidano ai dipendenti di centrali di committenza o di altre amministrazioni pubbliche, previo accordo ai sensi dell’articolo 15 della legge 7 agosto 1990, n. 241 o intesa o convenzione di cui all'articolo 30 del </w:t>
      </w:r>
      <w:r w:rsidR="00E9136F" w:rsidRPr="004A5029">
        <w:rPr>
          <w:rFonts w:ascii="Times New Roman" w:hAnsi="Times New Roman" w:cs="Times New Roman"/>
          <w:b/>
          <w:bCs/>
          <w:color w:val="000000" w:themeColor="text1"/>
        </w:rPr>
        <w:t>testo unico delle leggi sull'ordinamento degli enti locali</w:t>
      </w:r>
      <w:r w:rsidR="00BD4B50" w:rsidRPr="004A5029">
        <w:rPr>
          <w:rStyle w:val="Nessuno"/>
          <w:rFonts w:ascii="Times New Roman" w:hAnsi="Times New Roman" w:cs="Times New Roman"/>
          <w:b/>
          <w:bCs/>
          <w:color w:val="000000" w:themeColor="text1"/>
        </w:rPr>
        <w:t>,</w:t>
      </w:r>
      <w:r w:rsidR="00E9136F" w:rsidRPr="004A5029">
        <w:rPr>
          <w:rFonts w:ascii="Times New Roman" w:hAnsi="Times New Roman" w:cs="Times New Roman"/>
          <w:b/>
          <w:bCs/>
          <w:color w:val="000000" w:themeColor="text1"/>
        </w:rPr>
        <w:t xml:space="preserve"> di cui al</w:t>
      </w:r>
      <w:r w:rsidR="00E9136F" w:rsidRPr="004A5029">
        <w:rPr>
          <w:rFonts w:ascii="Verdana" w:hAnsi="Verdana"/>
          <w:b/>
          <w:bCs/>
          <w:color w:val="000000" w:themeColor="text1"/>
          <w:sz w:val="18"/>
          <w:szCs w:val="18"/>
          <w:shd w:val="clear" w:color="auto" w:fill="FFFFFF"/>
        </w:rPr>
        <w:t xml:space="preserve"> </w:t>
      </w:r>
      <w:r w:rsidRPr="004A5029">
        <w:rPr>
          <w:rFonts w:ascii="Times New Roman" w:hAnsi="Times New Roman" w:cs="Times New Roman"/>
          <w:color w:val="000000" w:themeColor="text1"/>
        </w:rPr>
        <w:t xml:space="preserve">decreto legislativo 18 agosto 2000, n. 267. Qualora le amministrazioni di cui al </w:t>
      </w:r>
      <w:r w:rsidR="004B7F60" w:rsidRPr="004A5029">
        <w:rPr>
          <w:rFonts w:ascii="Times New Roman" w:hAnsi="Times New Roman" w:cs="Times New Roman"/>
          <w:color w:val="000000" w:themeColor="text1"/>
        </w:rPr>
        <w:t xml:space="preserve">primo </w:t>
      </w:r>
      <w:r w:rsidRPr="004A5029">
        <w:rPr>
          <w:rFonts w:ascii="Times New Roman" w:hAnsi="Times New Roman" w:cs="Times New Roman"/>
          <w:color w:val="000000" w:themeColor="text1"/>
        </w:rPr>
        <w:t xml:space="preserve">periodo non dispongano delle competenze o del personale necessario ovvero nel caso di lavori complessi o che richiedano professionalità specifiche, ovvero qualora la stazione appaltante non sia una amministrazione pubblica, l’incarico è affidato con le modalità previste dal codice. </w:t>
      </w:r>
    </w:p>
    <w:p w14:paraId="5810826D"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Per i contratti aventi ad oggetto servizi e forniture le funzioni e i compiti del direttore dell'esecuzione sono svolti, di norma, dal RUP, che provvede, anche con l’ausilio di uno o più direttori operativi individuati dalla stazione appaltante in relazione alla complessità dell’appalto, al coordinamento, alla direzione e al controllo tecnico contabile e amministrativo dell'esecuzione del contratto anche, qualora previsto, mediante metodi e strumenti di gestione informativa digitale di cui all’allegato I.9, assicurando la regolare esecuzione da parte dell'esecutore, in conformità ai documenti contrattuali. </w:t>
      </w:r>
    </w:p>
    <w:p w14:paraId="5C011A51"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8. L’a</w:t>
      </w:r>
      <w:r w:rsidRPr="004A5029">
        <w:rPr>
          <w:rFonts w:ascii="Times New Roman" w:hAnsi="Times New Roman" w:cs="Times New Roman"/>
          <w:bCs/>
          <w:color w:val="000000" w:themeColor="text1"/>
        </w:rPr>
        <w:t>llegato II.14</w:t>
      </w:r>
      <w:r w:rsidRPr="004A5029">
        <w:rPr>
          <w:rFonts w:ascii="Times New Roman" w:hAnsi="Times New Roman" w:cs="Times New Roman"/>
          <w:color w:val="000000" w:themeColor="text1"/>
        </w:rPr>
        <w:t xml:space="preserve"> individua i contratti di servizi e forniture di particolare importanza, per qualità o importo delle prestazioni, per cui il direttore dell’esecuzione deve essere diverso dal RUP.</w:t>
      </w:r>
    </w:p>
    <w:p w14:paraId="6E168F53"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9. Qualora le stazioni appaltanti non dispongano al loro interno delle competenze o del personale necessario ad espletare l’attività di direzione dell’esecuzione, si applica il comma 6.</w:t>
      </w:r>
    </w:p>
    <w:p w14:paraId="7EB85DEF" w14:textId="77777777" w:rsidR="00446F27" w:rsidRPr="004A5029" w:rsidRDefault="00446F27" w:rsidP="00446F27">
      <w:pPr>
        <w:pStyle w:val="Default"/>
        <w:spacing w:after="160" w:line="259" w:lineRule="auto"/>
        <w:jc w:val="both"/>
        <w:rPr>
          <w:rFonts w:ascii="Times New Roman" w:hAnsi="Times New Roman" w:cs="Times New Roman"/>
          <w:color w:val="000000" w:themeColor="text1"/>
          <w:sz w:val="22"/>
          <w:szCs w:val="22"/>
        </w:rPr>
      </w:pPr>
      <w:r w:rsidRPr="004A5029">
        <w:rPr>
          <w:rFonts w:ascii="Times New Roman" w:hAnsi="Times New Roman" w:cs="Times New Roman"/>
          <w:color w:val="000000" w:themeColor="text1"/>
          <w:sz w:val="22"/>
          <w:szCs w:val="22"/>
        </w:rPr>
        <w:t>10. Per i contratti di servizi e forniture individuati ai sensi del comma 8, la stazione appaltante, su indicazione del direttore dell'esecuzione, sentito il RUP, può nominare uno o più assistenti con funzioni di direttore operativo per svolgere i compiti e coadiuvare il direttore dell’esecuzione secondo quanto previsto dall’</w:t>
      </w:r>
      <w:r w:rsidRPr="004A5029">
        <w:rPr>
          <w:rFonts w:ascii="Times New Roman" w:hAnsi="Times New Roman" w:cs="Times New Roman"/>
          <w:bCs/>
          <w:color w:val="000000" w:themeColor="text1"/>
          <w:sz w:val="22"/>
          <w:szCs w:val="22"/>
        </w:rPr>
        <w:t>allegato II.14.</w:t>
      </w:r>
    </w:p>
    <w:p w14:paraId="314EE24A" w14:textId="77777777" w:rsidR="00446F27" w:rsidRPr="004A5029" w:rsidRDefault="00446F27" w:rsidP="00446F27">
      <w:pPr>
        <w:rPr>
          <w:rFonts w:ascii="Times New Roman" w:hAnsi="Times New Roman" w:cs="Times New Roman"/>
          <w:color w:val="000000" w:themeColor="text1"/>
        </w:rPr>
      </w:pPr>
    </w:p>
    <w:p w14:paraId="41342F85"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115.</w:t>
      </w:r>
    </w:p>
    <w:p w14:paraId="633EF92A"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i/>
          <w:color w:val="000000" w:themeColor="text1"/>
          <w:lang w:eastAsia="it-IT"/>
        </w:rPr>
        <w:t>Controllo tecnico contabile e amministrativo.</w:t>
      </w:r>
    </w:p>
    <w:p w14:paraId="5372AC2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Con 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sono individuate le modalità con cui il direttore dei lavori effettua l'attività di direzione, controllo e contabilità dei lavori mediante le piattaforme digitali di cui all’articolo 25, in modo da garantirne trasparenza e semplificazione.</w:t>
      </w:r>
    </w:p>
    <w:p w14:paraId="3F3D1290" w14:textId="514C761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L’esecutore dei lavori si uniforma alle disposizioni e agli ordini di servizio del direttore dei lavori senza poterne sospendere o ritardare il regolare sviluppo. Le riserve </w:t>
      </w:r>
      <w:r w:rsidR="00C87027" w:rsidRPr="004A5029">
        <w:rPr>
          <w:rFonts w:ascii="Times New Roman" w:hAnsi="Times New Roman" w:cs="Times New Roman"/>
          <w:color w:val="000000" w:themeColor="text1"/>
        </w:rPr>
        <w:t>sono</w:t>
      </w:r>
      <w:r w:rsidRPr="004A5029">
        <w:rPr>
          <w:rFonts w:ascii="Times New Roman" w:hAnsi="Times New Roman" w:cs="Times New Roman"/>
          <w:color w:val="000000" w:themeColor="text1"/>
        </w:rPr>
        <w:t xml:space="preserve"> iscritte con le modalità e nei termini previsti dall’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a pena di decadenza dal diritto di fare valere, in qualunque tempo e modo, pretese relative ai fatti e alle contabilizzazioni risultanti dall’atto contabile. </w:t>
      </w:r>
    </w:p>
    <w:p w14:paraId="036FBCFD" w14:textId="7E303EE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Nei contratti di servizi e forniture le modalità dell’attività di direzione, controllo e contabilità demandata al RUP o al direttore dell’esecuzione, se nominato, sono individuate con il capitolato speciale o, in mancanza, con 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secondo criteri di trasparenza e semplificazione e prevedono l’uso delle piattaforme digitali di cui all’articolo 25. </w:t>
      </w:r>
    </w:p>
    <w:p w14:paraId="7D71612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Nei contratti di cui al comma 3 il capitolato speciale contiene anche la disciplina delle contestazioni in corso di esecuzione, fatta salva l’iscrizione delle riserve secondo quanto previsto al comma 2, secondo periodo. </w:t>
      </w:r>
    </w:p>
    <w:p w14:paraId="606133D7" w14:textId="436F1D43"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5. Le piattaforme digitali di cui ai commi 1 e 3</w:t>
      </w:r>
      <w:r w:rsidR="004B7F60"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garantiscono il collegamento con la</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Banca dati nazionale dei contratti pubblici di cui all’articolo</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23, per l’invio delle informazioni richieste dall’ANAC ai sensi dell’articolo 222, comma 9.</w:t>
      </w:r>
    </w:p>
    <w:p w14:paraId="76614669" w14:textId="23067B96" w:rsidR="00446F27" w:rsidRPr="004A5029" w:rsidRDefault="00446F27" w:rsidP="00446F27">
      <w:pPr>
        <w:rPr>
          <w:rFonts w:ascii="Times New Roman" w:eastAsia="Times New Roman" w:hAnsi="Times New Roman" w:cs="Times New Roman"/>
          <w:bCs/>
          <w:color w:val="000000" w:themeColor="text1"/>
          <w:lang w:eastAsia="it-IT"/>
        </w:rPr>
      </w:pPr>
    </w:p>
    <w:p w14:paraId="4ABFFA0A" w14:textId="77777777" w:rsidR="00600CEA" w:rsidRPr="004A5029" w:rsidRDefault="00600CEA" w:rsidP="00446F27">
      <w:pPr>
        <w:rPr>
          <w:rFonts w:ascii="Times New Roman" w:eastAsia="Times New Roman" w:hAnsi="Times New Roman" w:cs="Times New Roman"/>
          <w:bCs/>
          <w:color w:val="000000" w:themeColor="text1"/>
          <w:lang w:eastAsia="it-IT"/>
        </w:rPr>
      </w:pPr>
    </w:p>
    <w:p w14:paraId="1A238C18" w14:textId="77777777" w:rsidR="00446F27" w:rsidRPr="004A5029" w:rsidRDefault="00446F27" w:rsidP="00446F27">
      <w:pP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116.</w:t>
      </w:r>
    </w:p>
    <w:p w14:paraId="78CCF6A4" w14:textId="77777777" w:rsidR="00446F27" w:rsidRPr="004A5029" w:rsidRDefault="00446F27" w:rsidP="00446F27">
      <w:pPr>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i/>
          <w:color w:val="000000" w:themeColor="text1"/>
          <w:lang w:eastAsia="it-IT"/>
        </w:rPr>
        <w:t>Collaudo e verifica di conformità.</w:t>
      </w:r>
    </w:p>
    <w:p w14:paraId="6F79686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I contratti sono soggetti a collaudo per i lavori e a verifica di conformità per i servizi e per le forniture per certificare il rispetto delle caratteristiche tecniche, economiche e qualitative dei lavori e delle prestazioni, nonché degli obiettivi e dei tempi, in conformità delle previsioni e pattuizioni contrattuali.</w:t>
      </w:r>
    </w:p>
    <w:p w14:paraId="750253D2" w14:textId="7C90B58E"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Il collaudo finale o la verifica di conformità dev</w:t>
      </w:r>
      <w:r w:rsidR="00FE2619" w:rsidRPr="004A5029">
        <w:rPr>
          <w:rFonts w:ascii="Times New Roman" w:eastAsia="Times New Roman" w:hAnsi="Times New Roman" w:cs="Times New Roman"/>
          <w:color w:val="000000" w:themeColor="text1"/>
          <w:lang w:eastAsia="it-IT"/>
        </w:rPr>
        <w:t>e</w:t>
      </w:r>
      <w:r w:rsidRPr="004A5029">
        <w:rPr>
          <w:rFonts w:ascii="Times New Roman" w:eastAsia="Times New Roman" w:hAnsi="Times New Roman" w:cs="Times New Roman"/>
          <w:color w:val="000000" w:themeColor="text1"/>
          <w:lang w:eastAsia="it-IT"/>
        </w:rPr>
        <w:t xml:space="preserve"> essere completat</w:t>
      </w:r>
      <w:r w:rsidR="00FE2619" w:rsidRPr="004A5029">
        <w:rPr>
          <w:rFonts w:ascii="Times New Roman" w:eastAsia="Times New Roman" w:hAnsi="Times New Roman" w:cs="Times New Roman"/>
          <w:color w:val="000000" w:themeColor="text1"/>
          <w:lang w:eastAsia="it-IT"/>
        </w:rPr>
        <w:t>o</w:t>
      </w:r>
      <w:r w:rsidRPr="004A5029">
        <w:rPr>
          <w:rFonts w:ascii="Times New Roman" w:eastAsia="Times New Roman" w:hAnsi="Times New Roman" w:cs="Times New Roman"/>
          <w:color w:val="000000" w:themeColor="text1"/>
          <w:lang w:eastAsia="it-IT"/>
        </w:rPr>
        <w:t xml:space="preserve"> non oltre sei mesi dall'ultimazione dei lavori o delle prestazioni, salvi i casi, individuati dall’allegato II.14, di particolare complessità, per i quali il termine può essere elevato sino ad un anno. Nella lettera d’incarico, in presenza di opere o servizi di limitata complessità, i tempi possono essere ridotti. Il certificato di collaudo ha carattere provvisorio e assume carattere definitivo dopo due anni dalla sua emissione. Decorso tale termine, il collaudo si intende tacitamente approvato ancorché l'atto formale di approvazione non sia stato emesso entro due mesi dalla scadenza del medesimo termine. </w:t>
      </w:r>
    </w:p>
    <w:p w14:paraId="18EBB282" w14:textId="77777777"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Salvo quanto disposto dall'</w:t>
      </w:r>
      <w:hyperlink r:id="rId31">
        <w:r w:rsidRPr="004A5029">
          <w:rPr>
            <w:rFonts w:ascii="Times New Roman" w:eastAsia="Times New Roman" w:hAnsi="Times New Roman" w:cs="Times New Roman"/>
            <w:color w:val="000000" w:themeColor="text1"/>
            <w:lang w:eastAsia="it-IT"/>
          </w:rPr>
          <w:t>articolo 1669 del codice civile</w:t>
        </w:r>
      </w:hyperlink>
      <w:r w:rsidRPr="004A5029">
        <w:rPr>
          <w:rFonts w:ascii="Times New Roman" w:eastAsia="Times New Roman" w:hAnsi="Times New Roman" w:cs="Times New Roman"/>
          <w:color w:val="000000" w:themeColor="text1"/>
          <w:lang w:eastAsia="it-IT"/>
        </w:rPr>
        <w:t xml:space="preserve">, l'appaltatore risponde per la difformità e i vizi dell'opera, ancorché riconoscibili, purché denunciati dalla stazione appaltante prima che il certificato di collaudo assuma carattere definitivo. </w:t>
      </w:r>
    </w:p>
    <w:p w14:paraId="6679E72D" w14:textId="76560830"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4. </w:t>
      </w:r>
      <w:r w:rsidRPr="004A5029">
        <w:rPr>
          <w:rFonts w:ascii="Times New Roman" w:hAnsi="Times New Roman" w:cs="Times New Roman"/>
          <w:color w:val="000000" w:themeColor="text1"/>
        </w:rPr>
        <w:t>P</w:t>
      </w:r>
      <w:r w:rsidRPr="004A5029">
        <w:rPr>
          <w:rFonts w:ascii="Times New Roman" w:eastAsia="Times New Roman" w:hAnsi="Times New Roman" w:cs="Times New Roman"/>
          <w:color w:val="000000" w:themeColor="text1"/>
          <w:lang w:eastAsia="it-IT"/>
        </w:rPr>
        <w:t>er effettuare le attività di collaudo dei lavori le stazioni appaltanti che sono amministrazioni pubbliche nominano da uno a tre collaudatori scelti tra i propri dipendenti o tra i dipendenti di altre amministrazioni pubbliche, con qualificazione rapportata alla tipologia e caratteristica del contratto, in possesso dei requisiti di moralità, competenza e professionalità. I collaudatori dipendenti della stessa amministrazione appartengono a strutture funzionalmente indipendenti. Il compenso spettante per l'attività di collaudo è contenuto per i dipendenti della stessa amministrazione nell'ambito dell'incentivo di cui all'articolo 45, mentre per i dipendenti di altre amministrazioni pubbliche è determinato ai sensi della normativa applicabile alle stazioni appaltanti e nel rispetto delle disposizioni di cui all'articolo 61, comma 9, del decreto-legge 25 giugno 2008, n. 112, convertito, con modificazioni, dalla legge 6 agosto 2008, n. 133. Tra i dipendenti della stazione appaltante oppure tra i dipendenti delle altre amministrazioni è individuato anche il collaudatore delle strutture per la redazione del collaudo statico. Per accertata carenza nell'organico della stazione appaltante, oppure di altre amministrazioni pubbliche, o nei casi di particolare complessità tecnica</w:t>
      </w:r>
      <w:r w:rsidR="00293A08" w:rsidRPr="004A5029">
        <w:rPr>
          <w:rFonts w:ascii="Times New Roman" w:eastAsia="Times New Roman" w:hAnsi="Times New Roman" w:cs="Times New Roman"/>
          <w:color w:val="000000" w:themeColor="text1"/>
          <w:lang w:eastAsia="it-IT"/>
        </w:rPr>
        <w:t>,</w:t>
      </w:r>
      <w:r w:rsidRPr="004A5029">
        <w:rPr>
          <w:rFonts w:ascii="Times New Roman" w:eastAsia="Times New Roman" w:hAnsi="Times New Roman" w:cs="Times New Roman"/>
          <w:color w:val="000000" w:themeColor="text1"/>
          <w:lang w:eastAsia="it-IT"/>
        </w:rPr>
        <w:t xml:space="preserve"> </w:t>
      </w:r>
      <w:r w:rsidRPr="004A5029">
        <w:rPr>
          <w:rFonts w:ascii="Times New Roman" w:hAnsi="Times New Roman" w:cs="Times New Roman"/>
          <w:color w:val="000000" w:themeColor="text1"/>
        </w:rPr>
        <w:t>la stazione appaltante affida l’incarico con le modalità previste dal codice.</w:t>
      </w:r>
    </w:p>
    <w:p w14:paraId="0C5E4847" w14:textId="77777777"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5. </w:t>
      </w:r>
      <w:r w:rsidRPr="004A5029">
        <w:rPr>
          <w:rFonts w:ascii="Times New Roman" w:hAnsi="Times New Roman" w:cs="Times New Roman"/>
          <w:color w:val="000000" w:themeColor="text1"/>
        </w:rPr>
        <w:t xml:space="preserve">Per i contratti di servizi e forniture la verifica di conformità è effettuata dal RUP o, se nominato, dal direttore dell’esecuzione. </w:t>
      </w:r>
      <w:r w:rsidRPr="004A5029">
        <w:rPr>
          <w:rFonts w:ascii="Times New Roman" w:eastAsia="Times New Roman" w:hAnsi="Times New Roman" w:cs="Times New Roman"/>
          <w:color w:val="000000" w:themeColor="text1"/>
          <w:lang w:eastAsia="it-IT"/>
        </w:rPr>
        <w:t xml:space="preserve">Per servizi e forniture caratterizzati da elevato contenuto tecnologico oppure da elevata complessità o innovazione, le stazioni appaltanti possono prevedere la nomina di uno o più verificatori della conformità diversi dal RUP o dal direttore dell’esecuzione del contratto. Per la nomina e il compenso dei verificatori si applica il comma 4. </w:t>
      </w:r>
    </w:p>
    <w:p w14:paraId="6A7DB4DC" w14:textId="77777777" w:rsidR="00446F27" w:rsidRPr="004A5029" w:rsidRDefault="00446F27" w:rsidP="00446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6. Non possono essere affidati incarichi di collaudo e di verifica di conformità:</w:t>
      </w:r>
    </w:p>
    <w:p w14:paraId="4633ECB0" w14:textId="00320BF8" w:rsidR="00446F27" w:rsidRPr="004A5029" w:rsidRDefault="00446F27" w:rsidP="00446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a) ai magistrati ordinari, amministrativi e contabili, e agli avvocati e procuratori dello Stato, in attività di servizio e, per appalti di lavori pubblici di importo pari o superiore alle soglie di rilevanza </w:t>
      </w:r>
      <w:r w:rsidR="004B7F60" w:rsidRPr="004A5029">
        <w:rPr>
          <w:rFonts w:ascii="Times New Roman" w:eastAsia="Times New Roman" w:hAnsi="Times New Roman" w:cs="Times New Roman"/>
          <w:color w:val="000000" w:themeColor="text1"/>
          <w:lang w:eastAsia="it-IT"/>
        </w:rPr>
        <w:t>europea</w:t>
      </w:r>
      <w:r w:rsidR="00293A08" w:rsidRPr="004A5029">
        <w:rPr>
          <w:rFonts w:ascii="Times New Roman" w:eastAsia="Times New Roman" w:hAnsi="Times New Roman" w:cs="Times New Roman"/>
          <w:color w:val="000000" w:themeColor="text1"/>
          <w:lang w:eastAsia="it-IT"/>
        </w:rPr>
        <w:t>,</w:t>
      </w:r>
      <w:r w:rsidRPr="004A5029">
        <w:rPr>
          <w:rFonts w:ascii="Times New Roman" w:eastAsia="Times New Roman" w:hAnsi="Times New Roman" w:cs="Times New Roman"/>
          <w:color w:val="000000" w:themeColor="text1"/>
          <w:lang w:eastAsia="it-IT"/>
        </w:rPr>
        <w:t xml:space="preserve"> a quelli in quiescenza nella regione o nelle regioni dove è stata svolta l'attività di servizio; </w:t>
      </w:r>
    </w:p>
    <w:p w14:paraId="017E22BE" w14:textId="635BF5B8" w:rsidR="00446F27" w:rsidRPr="004A5029" w:rsidRDefault="00446F27" w:rsidP="00446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ai dipendenti appartenenti ai ruoli della pubblica amministrazione in servizio oppure in trattamento di quiescenza, per appalti di lavori pubblici di importo pari o superiore alle soglie di rilevanza </w:t>
      </w:r>
      <w:r w:rsidR="004B7F60" w:rsidRPr="004A5029">
        <w:rPr>
          <w:rFonts w:ascii="Times New Roman" w:eastAsia="Times New Roman" w:hAnsi="Times New Roman" w:cs="Times New Roman"/>
          <w:color w:val="000000" w:themeColor="text1"/>
          <w:lang w:eastAsia="it-IT"/>
        </w:rPr>
        <w:t>europea</w:t>
      </w:r>
      <w:r w:rsidRPr="004A5029">
        <w:rPr>
          <w:rFonts w:ascii="Times New Roman" w:eastAsia="Times New Roman" w:hAnsi="Times New Roman" w:cs="Times New Roman"/>
          <w:color w:val="000000" w:themeColor="text1"/>
          <w:lang w:eastAsia="it-IT"/>
        </w:rPr>
        <w:t xml:space="preserve"> ubicati nella regione o nelle regioni dove è svolta per i dipendenti in servizio oppure è stata svolta per quelli in quiescenza, l'attività di servizio; </w:t>
      </w:r>
    </w:p>
    <w:p w14:paraId="52396A52" w14:textId="77777777" w:rsidR="00446F27" w:rsidRPr="004A5029" w:rsidRDefault="00446F27" w:rsidP="00446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c) a coloro che nel triennio antecedente hanno avuto rapporti di lavoro autonomo o subordinato con gli operatori economici a qualsiasi titolo coinvolti nell'esecuzione del contratto; </w:t>
      </w:r>
    </w:p>
    <w:p w14:paraId="7F92CD2B" w14:textId="77777777" w:rsidR="00446F27" w:rsidRPr="004A5029" w:rsidRDefault="00446F27" w:rsidP="00446F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d) a coloro che hanno comunque svolto o svolgono attività di controllo, verifica, progettazione, approvazione, autorizzazione, vigilanza o direzione sul contratto da collaudare;</w:t>
      </w:r>
    </w:p>
    <w:p w14:paraId="2C1EFABA" w14:textId="77777777"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e) a coloro che hanno partecipato alla procedura di gara. </w:t>
      </w:r>
    </w:p>
    <w:p w14:paraId="2C46D9CE" w14:textId="77777777"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7. </w:t>
      </w:r>
      <w:r w:rsidRPr="004A5029">
        <w:rPr>
          <w:rFonts w:ascii="Times New Roman" w:eastAsia="Times New Roman" w:hAnsi="Times New Roman" w:cs="Times New Roman"/>
          <w:color w:val="000000" w:themeColor="text1"/>
        </w:rPr>
        <w:t>Le modalità tecniche e i tempi di svolgimento del collaudo, nonché i casi in cui il certificato di collaudo dei lavori e il certificato di verifica di conformità possono essere sostituiti dal certificato di regolare esecuzione,</w:t>
      </w:r>
      <w:r w:rsidRPr="004A5029">
        <w:rPr>
          <w:rFonts w:ascii="Times New Roman" w:eastAsia="Calibri" w:hAnsi="Times New Roman" w:cs="Times New Roman"/>
          <w:color w:val="000000" w:themeColor="text1"/>
        </w:rPr>
        <w:t xml:space="preserve"> </w:t>
      </w:r>
      <w:r w:rsidRPr="004A5029">
        <w:rPr>
          <w:rFonts w:ascii="Times New Roman" w:eastAsia="Times New Roman" w:hAnsi="Times New Roman" w:cs="Times New Roman"/>
          <w:color w:val="000000" w:themeColor="text1"/>
        </w:rPr>
        <w:t>sono disciplinati dall’</w:t>
      </w:r>
      <w:r w:rsidRPr="004A5029">
        <w:rPr>
          <w:rFonts w:ascii="Times New Roman" w:eastAsia="Times New Roman" w:hAnsi="Times New Roman" w:cs="Times New Roman"/>
          <w:bCs/>
          <w:color w:val="000000" w:themeColor="text1"/>
        </w:rPr>
        <w:t>allegato II.14</w:t>
      </w:r>
      <w:r w:rsidRPr="004A5029">
        <w:rPr>
          <w:rFonts w:ascii="Times New Roman" w:eastAsia="Times New Roman" w:hAnsi="Times New Roman" w:cs="Times New Roman"/>
          <w:color w:val="000000" w:themeColor="text1"/>
        </w:rPr>
        <w:t>.</w:t>
      </w:r>
    </w:p>
    <w:p w14:paraId="307A448A" w14:textId="77777777" w:rsidR="00446F27" w:rsidRPr="004A5029" w:rsidRDefault="00446F27" w:rsidP="00446F2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8. Le modalità tecniche e i tempi della verifica di conformità sono stabiliti dalla stazione appaltante nel capitolato. La cadenza delle verifiche può non coincidere con il pagamento periodico delle prestazioni in modo tale da non ostacolare il regolare pagamento in favore degli operatori economici. </w:t>
      </w:r>
    </w:p>
    <w:p w14:paraId="6FE5B5C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9. Salvo motivate esigenze, le attività di verifica di conformità sono svolte durante l’esecuzione dei contratti a prestazioni periodiche o continuative. </w:t>
      </w:r>
    </w:p>
    <w:p w14:paraId="0A5E8CED" w14:textId="77777777"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10. Al termine del lavoro sono redatti: </w:t>
      </w:r>
    </w:p>
    <w:p w14:paraId="475027D6" w14:textId="14C71683"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per i beni del patrimonio culturale</w:t>
      </w:r>
      <w:r w:rsidR="00AA3B36" w:rsidRPr="004A5029">
        <w:rPr>
          <w:rFonts w:ascii="Times New Roman" w:eastAsia="Times New Roman" w:hAnsi="Times New Roman" w:cs="Times New Roman"/>
          <w:b/>
          <w:bCs/>
          <w:color w:val="000000" w:themeColor="text1"/>
          <w:lang w:eastAsia="it-IT"/>
        </w:rPr>
        <w:t>,</w:t>
      </w:r>
      <w:r w:rsidRPr="004A5029">
        <w:rPr>
          <w:rFonts w:ascii="Times New Roman" w:eastAsia="Times New Roman" w:hAnsi="Times New Roman" w:cs="Times New Roman"/>
          <w:color w:val="000000" w:themeColor="text1"/>
          <w:lang w:eastAsia="it-IT"/>
        </w:rPr>
        <w:t xml:space="preserve"> un consuntivo scientifico predisposto dal direttore dei lavori o, nel caso di interventi su beni culturali mobili, superfici decorate di beni architettonici e materiali storicizzati di beni immobili di interesse storico </w:t>
      </w:r>
      <w:r w:rsidRPr="00BD54D8">
        <w:rPr>
          <w:rFonts w:ascii="Times New Roman" w:eastAsia="Times New Roman" w:hAnsi="Times New Roman" w:cs="Times New Roman"/>
          <w:color w:val="000000" w:themeColor="text1"/>
          <w:lang w:eastAsia="it-IT"/>
        </w:rPr>
        <w:t xml:space="preserve">artistico </w:t>
      </w:r>
      <w:r w:rsidRPr="00BD54D8">
        <w:rPr>
          <w:rFonts w:ascii="Times New Roman" w:eastAsia="Times New Roman" w:hAnsi="Times New Roman" w:cs="Times New Roman"/>
          <w:b/>
          <w:bCs/>
          <w:strike/>
          <w:color w:val="000000" w:themeColor="text1"/>
          <w:lang w:eastAsia="it-IT"/>
        </w:rPr>
        <w:t>o archeologico</w:t>
      </w:r>
      <w:r w:rsidRPr="00BD54D8">
        <w:rPr>
          <w:rFonts w:ascii="Times New Roman" w:eastAsia="Times New Roman" w:hAnsi="Times New Roman" w:cs="Times New Roman"/>
          <w:color w:val="000000" w:themeColor="text1"/>
          <w:lang w:eastAsia="it-IT"/>
        </w:rPr>
        <w:t xml:space="preserve">, da restauratori di beni culturali </w:t>
      </w:r>
      <w:r w:rsidR="00CD59F4" w:rsidRPr="00BD54D8">
        <w:rPr>
          <w:rFonts w:ascii="Times New Roman" w:eastAsia="Times New Roman" w:hAnsi="Times New Roman" w:cs="Times New Roman"/>
          <w:b/>
          <w:bCs/>
          <w:color w:val="000000" w:themeColor="text1"/>
          <w:lang w:eastAsia="it-IT"/>
        </w:rPr>
        <w:t>ovvero</w:t>
      </w:r>
      <w:r w:rsidR="00F27BB4" w:rsidRPr="00BD54D8">
        <w:rPr>
          <w:rFonts w:ascii="Times New Roman" w:eastAsia="Times New Roman" w:hAnsi="Times New Roman" w:cs="Times New Roman"/>
          <w:b/>
          <w:bCs/>
          <w:color w:val="000000" w:themeColor="text1"/>
          <w:lang w:eastAsia="it-IT"/>
        </w:rPr>
        <w:t>,</w:t>
      </w:r>
      <w:r w:rsidR="00CD59F4" w:rsidRPr="00BD54D8">
        <w:rPr>
          <w:rFonts w:ascii="Times New Roman" w:eastAsia="Times New Roman" w:hAnsi="Times New Roman" w:cs="Times New Roman"/>
          <w:color w:val="000000" w:themeColor="text1"/>
          <w:lang w:eastAsia="it-IT"/>
        </w:rPr>
        <w:t xml:space="preserve"> </w:t>
      </w:r>
      <w:r w:rsidR="00CD59F4" w:rsidRPr="00BD54D8">
        <w:rPr>
          <w:rFonts w:ascii="Times New Roman" w:eastAsia="Times New Roman" w:hAnsi="Times New Roman" w:cs="Times New Roman"/>
          <w:b/>
          <w:bCs/>
          <w:color w:val="000000" w:themeColor="text1"/>
          <w:lang w:eastAsia="it-IT"/>
        </w:rPr>
        <w:t>nel caso di interventi archeologici, da archeologi qualificati</w:t>
      </w:r>
      <w:r w:rsidR="00F27BB4" w:rsidRPr="00BD54D8">
        <w:rPr>
          <w:rFonts w:ascii="Times New Roman" w:eastAsia="Times New Roman" w:hAnsi="Times New Roman" w:cs="Times New Roman"/>
          <w:b/>
          <w:bCs/>
          <w:color w:val="000000" w:themeColor="text1"/>
          <w:lang w:eastAsia="it-IT"/>
        </w:rPr>
        <w:t>,</w:t>
      </w:r>
      <w:r w:rsidR="00CD59F4" w:rsidRPr="00BD54D8">
        <w:rPr>
          <w:rFonts w:ascii="Times New Roman" w:eastAsia="Times New Roman" w:hAnsi="Times New Roman" w:cs="Times New Roman"/>
          <w:color w:val="000000" w:themeColor="text1"/>
          <w:lang w:eastAsia="it-IT"/>
        </w:rPr>
        <w:t xml:space="preserve"> </w:t>
      </w:r>
      <w:r w:rsidRPr="00BD54D8">
        <w:rPr>
          <w:rFonts w:ascii="Times New Roman" w:eastAsia="Times New Roman" w:hAnsi="Times New Roman" w:cs="Times New Roman"/>
          <w:color w:val="000000" w:themeColor="text1"/>
          <w:lang w:eastAsia="it-IT"/>
        </w:rPr>
        <w:t>ai sensi d</w:t>
      </w:r>
      <w:r w:rsidR="002D0FAC" w:rsidRPr="00BD54D8">
        <w:rPr>
          <w:rFonts w:ascii="Times New Roman" w:eastAsia="Times New Roman" w:hAnsi="Times New Roman" w:cs="Times New Roman"/>
          <w:b/>
          <w:bCs/>
          <w:color w:val="000000" w:themeColor="text1"/>
          <w:lang w:eastAsia="it-IT"/>
        </w:rPr>
        <w:t>e</w:t>
      </w:r>
      <w:r w:rsidRPr="00BD54D8">
        <w:rPr>
          <w:rFonts w:ascii="Times New Roman" w:eastAsia="Times New Roman" w:hAnsi="Times New Roman" w:cs="Times New Roman"/>
          <w:color w:val="000000" w:themeColor="text1"/>
          <w:lang w:eastAsia="it-IT"/>
        </w:rPr>
        <w:t>lla normativa vigente, quale ultima fase del processo della conoscenza e del restauro e quale premessa per il futuro programma di intervento sul bene</w:t>
      </w:r>
      <w:r w:rsidRPr="00BD54D8">
        <w:rPr>
          <w:rFonts w:ascii="Times New Roman" w:eastAsia="Times New Roman" w:hAnsi="Times New Roman" w:cs="Times New Roman"/>
          <w:strike/>
          <w:color w:val="000000" w:themeColor="text1"/>
          <w:lang w:eastAsia="it-IT"/>
        </w:rPr>
        <w:t xml:space="preserve">; </w:t>
      </w:r>
      <w:r w:rsidR="00E06FE4" w:rsidRPr="00BD54D8">
        <w:rPr>
          <w:rFonts w:ascii="Times New Roman" w:eastAsia="Times New Roman" w:hAnsi="Times New Roman" w:cs="Times New Roman"/>
          <w:b/>
          <w:bCs/>
          <w:strike/>
          <w:color w:val="000000" w:themeColor="text1"/>
          <w:lang w:eastAsia="it-IT"/>
        </w:rPr>
        <w:t>nel caso di interventi archeologici, da archeologi qualificati ai sensi della normativa vigente</w:t>
      </w:r>
      <w:r w:rsidR="00E06FE4" w:rsidRPr="00BD54D8">
        <w:rPr>
          <w:rFonts w:ascii="Times New Roman" w:eastAsia="Times New Roman" w:hAnsi="Times New Roman" w:cs="Times New Roman"/>
          <w:b/>
          <w:bCs/>
          <w:color w:val="000000" w:themeColor="text1"/>
          <w:lang w:eastAsia="it-IT"/>
        </w:rPr>
        <w:t>;</w:t>
      </w:r>
      <w:r w:rsidR="00E06FE4"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i costi per la elaborazione del consuntivo scientifico sono previsti nel quadro economico dell'intervento; </w:t>
      </w:r>
    </w:p>
    <w:p w14:paraId="202D0BF4"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b) l'aggiornamento del piano di manutenzione e della eventuale modellazione informativa dell’opera realizzata di cui all’articolo 43 per la successiva gestione del ciclo di vita; </w:t>
      </w:r>
    </w:p>
    <w:p w14:paraId="3E7BF06A" w14:textId="216A0288" w:rsidR="00446F27" w:rsidRPr="004A5029" w:rsidRDefault="00446F27" w:rsidP="00446F27">
      <w:pPr>
        <w:jc w:val="both"/>
        <w:rPr>
          <w:rFonts w:ascii="Times New Roman" w:eastAsia="Calibri"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c) dai professionisti afferenti alle rispettive competenze</w:t>
      </w:r>
      <w:r w:rsidR="00AA3B36" w:rsidRPr="004A5029">
        <w:rPr>
          <w:rFonts w:ascii="Times New Roman" w:eastAsia="Times New Roman" w:hAnsi="Times New Roman" w:cs="Times New Roman"/>
          <w:b/>
          <w:bCs/>
          <w:color w:val="000000" w:themeColor="text1"/>
          <w:lang w:eastAsia="it-IT"/>
        </w:rPr>
        <w:t>,</w:t>
      </w:r>
      <w:r w:rsidRPr="004A5029">
        <w:rPr>
          <w:rFonts w:ascii="Times New Roman" w:eastAsia="Times New Roman" w:hAnsi="Times New Roman" w:cs="Times New Roman"/>
          <w:color w:val="000000" w:themeColor="text1"/>
          <w:lang w:eastAsia="it-IT"/>
        </w:rPr>
        <w:t xml:space="preserve"> una relazione tecnico-scientifica, con l'esplicitazione dei risultati culturali e scientifici raggiunti.</w:t>
      </w:r>
    </w:p>
    <w:p w14:paraId="55918552" w14:textId="429A3EB0" w:rsidR="003F5E18"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11. Gli accertamenti di laboratorio e le verifiche tecniche obbligatorie inerenti alle attività di cui al presente articolo e alle attività di cui all’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oppure specificamente previsti dal capitolato speciale d'appalto di lavori, sono disposti dalla direzione dei lavori o dall'organo di collaudo o di verifica di conformità, imputando la spesa a carico delle somme a disposizione accantonate a tale titolo nel quadro economico. Tali spese non sono soggette a ribasso. I criteri per la determinazione dei costi sono individuati dall’a</w:t>
      </w:r>
      <w:r w:rsidR="003F5E18" w:rsidRPr="004A5029">
        <w:rPr>
          <w:rFonts w:ascii="Times New Roman" w:hAnsi="Times New Roman" w:cs="Times New Roman"/>
          <w:color w:val="000000" w:themeColor="text1"/>
        </w:rPr>
        <w:t>llegato II.15.</w:t>
      </w:r>
      <w:r w:rsidRPr="004A5029">
        <w:rPr>
          <w:rFonts w:ascii="Times New Roman" w:hAnsi="Times New Roman" w:cs="Times New Roman"/>
          <w:color w:val="000000" w:themeColor="text1"/>
        </w:rPr>
        <w:t xml:space="preserve"> </w:t>
      </w:r>
      <w:r w:rsidR="003F5E18" w:rsidRPr="004A5029">
        <w:rPr>
          <w:rFonts w:ascii="Times New Roman" w:hAnsi="Times New Roman" w:cs="Times New Roman"/>
          <w:color w:val="000000" w:themeColor="text1"/>
        </w:rPr>
        <w:t>In sede di prima applicazione l’allegato II.15 è abrogato e sostituito da un corrispondente decreto del Ministro delle infrastrutture e dei trasporti, adottato su proposta del Consiglio superiore dei lavori pubblici, che lo sostituisce integralmente anche in qualità di allegato al codice.</w:t>
      </w:r>
    </w:p>
    <w:p w14:paraId="792F1AA2" w14:textId="77777777" w:rsidR="00446F27" w:rsidRPr="004A5029" w:rsidRDefault="00446F27" w:rsidP="00446F27">
      <w:pPr>
        <w:jc w:val="both"/>
        <w:rPr>
          <w:rFonts w:ascii="Times New Roman" w:hAnsi="Times New Roman" w:cs="Times New Roman"/>
          <w:color w:val="000000" w:themeColor="text1"/>
        </w:rPr>
      </w:pPr>
    </w:p>
    <w:p w14:paraId="4F01EF66"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117.</w:t>
      </w:r>
    </w:p>
    <w:p w14:paraId="0AB68E09"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Garanzie definitive.</w:t>
      </w:r>
    </w:p>
    <w:p w14:paraId="75439BD3" w14:textId="6C9BA15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Per la sottoscrizione del contratto l'appaltatore costituisce una garanzia, denominata "garanzia definitiva", a sua scelta sotto forma di cauzione o fideiussione con le modalità </w:t>
      </w:r>
      <w:r w:rsidR="004B7F60" w:rsidRPr="004A5029">
        <w:rPr>
          <w:rFonts w:ascii="Times New Roman" w:hAnsi="Times New Roman" w:cs="Times New Roman"/>
          <w:color w:val="000000" w:themeColor="text1"/>
        </w:rPr>
        <w:t xml:space="preserve">previste </w:t>
      </w:r>
      <w:r w:rsidRPr="004A5029">
        <w:rPr>
          <w:rFonts w:ascii="Times New Roman" w:hAnsi="Times New Roman" w:cs="Times New Roman"/>
          <w:bCs/>
          <w:color w:val="000000" w:themeColor="text1"/>
        </w:rPr>
        <w:t>d</w:t>
      </w:r>
      <w:r w:rsidR="004B7F60" w:rsidRPr="004A5029">
        <w:rPr>
          <w:rFonts w:ascii="Times New Roman" w:hAnsi="Times New Roman" w:cs="Times New Roman"/>
          <w:bCs/>
          <w:color w:val="000000" w:themeColor="text1"/>
        </w:rPr>
        <w:t>a</w:t>
      </w:r>
      <w:r w:rsidRPr="004A5029">
        <w:rPr>
          <w:rFonts w:ascii="Times New Roman" w:hAnsi="Times New Roman" w:cs="Times New Roman"/>
          <w:bCs/>
          <w:color w:val="000000" w:themeColor="text1"/>
        </w:rPr>
        <w:t>ll’articolo 106</w:t>
      </w:r>
      <w:r w:rsidRPr="004A5029">
        <w:rPr>
          <w:rFonts w:ascii="Times New Roman" w:hAnsi="Times New Roman" w:cs="Times New Roman"/>
          <w:color w:val="000000" w:themeColor="text1"/>
        </w:rPr>
        <w:t xml:space="preserve">, pari al 10 per cento dell'importo contrattuale; tale obbligo è indicato negli atti e documenti di gara. Nel caso di procedure realizzate in forma aggregata da centrali di committenza, l'importo della garanzia è indicato nella misura massima del 10 per cento dell'importo contrattuale. </w:t>
      </w:r>
      <w:r w:rsidRPr="004A5029">
        <w:rPr>
          <w:rFonts w:ascii="Times New Roman" w:hAnsi="Times New Roman" w:cs="Times New Roman"/>
          <w:bCs/>
          <w:color w:val="000000" w:themeColor="text1"/>
        </w:rPr>
        <w:t>Nel caso di procedure aventi ad oggetto accordi quadro di cui all’articolo 59, l'importo della garanzia per tutti gli operatori economici aggiudicatari è indicato nella misura massima del 2 per cento dell'importo dell’accordo quadro; l’importo della garanzia per i contratti attuativi può essere fissato nella documentazione di gara dell’accordo quadro in misura anche inferiore al 10 per cento del valore dei contratti stessi con l’indicazione delle modalità di calcolo della maggiorazione prevista dal comma</w:t>
      </w:r>
      <w:r w:rsidR="004B7F60" w:rsidRPr="004A5029">
        <w:rPr>
          <w:rFonts w:ascii="Times New Roman" w:hAnsi="Times New Roman" w:cs="Times New Roman"/>
          <w:bCs/>
          <w:color w:val="000000" w:themeColor="text1"/>
        </w:rPr>
        <w:t xml:space="preserve"> 2</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w:t>
      </w:r>
    </w:p>
    <w:p w14:paraId="73A1AEB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salvaguardare l'interesse pubblico alla conclusione del contratto nei termini e nei modi programmati in caso di aggiudicazione con ribassi superiori al 10 per cento, la garanzia è aumentata di tanti punti percentuali quanti sono quelli eccedenti il 10 per cento. Se il ribasso è superiore al 20 per cento, l'aumento è di due punti percentuali per ogni punto di ribasso superiore al 20 per cento. Nel caso di accordi quadro con più operatori che prevedono una riapertura del rilancio, la maggiorazione di cui al presente periodo è stabilita dalla stazione appaltante nella documentazione di gara dell’accordo quadro. </w:t>
      </w:r>
    </w:p>
    <w:p w14:paraId="17617DF2" w14:textId="3F5E5A9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La garanzia è prestata per l'adempimento di tutte le obbligazioni del contratto e per il risarcimento dei danni derivanti dall'eventuale inadempimento delle obbligazioni stesse, nonché per il rimborso delle somme pagate in più all'esecutore rispetto alle risultanze della liquidazione finale, salva comunque la risarcibilità del maggior danno verso l'appaltatore. La garanzia cessa di avere effetto solo alla data di emissione del certificato di collaudo provvisorio o del certificato di regolare esecuzione e secondo le modalità previste dal comma 8. La stazione appaltante può richiedere all’aggiudicatario la reintegrazione della garanzia ove questa sia venuta meno in tutto o in parte; in caso di inottemperanza, la reintegrazione si effettua a valere sui ratei di prezzo da corrispondere. Alla garanzia definitiva si applicano le riduzioni previste </w:t>
      </w:r>
      <w:r w:rsidRPr="004A5029">
        <w:rPr>
          <w:rFonts w:ascii="Times New Roman" w:hAnsi="Times New Roman" w:cs="Times New Roman"/>
          <w:bCs/>
          <w:color w:val="000000" w:themeColor="text1"/>
        </w:rPr>
        <w:t>dall'articolo 106</w:t>
      </w:r>
      <w:r w:rsidR="00293A08" w:rsidRPr="004A5029">
        <w:rPr>
          <w:rFonts w:ascii="Times New Roman" w:hAnsi="Times New Roman" w:cs="Times New Roman"/>
          <w:b/>
          <w:color w:val="000000" w:themeColor="text1"/>
        </w:rPr>
        <w:t>, comma 8</w:t>
      </w:r>
      <w:r w:rsidR="00293A08"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per la garanzia provvisoria. </w:t>
      </w:r>
    </w:p>
    <w:p w14:paraId="6990216C" w14:textId="394FD4E4"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Negli appalti di lavori l’appaltatore può richiedere prima della stipulazione del contratto di sostituire la garanzia definitiva con l’applicazione di una ritenuta a valere sugli stati di avanzamento pari al 10 per cento degli stessi, ferme restando la garanzia fideiussoria costituita per l’erogazione dell’anticipazione e la garanzia da costituire per il pagamento della rata di saldo, ai sensi del comma 9. Per motivate ragioni di rischio dovute a particolari caratteristiche dell’appalto o a specifiche situazioni soggettive dell’esecutore dei lavori, la stazione appaltante può opporsi alla sostituzione della garanzia. Le ritenute sono svincolate dalla stazione appaltante all’emissione del certificato di collaudo provvisorio o del certificato di regolare esecuzione o comunque non oltre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hAnsi="Times New Roman" w:cs="Times New Roman"/>
          <w:color w:val="000000" w:themeColor="text1"/>
        </w:rPr>
        <w:t xml:space="preserve"> mesi dopo la data di ultimazione dei lavori risultante dal relativo certificato.</w:t>
      </w:r>
    </w:p>
    <w:p w14:paraId="4EF3360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 stazioni appaltanti hanno il diritto di valersi della garanzia, nei limiti dell'importo massimo garantito, per l'eventuale maggiore spesa sostenuta per il completamento dei lavori, servizi o forniture nel caso di risoluzione del contratto disposta in danno dell'esecutore. Possono altresì incamerare la garanzia per il pagamento di quanto dovuto dall’esecutore per le inadempienze derivanti dalla inosservanza di norme e prescrizioni dei contratti collettivi, delle leggi e dei regolamenti sulla tutela, protezione, assicurazione, assistenza e sicurezza fisica dei lavoratori addetti all'esecuzione dell'appalto.</w:t>
      </w:r>
    </w:p>
    <w:p w14:paraId="3F20762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Fatto salvo quanto previsto dal comma 4, la mancata costituzione della garanzia di cui al comma 1 determina la decadenza dell'affidamento e l'acquisizione della garanzia provvisoria presentata in sede di offerta da parte della stazione appaltante, che aggiudica l'appalto al concorrente che segue nella graduatoria.</w:t>
      </w:r>
    </w:p>
    <w:p w14:paraId="05F3511B" w14:textId="5400B44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La garanzia fideiussoria di cui al comma 1 può essere rilasciata dai soggetti di cui </w:t>
      </w:r>
      <w:r w:rsidRPr="004A5029">
        <w:rPr>
          <w:rFonts w:ascii="Times New Roman" w:hAnsi="Times New Roman" w:cs="Times New Roman"/>
          <w:bCs/>
          <w:color w:val="000000" w:themeColor="text1"/>
        </w:rPr>
        <w:t>all’articolo 106, comma 3</w:t>
      </w:r>
      <w:r w:rsidRPr="004A5029">
        <w:rPr>
          <w:rFonts w:ascii="Times New Roman" w:hAnsi="Times New Roman" w:cs="Times New Roman"/>
          <w:color w:val="000000" w:themeColor="text1"/>
        </w:rPr>
        <w:t xml:space="preserve">, con le modalità previste dal secondo periodo dello stesso comma. La garanzia prevede espressamente la rinuncia al beneficio della preventiva escussione del debitore principale, la rinuncia all'eccezione di cui all'articolo 1957, secondo comma, del codice civile, nonché l'operatività della garanzia medesima entro </w:t>
      </w:r>
      <w:r w:rsidRPr="004A5029">
        <w:rPr>
          <w:rFonts w:ascii="Times New Roman" w:hAnsi="Times New Roman" w:cs="Times New Roman"/>
          <w:strike/>
          <w:color w:val="000000" w:themeColor="text1"/>
        </w:rPr>
        <w:t>15</w:t>
      </w:r>
      <w:r w:rsidRPr="004A5029">
        <w:rPr>
          <w:rFonts w:ascii="Times New Roman" w:hAnsi="Times New Roman" w:cs="Times New Roman"/>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 a semplice richiesta scritta della stazione appaltante.</w:t>
      </w:r>
    </w:p>
    <w:p w14:paraId="76F8867E" w14:textId="110459C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La garanzia di cui al comma 1 è progressivamente svincolata a misura dell'avanzamento dell'esecuzione, nel limite massimo dell'80 per cento dell'iniziale importo garantito. L'ammontare residuo della garanzia definitiva permane fino alla data di emissione del certificato di collaudo provvisorio o del certificato di regolare esecuzione, o comunque fino a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b/>
          <w:bCs/>
          <w:color w:val="000000" w:themeColor="text1"/>
        </w:rPr>
        <w:t xml:space="preserve"> dodici</w:t>
      </w:r>
      <w:r w:rsidRPr="004A5029">
        <w:rPr>
          <w:rFonts w:ascii="Times New Roman" w:hAnsi="Times New Roman" w:cs="Times New Roman"/>
          <w:color w:val="000000" w:themeColor="text1"/>
        </w:rPr>
        <w:t xml:space="preserve"> mesi dalla data di ultimazione dei lavori risultante dal relativo certificato. Lo svincolo è automatico, senza necessità di nulla osta del committente, con la sola condizione della preventiva consegna all'istituto garante, da parte dell'appaltatore, degli stati di avanzamento dei lavori o di analogo documento, in originale o in copia autentica, attestanti l'avvenuta esecuzione. Tale automatismo si applica anche agli appalti di forniture e servizi. Sono nulle le pattuizioni contrarie o in deroga. Il mancato svincolo nei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 dalla consegna degli stati di avanzamento o della documentazione analoga costituisce inadempimento del garante nei confronti dell'impresa per la quale la garanzia è prestata.</w:t>
      </w:r>
    </w:p>
    <w:p w14:paraId="171E06F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Il pagamento della rata di saldo è subordinato alla costituzione di una cauzione o di una garanzia fideiussoria bancaria o assicurativa pari all'importo della medesima rata di saldo maggiorato del tasso di interesse legale applicato per il periodo intercorrente tra la data di emissione del certificato di collaudo o della verifica di conformità nel caso di appalti di servizi o forniture e l'assunzione del carattere di definitività dei medesimi.</w:t>
      </w:r>
    </w:p>
    <w:p w14:paraId="512D5790" w14:textId="5F26FEF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L'esecutore dei lavori costituisce e consegna alla stazione appaltante almeno dieci giorni prima della consegna dei lavori anche una polizza di assicurazione che copra i danni subiti dalle stazioni appaltanti a causa del danneggiamento o della distruzione totale o parziale di impianti ed opere, anche preesistenti, verificatisi nel corso dell'esecuzione dei lavori. Nei documenti e negli atti a base di gara o di affidamento è stabilito l'importo della somma da assicurare che, di norma, corrisponde all'importo del contratto stesso qualora non sussistano motivate particolari circostanze che impongano un importo da assicurare superiore. La polizza del presente comma assicura la stazione appaltante contro la responsabilità civile per danni causati a terzi nel corso dell'esecuzione dei lavori il cui massimale è pari al 5 per cento della somma assicurata per le opere con un minimo di 500.000 euro ed un massimo di 5.000.000 di euro. La copertura assicurativa decorre dalla data di consegna dei lavori e cessa alla data di emissione del certificato di collaudo provvisorio o del certificato di regolare esecuzione o comunque decorsi </w:t>
      </w:r>
      <w:r w:rsidR="00A62EBA" w:rsidRPr="004A5029">
        <w:rPr>
          <w:rFonts w:ascii="Times New Roman" w:hAnsi="Times New Roman" w:cs="Times New Roman"/>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dalla data di ultimazione dei lavori risultante dal relativo certificato. Qualora sia previsto un periodo di garanzia, la polizza assicurativa è sostituita da una polizza che tenga indenni le stazioni appaltanti da tutti i rischi connessi all'utilizzo delle lavorazioni in garanzia o agli interventi per la loro eventuale sostituzione o rifacimento. L'omesso o il ritardato pagamento delle somme dovute a titolo di premio o di commissione da parte dell'esecutore non comporta l'inefficacia della garanzia nei confronti della stazione appaltante.</w:t>
      </w:r>
    </w:p>
    <w:p w14:paraId="5C99B66F" w14:textId="3F968F5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11. Per i lavori di importo superiore al doppio della soglia di cui all'articolo 14, il titolare del contratto per la liquidazione della rata di saldo stipula, con decorrenza dalla data di emissione del certificato di collaudo provvisorio o del certificato di regolare esecuzione o comunque decorsi </w:t>
      </w:r>
      <w:r w:rsidR="00A62EBA" w:rsidRPr="004A5029">
        <w:rPr>
          <w:rFonts w:ascii="Times New Roman" w:hAnsi="Times New Roman" w:cs="Times New Roman"/>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dalla data di ultimazione dei lavori risultante dal relativo certificato, una polizza indennitaria decennale a copertura dei rischi di rovina totale o parziale dell'opera, ovvero dei rischi derivanti da gravi difetti costruttivi. La polizza contiene la previsione del pagamento dell'indennizzo contrattualmente dovuto in favore del committente non appena questi lo richieda, anche in pendenza dell'accertamento della responsabilità e senza che occorrano consensi ed autorizzazioni di qualunque specie. Il limite di indennizzo della polizza decennale è non inferiore al 20 per cento del valore dell'opera realizzata e non superiore al 40 per cento, nel rispetto del principio di proporzionalità avuto riguardo alla natura dell'opera. L'esecutore dei lavori stipula altresì per i lavori di cui al presente comma una polizza di assicurazione della responsabilità civile per danni cagionati a terzi, con decorrenza dalla data di emissione del certificato di collaudo provvisorio o del certificato di regolare esecuzione e per la durata di dieci anni e con un indennizzo pari al 5 per cento del valore dell'opera realizzata con un minimo di 500.000 euro ed un massimo di 5.000.000 di euro.</w:t>
      </w:r>
    </w:p>
    <w:p w14:paraId="6D43D549" w14:textId="28CDBA3E"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12. Le garanzie fideiussorie e le polizze assicurative previste dal codice sono conformi agli schemi tipo approvati con decreto del Ministro </w:t>
      </w:r>
      <w:r w:rsidRPr="004A5029">
        <w:rPr>
          <w:rFonts w:ascii="Times New Roman" w:eastAsia="Times New Roman" w:hAnsi="Times New Roman" w:cs="Times New Roman"/>
          <w:color w:val="000000" w:themeColor="text1"/>
        </w:rPr>
        <w:t>delle imprese e del made in Italy</w:t>
      </w:r>
      <w:r w:rsidRPr="004A5029">
        <w:rPr>
          <w:rFonts w:ascii="Times New Roman" w:eastAsia="Times New Roman" w:hAnsi="Times New Roman" w:cs="Times New Roman"/>
          <w:i/>
          <w:iCs/>
          <w:color w:val="000000" w:themeColor="text1"/>
        </w:rPr>
        <w:t xml:space="preserve"> </w:t>
      </w:r>
      <w:r w:rsidRPr="004A5029">
        <w:rPr>
          <w:rFonts w:ascii="Times New Roman" w:eastAsia="Times New Roman" w:hAnsi="Times New Roman" w:cs="Times New Roman"/>
          <w:color w:val="000000" w:themeColor="text1"/>
        </w:rPr>
        <w:t>di concerto co</w:t>
      </w:r>
      <w:r w:rsidRPr="004A5029">
        <w:rPr>
          <w:rFonts w:ascii="Times New Roman" w:hAnsi="Times New Roman" w:cs="Times New Roman"/>
          <w:color w:val="000000" w:themeColor="text1"/>
        </w:rPr>
        <w:t>n il Ministro delle infrastrutture e</w:t>
      </w:r>
      <w:r w:rsidRPr="004A5029">
        <w:rPr>
          <w:rFonts w:ascii="Times New Roman" w:eastAsia="Times New Roman" w:hAnsi="Times New Roman" w:cs="Times New Roman"/>
          <w:color w:val="000000" w:themeColor="text1"/>
        </w:rPr>
        <w:t xml:space="preserve"> dei trasporti </w:t>
      </w:r>
      <w:r w:rsidRPr="004A5029">
        <w:rPr>
          <w:rFonts w:ascii="Times New Roman" w:hAnsi="Times New Roman" w:cs="Times New Roman"/>
          <w:color w:val="000000" w:themeColor="text1"/>
        </w:rPr>
        <w:t>e</w:t>
      </w:r>
      <w:r w:rsidR="006B5EE5" w:rsidRPr="004A5029">
        <w:rPr>
          <w:rFonts w:ascii="Times New Roman" w:hAnsi="Times New Roman" w:cs="Times New Roman"/>
          <w:color w:val="000000" w:themeColor="text1"/>
        </w:rPr>
        <w:t xml:space="preserve"> </w:t>
      </w:r>
      <w:r w:rsidR="001F5B2F" w:rsidRPr="004A5029">
        <w:rPr>
          <w:rFonts w:ascii="Times New Roman" w:hAnsi="Times New Roman" w:cs="Times New Roman"/>
          <w:color w:val="000000" w:themeColor="text1"/>
        </w:rPr>
        <w:t>con il Ministro dell’economia e delle finanze</w:t>
      </w:r>
      <w:r w:rsidRPr="004A5029">
        <w:rPr>
          <w:rFonts w:ascii="Times New Roman" w:hAnsi="Times New Roman" w:cs="Times New Roman"/>
          <w:color w:val="000000" w:themeColor="text1"/>
        </w:rPr>
        <w:t>. Le garanzie fideiussorie prevedono la rivalsa verso il contraente e il diritto di regresso verso la stazione appaltante per l'eventuale indebito arricchimento e possono essere rilasciate congiuntamente da più garanti. I garanti designano un mandatario o un delegatario per i rapporti con la stazione appaltante.</w:t>
      </w:r>
    </w:p>
    <w:p w14:paraId="4E3B20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13. In caso di raggruppamenti temporanei le garanzie fideiussorie e le garanzie assicurative sono presentate, su mandato irrevocabile, dalla mandataria in nome e per conto di tutti i concorrenti, ferma restando la responsabilità solidale tra le imprese.</w:t>
      </w:r>
    </w:p>
    <w:p w14:paraId="1E5B90BC" w14:textId="0A7C1A6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14. Per gli appalti da eseguirsi da operatori economici di comprovata solidità nonché per le forniture di beni che per la loro natura, o per l'uso speciale cui sono destinati, debbano essere acquistati nel luogo di produzione o forniti direttamente dai produttori, o per le forniture di prodotti d'arte, macchinari, strumenti e lavori di precisione l'esecuzione dei quali deve essere affidata a operatori specializzati</w:t>
      </w:r>
      <w:r w:rsidR="000523FE"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l'esonero dalla prestazione della garanzia è possibile previa adeguata motivazione ed è subordinato ad un miglioramento del prezzo di aggiudicazione ovvero delle condizioni di esecuzione.</w:t>
      </w:r>
    </w:p>
    <w:p w14:paraId="1A499DFC" w14:textId="77777777" w:rsidR="00446F27" w:rsidRPr="004A5029" w:rsidRDefault="00446F27" w:rsidP="00446F27">
      <w:pPr>
        <w:jc w:val="both"/>
        <w:rPr>
          <w:rFonts w:ascii="Times New Roman" w:hAnsi="Times New Roman" w:cs="Times New Roman"/>
          <w:color w:val="000000" w:themeColor="text1"/>
        </w:rPr>
      </w:pPr>
    </w:p>
    <w:p w14:paraId="0133400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b/>
          <w:color w:val="000000" w:themeColor="text1"/>
        </w:rPr>
        <w:t>Articolo 118.</w:t>
      </w:r>
      <w:r w:rsidRPr="004A5029">
        <w:rPr>
          <w:rFonts w:ascii="Times New Roman" w:hAnsi="Times New Roman" w:cs="Times New Roman"/>
          <w:color w:val="000000" w:themeColor="text1"/>
        </w:rPr>
        <w:t xml:space="preserve"> </w:t>
      </w:r>
    </w:p>
    <w:p w14:paraId="4096EC25"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i/>
          <w:color w:val="000000" w:themeColor="text1"/>
        </w:rPr>
        <w:t>Garanzie per l’esecuzione di lavori di particolare valore.</w:t>
      </w:r>
    </w:p>
    <w:p w14:paraId="45188187" w14:textId="6E583EA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Per gli affidamenti a contraente generale di qualunque ammontare, e, quando previsto dal bando o dall'avviso di gara, per gli appalti di ammontare superiore a 100 milioni di euro, il soggetto aggiudicatario presenta sotto forma di cauzione o di fideiussione rilasciata dai soggetti di cui </w:t>
      </w:r>
      <w:r w:rsidRPr="004A5029">
        <w:rPr>
          <w:rFonts w:ascii="Times New Roman" w:hAnsi="Times New Roman" w:cs="Times New Roman"/>
          <w:bCs/>
          <w:color w:val="000000" w:themeColor="text1"/>
        </w:rPr>
        <w:t>all'articolo 106, comma 3,</w:t>
      </w:r>
      <w:r w:rsidRPr="004A5029">
        <w:rPr>
          <w:rFonts w:ascii="Times New Roman" w:hAnsi="Times New Roman" w:cs="Times New Roman"/>
          <w:color w:val="000000" w:themeColor="text1"/>
        </w:rPr>
        <w:t xml:space="preserve"> in luogo della garanzia definitiva di cui </w:t>
      </w:r>
      <w:r w:rsidRPr="004A5029">
        <w:rPr>
          <w:rFonts w:ascii="Times New Roman" w:hAnsi="Times New Roman" w:cs="Times New Roman"/>
          <w:bCs/>
          <w:color w:val="000000" w:themeColor="text1"/>
        </w:rPr>
        <w:t>all'articolo 117,</w:t>
      </w:r>
      <w:r w:rsidRPr="004A5029">
        <w:rPr>
          <w:rFonts w:ascii="Times New Roman" w:hAnsi="Times New Roman" w:cs="Times New Roman"/>
          <w:color w:val="000000" w:themeColor="text1"/>
        </w:rPr>
        <w:t xml:space="preserve"> una garanzia dell'adempimento di tutte le obbligazioni del contratto e del risarcimento dei danni derivanti dall'eventuale inadempimento delle obbligazioni stesse, denominata "garanzia di buon adempimento" e una garanzia di conclusione dell'opera nei casi di risoluzione del contratto previsti dal codice civile e dal presente codice, denominata </w:t>
      </w:r>
      <w:r w:rsidRPr="004A5029">
        <w:rPr>
          <w:rFonts w:ascii="Times New Roman" w:hAnsi="Times New Roman" w:cs="Times New Roman"/>
          <w:strike/>
          <w:color w:val="000000" w:themeColor="text1"/>
        </w:rPr>
        <w:t>“</w:t>
      </w:r>
      <w:r w:rsidR="0030786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garanzia per la risoluzione</w:t>
      </w:r>
      <w:r w:rsidR="0030786B" w:rsidRPr="004A5029">
        <w:rPr>
          <w:rFonts w:ascii="Times New Roman" w:hAnsi="Times New Roman" w:cs="Times New Roman"/>
          <w:color w:val="000000" w:themeColor="text1"/>
        </w:rPr>
        <w:t>»</w:t>
      </w:r>
      <w:r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w:t>
      </w:r>
    </w:p>
    <w:p w14:paraId="603A956F"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Nel caso di affidamento dei lavori ad un nuovo soggetto, anche quest'ultimo presenta le garanzie previste al comma 1.</w:t>
      </w:r>
    </w:p>
    <w:p w14:paraId="7CE48359" w14:textId="69D6682C"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La garanzia di buon adempimento è costituita con le modalità di cui </w:t>
      </w:r>
      <w:r w:rsidRPr="004A5029">
        <w:rPr>
          <w:rFonts w:ascii="Times New Roman" w:hAnsi="Times New Roman" w:cs="Times New Roman"/>
          <w:bCs/>
          <w:color w:val="000000" w:themeColor="text1"/>
        </w:rPr>
        <w:t>all'articolo 117, commi 1 e 2,</w:t>
      </w:r>
      <w:r w:rsidRPr="004A5029">
        <w:rPr>
          <w:rFonts w:ascii="Times New Roman" w:hAnsi="Times New Roman" w:cs="Times New Roman"/>
          <w:color w:val="000000" w:themeColor="text1"/>
        </w:rPr>
        <w:t xml:space="preserve"> ed è pari al 5 per cento fisso dell'importo contrattuale come risultante dall'aggiudicazione senza applicazione degli incrementi per ribassi di cui </w:t>
      </w:r>
      <w:r w:rsidRPr="004A5029">
        <w:rPr>
          <w:rFonts w:ascii="Times New Roman" w:hAnsi="Times New Roman" w:cs="Times New Roman"/>
          <w:bCs/>
          <w:color w:val="000000" w:themeColor="text1"/>
        </w:rPr>
        <w:t>all'articolo 117, comma 1;</w:t>
      </w:r>
      <w:r w:rsidRPr="004A5029">
        <w:rPr>
          <w:rFonts w:ascii="Times New Roman" w:hAnsi="Times New Roman" w:cs="Times New Roman"/>
          <w:color w:val="000000" w:themeColor="text1"/>
        </w:rPr>
        <w:t xml:space="preserve"> permane fino alla data di emissione del certificato di collaudo provvisorio o del certificato di regolare esecuzione, o comunque fino a </w:t>
      </w:r>
      <w:r w:rsidR="00A62EBA" w:rsidRPr="004A5029">
        <w:rPr>
          <w:rFonts w:ascii="Times New Roman" w:hAnsi="Times New Roman" w:cs="Times New Roman"/>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dalla data di ultimazione dei lavori risultante dal relativo certificato.</w:t>
      </w:r>
    </w:p>
    <w:p w14:paraId="549063A8"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4. La garanzia fideiussoria "per la risoluzione" opera nei casi di risoluzione del contratto previsti dal codice civile e dal presente codice ed è di importo pari al 10 per cento dell'importo contrattuale, fermo restando che, qualora l'importo in valore assoluto fosse superiore a 100 milioni di euro, essa si intende comunque limitata a 100 milioni di euro.</w:t>
      </w:r>
    </w:p>
    <w:p w14:paraId="0607215F"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5. La garanzia "per la risoluzione" copre, nei limiti dei danni effettivamente subiti, i costi per le procedure di riaffidamento da parte della stazione appaltante e l'eventuale maggior costo tra l'importo contrattuale risultante dall'aggiudicazione originaria dei lavori e l'importo contrattuale del riaffidamento dei lavori stessi, a cui sono sommati gli importi dei pagamenti già effettuati o da effettuare in base agli stati d'avanzamento dei lavori.</w:t>
      </w:r>
    </w:p>
    <w:p w14:paraId="4968C2F3"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6. La garanzia “per la risoluzione” è efficace a partire dal perfezionamento del contratto e fino alla data di emissione del certificato di ultimazione dei lavori, allorché cessa automaticamente. La garanzia “per la risoluzione” cessa automaticamente anche decorsi tre mesi dalla data del riaffidamento dei lavori.</w:t>
      </w:r>
    </w:p>
    <w:p w14:paraId="1621FCEA"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7. Le garanzie di cui al presente articolo prevedono espressamente la rinuncia al beneficio della preventiva escussione del debitore principale e la rinuncia all'eccezione di cui all'articolo 1957, secondo comma, del codice civile.</w:t>
      </w:r>
    </w:p>
    <w:p w14:paraId="30689A80" w14:textId="49707ADF"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Nel caso di escussione il pagamento è effettuato entro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a semplice richiesta scritta della stazione appaltante; la richiesta reca l'indicazione del titolo per cui la stazione appaltante richiede l'escussione.</w:t>
      </w:r>
    </w:p>
    <w:p w14:paraId="550FEABC" w14:textId="2135DA2F" w:rsidR="00446F27" w:rsidRPr="004A5029" w:rsidRDefault="00446F27" w:rsidP="00446F27">
      <w:pPr>
        <w:autoSpaceDE w:val="0"/>
        <w:autoSpaceDN w:val="0"/>
        <w:adjustRightInd w:val="0"/>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9. Gli schemi di polizza-tipo concernenti le garanzie fideiussorie del comma 1</w:t>
      </w:r>
      <w:r w:rsidRPr="00796E46">
        <w:rPr>
          <w:rFonts w:ascii="Times New Roman" w:hAnsi="Times New Roman" w:cs="Times New Roman"/>
          <w:b/>
          <w:bCs/>
          <w:strike/>
          <w:color w:val="000000" w:themeColor="text1"/>
        </w:rPr>
        <w:t>,</w:t>
      </w:r>
      <w:r w:rsidRPr="004A5029">
        <w:rPr>
          <w:rFonts w:ascii="Times New Roman" w:hAnsi="Times New Roman" w:cs="Times New Roman"/>
          <w:color w:val="000000" w:themeColor="text1"/>
        </w:rPr>
        <w:t xml:space="preserve"> sono adottati con le modalità di cui all'articolo 117, comma 12. Si applicano inoltre i periodi secondo e terzo dello stesso comma.</w:t>
      </w:r>
    </w:p>
    <w:p w14:paraId="5E7E3C41" w14:textId="41E83596" w:rsidR="00446F27" w:rsidRPr="004A5029" w:rsidRDefault="00446F27" w:rsidP="00446F27">
      <w:pPr>
        <w:autoSpaceDE w:val="0"/>
        <w:autoSpaceDN w:val="0"/>
        <w:adjustRightInd w:val="0"/>
        <w:jc w:val="both"/>
        <w:rPr>
          <w:rFonts w:ascii="Times New Roman" w:hAnsi="Times New Roman" w:cs="Times New Roman"/>
          <w:color w:val="000000" w:themeColor="text1"/>
        </w:rPr>
      </w:pPr>
    </w:p>
    <w:p w14:paraId="045CA12D" w14:textId="709FDB1D" w:rsidR="00600CEA" w:rsidRPr="004A5029" w:rsidRDefault="00600CEA" w:rsidP="00446F27">
      <w:pPr>
        <w:autoSpaceDE w:val="0"/>
        <w:autoSpaceDN w:val="0"/>
        <w:adjustRightInd w:val="0"/>
        <w:jc w:val="both"/>
        <w:rPr>
          <w:rFonts w:ascii="Times New Roman" w:hAnsi="Times New Roman" w:cs="Times New Roman"/>
          <w:color w:val="000000" w:themeColor="text1"/>
        </w:rPr>
      </w:pPr>
    </w:p>
    <w:p w14:paraId="3FA5E856" w14:textId="5ACF0E5F" w:rsidR="00600CEA" w:rsidRPr="004A5029" w:rsidRDefault="00600CEA" w:rsidP="00446F27">
      <w:pPr>
        <w:autoSpaceDE w:val="0"/>
        <w:autoSpaceDN w:val="0"/>
        <w:adjustRightInd w:val="0"/>
        <w:jc w:val="both"/>
        <w:rPr>
          <w:rFonts w:ascii="Times New Roman" w:hAnsi="Times New Roman" w:cs="Times New Roman"/>
          <w:color w:val="000000" w:themeColor="text1"/>
        </w:rPr>
      </w:pPr>
    </w:p>
    <w:p w14:paraId="54673843" w14:textId="77777777" w:rsidR="00600CEA" w:rsidRPr="004A5029" w:rsidRDefault="00600CEA" w:rsidP="00446F27">
      <w:pPr>
        <w:autoSpaceDE w:val="0"/>
        <w:autoSpaceDN w:val="0"/>
        <w:adjustRightInd w:val="0"/>
        <w:jc w:val="both"/>
        <w:rPr>
          <w:rFonts w:ascii="Times New Roman" w:hAnsi="Times New Roman" w:cs="Times New Roman"/>
          <w:color w:val="000000" w:themeColor="text1"/>
        </w:rPr>
      </w:pPr>
    </w:p>
    <w:p w14:paraId="38119B62" w14:textId="77777777" w:rsidR="00446F27" w:rsidRPr="004A5029" w:rsidRDefault="00446F27" w:rsidP="00446F27">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119.</w:t>
      </w:r>
    </w:p>
    <w:p w14:paraId="7AFD99EC" w14:textId="77777777" w:rsidR="00446F27" w:rsidRPr="004A5029" w:rsidRDefault="00446F27" w:rsidP="00446F27">
      <w:pPr>
        <w:rPr>
          <w:rFonts w:ascii="Times New Roman" w:eastAsia="Times New Roman" w:hAnsi="Times New Roman" w:cs="Times New Roman"/>
          <w:color w:val="000000" w:themeColor="text1"/>
          <w:lang w:eastAsia="it-IT"/>
        </w:rPr>
      </w:pPr>
      <w:r w:rsidRPr="004A5029">
        <w:rPr>
          <w:rFonts w:ascii="Times New Roman" w:hAnsi="Times New Roman" w:cs="Times New Roman"/>
          <w:i/>
          <w:color w:val="000000" w:themeColor="text1"/>
        </w:rPr>
        <w:t>Subappalto.</w:t>
      </w:r>
    </w:p>
    <w:p w14:paraId="124055E9" w14:textId="1F7D1CC8"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 I soggetti affidatari dei contratti eseguono in proprio le opere o i lavori, i servizi</w:t>
      </w:r>
      <w:r w:rsidRPr="004A5029">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w:t>
      </w:r>
      <w:r w:rsidR="000523FE" w:rsidRPr="004A5029">
        <w:rPr>
          <w:rFonts w:ascii="Times New Roman" w:hAnsi="Times New Roman" w:cs="Times New Roman"/>
          <w:b/>
          <w:bCs/>
          <w:color w:val="000000" w:themeColor="text1"/>
        </w:rPr>
        <w:t>e</w:t>
      </w:r>
      <w:r w:rsidR="000523FE"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le forniture compresi nel contratto. Fatto salvo quanto previsto dall’articolo 120, comma 1, lettera d), la cessione del contratto è nulla</w:t>
      </w:r>
      <w:r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È altresì nullo l'accordo con cui a terzi sia affidata l’integrale esecuzione delle prestazioni o lavorazioni appaltate, nonché la prevalente esecuzione delle lavorazioni relative alla categoria prevalente e dei contratti ad alta intensità di manodopera. È ammesso il subappalto secondo le disposizioni del presente articolo.</w:t>
      </w:r>
    </w:p>
    <w:p w14:paraId="2D193964" w14:textId="1B6E1912"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 Il subappalto è il contratto con il quale l'appaltatore affida a terzi l'esecuzione di parte delle prestazioni o lavorazioni oggetto del contratto di appalto, con organizzazione di mezzi e rischi a carico del subappaltatore. Costituisce, comunque, subappalto di lavori qualsiasi contratto stipulato dall’appaltatore con terzi</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avente ad oggetto attività ovunque espletate che richiedono l'impiego di manodopera, quali le forniture con posa in opera e i noli a caldo, se singolarmente di importo superiore al 2 per cento dell'importo delle prestazioni affidate o di importo superiore a 100.000 euro e qualora l'incidenza del costo della manodopera e del personale sia superiore al 50 per cento dell'importo del contratto da affidare. Nel rispetto dei principi di cui agli articoli 1, 2 e 3, previa adeguata motivazione nella decisione  di contrarre, le stazioni appaltanti, eventualmente avvalendosi del parere delle Prefetture competenti</w:t>
      </w:r>
      <w:r w:rsidR="000523FE"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indicano nei documenti di gara le prestazioni o lavorazioni oggetto del contratto da eseguire a cura dell’aggiudicatario in ragione delle specifiche caratteristiche dell’appalto, ivi comprese quelle di cui all’articolo 104, comma 11, in ragione dell’esigenza di rafforzare,  tenuto conto della natura o della complessità delle prestazioni o delle lavorazioni da effettuare, il controllo delle attività di cantiere e più in generale dei luoghi di lavoro o di garantire una più intensa tutela delle condizioni di lavoro e della salute e sicurezza dei lavoratori ovvero di prevenire il rischio di infiltrazioni criminali. Si prescinde da tale ultima valutazione quando i subappaltatori siano iscritti nell’elenco dei fornitori, prestatori di servizi ed esecutori di lavori di cui al comma 52 dell'articolo 1 della legge 6 novembre 2012, n.190, oppure nell’anagrafe antimafia degli esecutori istituita dall’articolo 30 del decreto-legge 17 ottobre 2016, n. 189, convertito, con modificazioni, dalla legge 15 dicembre 2016, n. 229. L'affidatario comunica alla stazione appaltante,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È altresì fatto obbligo di acquisire autorizzazione integrativa qualora l'oggetto del subappalto subisca variazioni e l'importo dello stesso sia incrementato.</w:t>
      </w:r>
    </w:p>
    <w:p w14:paraId="6154A96D"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Non si configurano come attività affidate in subappalto, per la loro specificità, le seguenti categorie di forniture o servizi: </w:t>
      </w:r>
    </w:p>
    <w:p w14:paraId="76540CF1"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 l'affidamento di attività secondarie, accessorie o sussidiarie a lavoratori autonomi, per le quali occorre effettuare comunicazione alla stazione appaltante;</w:t>
      </w:r>
    </w:p>
    <w:p w14:paraId="53224508"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b) la subfornitura a catalogo di prodotti informatici;</w:t>
      </w:r>
    </w:p>
    <w:p w14:paraId="18BEEE95" w14:textId="2B472BC1"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l'affidamento di servizi di importo inferiore a 20.000 euro annui a imprenditori agricoli nei comuni classificati totalmente montani di cui all'elenco dei comuni italiani predisposto </w:t>
      </w:r>
      <w:r w:rsidRPr="00BD54D8">
        <w:rPr>
          <w:rFonts w:ascii="Times New Roman" w:hAnsi="Times New Roman" w:cs="Times New Roman"/>
          <w:color w:val="000000" w:themeColor="text1"/>
        </w:rPr>
        <w:t>dall'</w:t>
      </w:r>
      <w:r w:rsidRPr="00BD54D8">
        <w:rPr>
          <w:rFonts w:ascii="Times New Roman" w:hAnsi="Times New Roman" w:cs="Times New Roman"/>
          <w:b/>
          <w:bCs/>
          <w:color w:val="000000" w:themeColor="text1"/>
        </w:rPr>
        <w:t>I</w:t>
      </w:r>
      <w:r w:rsidR="00796E46" w:rsidRPr="00BD54D8">
        <w:rPr>
          <w:rFonts w:ascii="Times New Roman" w:hAnsi="Times New Roman" w:cs="Times New Roman"/>
          <w:b/>
          <w:bCs/>
          <w:color w:val="000000" w:themeColor="text1"/>
        </w:rPr>
        <w:t>STAT</w:t>
      </w:r>
      <w:r w:rsidR="00796E46" w:rsidRPr="00BD54D8">
        <w:rPr>
          <w:rFonts w:ascii="Times New Roman" w:hAnsi="Times New Roman" w:cs="Times New Roman"/>
          <w:color w:val="000000" w:themeColor="text1"/>
        </w:rPr>
        <w:t xml:space="preserve"> </w:t>
      </w:r>
      <w:r w:rsidRPr="00BD54D8">
        <w:rPr>
          <w:rFonts w:ascii="Times New Roman" w:hAnsi="Times New Roman" w:cs="Times New Roman"/>
          <w:strike/>
          <w:color w:val="000000" w:themeColor="text1"/>
        </w:rPr>
        <w:t>s</w:t>
      </w:r>
      <w:r w:rsidRPr="00796E46">
        <w:rPr>
          <w:rFonts w:ascii="Times New Roman" w:hAnsi="Times New Roman" w:cs="Times New Roman"/>
          <w:strike/>
          <w:color w:val="000000" w:themeColor="text1"/>
        </w:rPr>
        <w:t>tituto nazionale di statistica (ISTAT)</w:t>
      </w:r>
      <w:r w:rsidRPr="004A5029">
        <w:rPr>
          <w:rFonts w:ascii="Times New Roman" w:hAnsi="Times New Roman" w:cs="Times New Roman"/>
          <w:color w:val="000000" w:themeColor="text1"/>
        </w:rPr>
        <w:t xml:space="preserve">, oppure ricompresi nella circolare del Ministero delle finanze n. 9 del 14 giugno 1993, pubblicata nel supplemento ordinario n. 53 alla Gazzetta </w:t>
      </w:r>
      <w:r w:rsidR="00E97F58" w:rsidRPr="004A5029">
        <w:rPr>
          <w:rFonts w:ascii="Times New Roman" w:hAnsi="Times New Roman" w:cs="Times New Roman"/>
          <w:strike/>
          <w:color w:val="000000" w:themeColor="text1"/>
        </w:rPr>
        <w:t>u</w:t>
      </w:r>
      <w:r w:rsidR="000A771E" w:rsidRPr="004A5029">
        <w:rPr>
          <w:rFonts w:ascii="Times New Roman" w:hAnsi="Times New Roman" w:cs="Times New Roman"/>
          <w:b/>
          <w:bCs/>
          <w:color w:val="000000" w:themeColor="text1"/>
        </w:rPr>
        <w:t>U</w:t>
      </w:r>
      <w:r w:rsidRPr="004A5029">
        <w:rPr>
          <w:rFonts w:ascii="Times New Roman" w:hAnsi="Times New Roman" w:cs="Times New Roman"/>
          <w:color w:val="000000" w:themeColor="text1"/>
        </w:rPr>
        <w:t>fficiale della Repubblica italiana n. 141 del 18 giugno 1993, nonché nei comuni delle isole minori di cui all'allegato A annesso alla legge 28 dicembre 2001, n. 448;</w:t>
      </w:r>
    </w:p>
    <w:p w14:paraId="04F6075A"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d) le prestazioni secondarie, accessorie o sussidiarie rese in favore dei soggetti affidatari in forza di contratti continuativi di cooperazione, servizio o fornitura sottoscritti in epoca anteriore alla indizione della procedura finalizzata alla aggiudicazione dell'appalto. I relativi contratti sono trasmessi alla stazione appaltante prima o contestualmente alla sottoscrizione del contratto di appalto.</w:t>
      </w:r>
    </w:p>
    <w:p w14:paraId="21EDD8D6"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4. I soggetti affidatari dei contratti di cui al codice possono affidare in subappalto le opere o i lavori, i servizi o le forniture compresi nel contratto, previa autorizzazione della stazione appaltante a condizione che:</w:t>
      </w:r>
    </w:p>
    <w:p w14:paraId="4776F592"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a) il subappaltatore sia qualificato per le lavorazioni o le prestazioni da eseguire;</w:t>
      </w:r>
    </w:p>
    <w:p w14:paraId="395B24C3" w14:textId="7EC6D4B4" w:rsidR="00446F27" w:rsidRPr="004A5029" w:rsidRDefault="00446F27" w:rsidP="00446F27">
      <w:pPr>
        <w:autoSpaceDE w:val="0"/>
        <w:autoSpaceDN w:val="0"/>
        <w:adjustRightInd w:val="0"/>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 xml:space="preserve">b) non sussistano a suo carico le cause di esclusione di cui al </w:t>
      </w:r>
      <w:r w:rsidR="00F1581C"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 </w:t>
      </w:r>
      <w:r w:rsidR="00A9504B" w:rsidRPr="004A5029">
        <w:rPr>
          <w:rFonts w:ascii="Times New Roman" w:hAnsi="Times New Roman" w:cs="Times New Roman"/>
          <w:b/>
          <w:bCs/>
          <w:color w:val="000000" w:themeColor="text1"/>
        </w:rPr>
        <w:t>T</w:t>
      </w:r>
      <w:r w:rsidR="00A9504B" w:rsidRPr="004A5029">
        <w:rPr>
          <w:rFonts w:ascii="Times New Roman" w:hAnsi="Times New Roman" w:cs="Times New Roman"/>
          <w:color w:val="000000" w:themeColor="text1"/>
        </w:rPr>
        <w:t xml:space="preserve">itolo </w:t>
      </w:r>
      <w:r w:rsidRPr="004A5029">
        <w:rPr>
          <w:rFonts w:ascii="Times New Roman" w:hAnsi="Times New Roman" w:cs="Times New Roman"/>
          <w:color w:val="000000" w:themeColor="text1"/>
        </w:rPr>
        <w:t>IV</w:t>
      </w:r>
      <w:r w:rsidR="00F02518" w:rsidRPr="004A5029">
        <w:rPr>
          <w:rFonts w:ascii="Times New Roman" w:hAnsi="Times New Roman" w:cs="Times New Roman"/>
          <w:color w:val="000000" w:themeColor="text1"/>
        </w:rPr>
        <w:t xml:space="preserve"> </w:t>
      </w:r>
      <w:r w:rsidR="00F02518" w:rsidRPr="004A5029">
        <w:rPr>
          <w:rFonts w:ascii="Times New Roman" w:hAnsi="Times New Roman" w:cs="Times New Roman"/>
          <w:b/>
          <w:bCs/>
          <w:color w:val="000000" w:themeColor="text1"/>
        </w:rPr>
        <w:t>della Parte V del presente Libro</w:t>
      </w:r>
      <w:r w:rsidRPr="004A5029">
        <w:rPr>
          <w:rFonts w:ascii="Times New Roman" w:hAnsi="Times New Roman" w:cs="Times New Roman"/>
          <w:color w:val="000000" w:themeColor="text1"/>
        </w:rPr>
        <w:t>;</w:t>
      </w:r>
    </w:p>
    <w:p w14:paraId="44870FD7"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c) all'atto dell'offerta siano stati indicati i lavori o le parti di opere ovvero i servizi e le forniture o parti di servizi e forniture che si intende subappaltare.</w:t>
      </w:r>
    </w:p>
    <w:p w14:paraId="0F417234" w14:textId="537797E0"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L'affidatario trasmette il contratto di subappalto alla stazione appaltante almeno </w:t>
      </w:r>
      <w:r w:rsidRPr="004A5029">
        <w:rPr>
          <w:rFonts w:ascii="Times New Roman" w:hAnsi="Times New Roman" w:cs="Times New Roman"/>
          <w:strike/>
          <w:color w:val="000000" w:themeColor="text1"/>
        </w:rPr>
        <w:t>20</w:t>
      </w:r>
      <w:r w:rsidRPr="004A5029">
        <w:rPr>
          <w:rFonts w:ascii="Times New Roman" w:hAnsi="Times New Roman" w:cs="Times New Roman"/>
          <w:color w:val="000000" w:themeColor="text1"/>
        </w:rPr>
        <w:t xml:space="preserve"> </w:t>
      </w:r>
      <w:r w:rsidR="00EF254E" w:rsidRPr="004A5029">
        <w:rPr>
          <w:rFonts w:ascii="Times New Roman" w:hAnsi="Times New Roman" w:cs="Times New Roman"/>
          <w:b/>
          <w:bCs/>
          <w:color w:val="000000" w:themeColor="text1"/>
        </w:rPr>
        <w:t xml:space="preserve">venti </w:t>
      </w:r>
      <w:r w:rsidRPr="004A5029">
        <w:rPr>
          <w:rFonts w:ascii="Times New Roman" w:hAnsi="Times New Roman" w:cs="Times New Roman"/>
          <w:color w:val="000000" w:themeColor="text1"/>
        </w:rPr>
        <w:t xml:space="preserve">giorni prima della data di effettivo inizio dell'esecuzione delle relative prestazioni. Contestualmente trasmette la dichiarazione del subappaltatore attestante l'assenza delle cause di esclusione di cui al </w:t>
      </w:r>
      <w:r w:rsidR="00F1581C"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 </w:t>
      </w:r>
      <w:r w:rsidR="00A9504B" w:rsidRPr="004A5029">
        <w:rPr>
          <w:rFonts w:ascii="Times New Roman" w:hAnsi="Times New Roman" w:cs="Times New Roman"/>
          <w:b/>
          <w:bCs/>
          <w:color w:val="000000" w:themeColor="text1"/>
        </w:rPr>
        <w:t>T</w:t>
      </w:r>
      <w:r w:rsidRPr="004A5029">
        <w:rPr>
          <w:rFonts w:ascii="Times New Roman" w:hAnsi="Times New Roman" w:cs="Times New Roman"/>
          <w:color w:val="000000" w:themeColor="text1"/>
        </w:rPr>
        <w:t xml:space="preserve">itolo IV </w:t>
      </w:r>
      <w:r w:rsidR="00F02518" w:rsidRPr="004A5029">
        <w:rPr>
          <w:rFonts w:ascii="Times New Roman" w:hAnsi="Times New Roman" w:cs="Times New Roman"/>
          <w:b/>
          <w:bCs/>
          <w:color w:val="000000" w:themeColor="text1"/>
        </w:rPr>
        <w:t>della Parte V del presente Libro</w:t>
      </w:r>
      <w:r w:rsidR="00F02518"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e il possesso dei requisiti di cui agli articoli 100 e 103. La stazione appaltante verifica la dichiarazione tramite la Banca dati nazionale di cui all'articolo 23. Il contratto di subappalto, corredato della documentazione tecnica, amministrativa e grafica direttamente derivata dagli atti del contratto affidato, indica puntualmente l'ambito operativo del subappalto sia in termini prestazionali che economici. </w:t>
      </w:r>
    </w:p>
    <w:p w14:paraId="0CBDF2FE" w14:textId="3ABADD09" w:rsidR="00446F27" w:rsidRPr="004A5029" w:rsidRDefault="00446F27" w:rsidP="00446F27">
      <w:pPr>
        <w:autoSpaceDE w:val="0"/>
        <w:autoSpaceDN w:val="0"/>
        <w:adjustRightInd w:val="0"/>
        <w:jc w:val="both"/>
        <w:rPr>
          <w:rFonts w:ascii="Times New Roman" w:hAnsi="Times New Roman" w:cs="Times New Roman"/>
          <w:b/>
          <w:color w:val="000000" w:themeColor="text1"/>
        </w:rPr>
      </w:pPr>
      <w:r w:rsidRPr="004A5029">
        <w:rPr>
          <w:rFonts w:ascii="Times New Roman" w:hAnsi="Times New Roman" w:cs="Times New Roman"/>
          <w:color w:val="000000" w:themeColor="text1"/>
        </w:rPr>
        <w:t>6. Il contraente principale e il subappaltatore sono responsabili in solido nei confronti della stazione appaltante per le prestazioni oggetto del contratto di subappalto. L'aggiudicatario è responsabile in solido con il subappaltatore per gli obblighi retributivi e contributivi, ai sensi dell'articolo 29 del decreto legislativo 10 settembre 2003, n. 276. Nelle ipotesi di cui al comma 11, lettere a) e c), l'appaltatore è liberato dalla responsabilità solidale di cui al secondo periodo</w:t>
      </w:r>
      <w:r w:rsidR="006C0883" w:rsidRPr="004A5029">
        <w:rPr>
          <w:rFonts w:ascii="Times New Roman" w:hAnsi="Times New Roman" w:cs="Times New Roman"/>
          <w:color w:val="000000" w:themeColor="text1"/>
        </w:rPr>
        <w:t xml:space="preserve"> del presente comma</w:t>
      </w:r>
      <w:r w:rsidRPr="004A5029">
        <w:rPr>
          <w:rFonts w:ascii="Times New Roman" w:hAnsi="Times New Roman" w:cs="Times New Roman"/>
          <w:b/>
          <w:color w:val="000000" w:themeColor="text1"/>
        </w:rPr>
        <w:t>.</w:t>
      </w:r>
    </w:p>
    <w:p w14:paraId="64A55F60"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7. L'affidatario è tenuto ad osservare il trattamento economico e normativo stabilito dai contratti collettivi nazionale e territoriale in vigore per il settore e per la zona nella quale si eseguono le prestazioni secondo quanto previsto all’articolo 11. È, altresì. responsabile in solido dell'osservanza delle norme anzidette da parte dei subappaltatori nei confronti dei loro dipendenti per le prestazioni rese nell'ambito del subappalto nel rispetto di quanto previsto dal comma 12. L'affidatario e, per suo tramite, i subappaltatori, trasmettono alla stazione appaltante prima dell'inizio dei lavori la documentazione di avvenuta denunzia agli enti previdenziali, inclusa la Cassa edile, assicurativi e antinfortunistici, nonché copia del piano di cui al comma 15. Per il pagamento delle prestazioni rese nell'ambito dell'appalto o del subappalto, la stazione appaltante acquisisce d'ufficio il documento unico di regolarità contributiva in corso di validità relativo all'affidatario e a tutti i subappaltatori.</w:t>
      </w:r>
    </w:p>
    <w:p w14:paraId="070CC6FA"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8. Per i contratti relativi a lavori, servizi e forniture, in caso di ritardo nel pagamento delle retribuzioni dovute al personale dipendente o del subappaltatore o dei soggetti titolari di subappalti e cottimi, nonché in caso di inadempienza contributiva risultante dal documento unico di regolarità contributiva, si applicano le disposizioni di cui all'articolo 11, comma 5.</w:t>
      </w:r>
    </w:p>
    <w:p w14:paraId="332E13F9" w14:textId="537B58E0"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Nel caso di formale contestazione delle richieste di cui al comma </w:t>
      </w:r>
      <w:r w:rsidRPr="004A5029">
        <w:rPr>
          <w:rFonts w:ascii="Times New Roman" w:hAnsi="Times New Roman" w:cs="Times New Roman"/>
          <w:b/>
          <w:bCs/>
          <w:strike/>
          <w:color w:val="000000" w:themeColor="text1"/>
        </w:rPr>
        <w:t>precedente</w:t>
      </w:r>
      <w:r w:rsidR="007466BD" w:rsidRPr="004A5029">
        <w:rPr>
          <w:rFonts w:ascii="Times New Roman" w:hAnsi="Times New Roman" w:cs="Times New Roman"/>
          <w:b/>
          <w:bCs/>
          <w:color w:val="000000" w:themeColor="text1"/>
        </w:rPr>
        <w:t xml:space="preserve"> 8</w:t>
      </w:r>
      <w:r w:rsidRPr="004A5029">
        <w:rPr>
          <w:rFonts w:ascii="Times New Roman" w:hAnsi="Times New Roman" w:cs="Times New Roman"/>
          <w:color w:val="000000" w:themeColor="text1"/>
        </w:rPr>
        <w:t xml:space="preserve">, </w:t>
      </w:r>
      <w:r w:rsidRPr="004A5029">
        <w:rPr>
          <w:rFonts w:ascii="Times New Roman" w:eastAsia="Garamond" w:hAnsi="Times New Roman" w:cs="Times New Roman"/>
          <w:b/>
          <w:bCs/>
          <w:color w:val="000000" w:themeColor="text1"/>
        </w:rPr>
        <w:t>i</w:t>
      </w:r>
      <w:r w:rsidRPr="004A5029">
        <w:rPr>
          <w:rFonts w:ascii="Times New Roman" w:eastAsia="Garamond" w:hAnsi="Times New Roman" w:cs="Times New Roman"/>
          <w:bCs/>
          <w:color w:val="000000" w:themeColor="text1"/>
        </w:rPr>
        <w:t>l RUP o il responsabile della fase dell’esecuzione, ove nominato,</w:t>
      </w:r>
      <w:r w:rsidRPr="004A5029">
        <w:rPr>
          <w:rFonts w:ascii="Times New Roman" w:hAnsi="Times New Roman" w:cs="Times New Roman"/>
          <w:color w:val="000000" w:themeColor="text1"/>
        </w:rPr>
        <w:t xml:space="preserve"> inoltra le richieste e le contestazioni alla direzione provinciale del lavoro per i necessari accertamenti.</w:t>
      </w:r>
    </w:p>
    <w:p w14:paraId="691FC16A" w14:textId="48D8CD80"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L'affidatario sostituisce, previa autorizzazione della stazione appaltante, i subappaltatori relativamente ai quali, all’esito di apposita verifica, sia stata accertata la sussistenza di cause di esclusione di cui al </w:t>
      </w:r>
      <w:r w:rsidR="00F1581C"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 </w:t>
      </w:r>
      <w:r w:rsidR="00A9504B" w:rsidRPr="004A5029">
        <w:rPr>
          <w:rFonts w:ascii="Times New Roman" w:hAnsi="Times New Roman" w:cs="Times New Roman"/>
          <w:b/>
          <w:bCs/>
          <w:color w:val="000000" w:themeColor="text1"/>
        </w:rPr>
        <w:t>T</w:t>
      </w:r>
      <w:r w:rsidRPr="004A5029">
        <w:rPr>
          <w:rFonts w:ascii="Times New Roman" w:hAnsi="Times New Roman" w:cs="Times New Roman"/>
          <w:color w:val="000000" w:themeColor="text1"/>
        </w:rPr>
        <w:t>itolo IV</w:t>
      </w:r>
      <w:r w:rsidR="00F02518" w:rsidRPr="004A5029">
        <w:rPr>
          <w:rFonts w:ascii="Times New Roman" w:hAnsi="Times New Roman" w:cs="Times New Roman"/>
          <w:color w:val="000000" w:themeColor="text1"/>
        </w:rPr>
        <w:t xml:space="preserve"> </w:t>
      </w:r>
      <w:r w:rsidR="00F02518" w:rsidRPr="004A5029">
        <w:rPr>
          <w:rFonts w:ascii="Times New Roman" w:hAnsi="Times New Roman" w:cs="Times New Roman"/>
          <w:b/>
          <w:bCs/>
          <w:color w:val="000000" w:themeColor="text1"/>
        </w:rPr>
        <w:t>della Parte V del presente Libro</w:t>
      </w:r>
      <w:r w:rsidRPr="004A5029">
        <w:rPr>
          <w:rFonts w:ascii="Times New Roman" w:hAnsi="Times New Roman" w:cs="Times New Roman"/>
          <w:color w:val="000000" w:themeColor="text1"/>
        </w:rPr>
        <w:t xml:space="preserve">. </w:t>
      </w:r>
    </w:p>
    <w:p w14:paraId="5D419C19" w14:textId="2DBE6628"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11. La stazione appaltante corrisponde direttamente al subappaltatore ed ai titolari di sub-contratti non costituenti subappalto ai sensi del quinto periodo del comma 2 l'importo dovuto per le prestazioni dagli stessi eseguite nei seguenti casi:</w:t>
      </w:r>
    </w:p>
    <w:p w14:paraId="6FE02472" w14:textId="77777777"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a) quando il subcontraente è una microimpresa o piccola impresa;</w:t>
      </w:r>
    </w:p>
    <w:p w14:paraId="4243C63C" w14:textId="77777777"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b) in caso di inadempimento da parte dell'appaltatore; </w:t>
      </w:r>
    </w:p>
    <w:p w14:paraId="151BA87E" w14:textId="77777777" w:rsidR="00446F27" w:rsidRPr="004A5029" w:rsidRDefault="00446F27" w:rsidP="00446F27">
      <w:pPr>
        <w:autoSpaceDE w:val="0"/>
        <w:autoSpaceDN w:val="0"/>
        <w:adjustRightInd w:val="0"/>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c) su richiesta del subcontraente e se la natura del contratto lo consente.</w:t>
      </w:r>
    </w:p>
    <w:p w14:paraId="428211FE" w14:textId="28FE8F63"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12. Il subappaltatore, per le prestazioni affidate in subappalto, deve garantire gli stessi standard qualitativi e prestazionali previsti nel contratto di appalto e riconoscere ai lavoratori un trattamento economico e normativo non inferiore a quello che avrebbe garantito il contraente principale. Il subappaltatore è tenuto ad applicare i medesimi contratti collettivi nazionali di lavoro del contraente principale</w:t>
      </w:r>
      <w:r w:rsidR="00FB03BE"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qualora le attività oggetto di subappalto</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coincidano con quelle caratterizzanti l’oggetto dell’appalto oppure riguardino le lavorazioni relative alle categorie prevalenti e siano incluse nell’oggetto sociale del contraente principale. L'affidatario corrisponde i costi della sicurezza e della manodopera, relativi alle prestazioni affidate in subappalto, alle imprese subappaltatrici senza alcun ribasso; la stazione appaltante, sentito il direttore dei lavori, il coordinatore della sicurezza in fase di esecuzione oppure il direttore dell'esecuzione, provvede alla verifica dell'effettiva applicazione della presente disposizione. L'affidatario è solidalmente responsabile con il subappaltatore degli adempimenti, da parte di quest’ultimo, degli obblighi di sicurezza previsti dalla normativa vigente.</w:t>
      </w:r>
    </w:p>
    <w:p w14:paraId="7330296E"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13. Per i lavori, nei cartelli esposti all'esterno del cantiere devono essere indicati anche i nominativi di tutte le imprese subappaltatrici.</w:t>
      </w:r>
    </w:p>
    <w:p w14:paraId="6FD67539"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14. Per contrastare il fenomeno del lavoro sommerso irregolare il documento unico di regolarità contributiva è comprensivo della verifica della congruità della incidenza della mano d'opera relativa allo specifico contratto affidato. Tale congruità, per i lavori edili, è verificata dalla Cassa edile in base all'accordo assunto a livello nazionale tra le parti sociali firmatarie del contratto collettivo nazionale comparativamente più rappresentative per l'ambito del settore edile ed il Ministero del lavoro e delle politiche sociali; per i lavori non edili è verificata in comparazione con lo specifico contratto collettivo applicato.</w:t>
      </w:r>
    </w:p>
    <w:p w14:paraId="60AD0CCB"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15. I piani di sicurezza di cui al decreto legislativo del 9 aprile 2008, n. 81 sono messi a disposizione delle autorità competenti preposte alle verifiche ispettive di controllo dei cantieri. L'affidatario è tenuto a curare il coordinamento di tutti i subappaltatori operanti nel cantiere per rendere gli specifici piani redatti dai singoli subappaltatori compatibili tra loro e coerenti con il piano presentato dall'affidatario. Nell'ipotesi di raggruppamento temporaneo o di consorzio, l’obbligo incombe al mandatario. Il direttore tecnico di cantiere è responsabile del rispetto del piano da parte di tutte le imprese impegnate nell'esecuzione dei lavori.</w:t>
      </w:r>
    </w:p>
    <w:p w14:paraId="6418BCC9" w14:textId="5E595971"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16. L'affidatario che si avvale del subappalto o del cottimo deve allegare alla copia autentica del contratto la dichiarazione circa la sussistenza o meno di eventuali forme di controllo o di collegamento a norma dell'articolo 2359 del codice civile con il titolare del subappalto o del cottimo. Analoga dichiarazione deve essere effettuata da ciascuno dei soggetti partecipanti nel caso di raggruppamento temporaneo, società o consorzio. La stazione appaltante rilascia l’autorizzazione di cui al comma 4 entro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relativa richiesta; tale termine può essere prorogato una sola volta, quando ricorrano giustificati motivi. Trascorso tale termine senza che si sia provveduto, l'autorizzazione si intende concessa. Per i subappalti o cottimi di importo inferiore al 2 per cento dell'importo delle prestazioni affidate o di importo inferiore a 100.000 euro, i termini per il rilascio dell'autorizzazione da parte </w:t>
      </w:r>
      <w:r w:rsidR="006C0883" w:rsidRPr="004A5029">
        <w:rPr>
          <w:rFonts w:ascii="Times New Roman" w:hAnsi="Times New Roman" w:cs="Times New Roman"/>
          <w:color w:val="000000" w:themeColor="text1"/>
        </w:rPr>
        <w:t xml:space="preserve">della stazione appaltante </w:t>
      </w:r>
      <w:r w:rsidRPr="004A5029">
        <w:rPr>
          <w:rFonts w:ascii="Times New Roman" w:hAnsi="Times New Roman" w:cs="Times New Roman"/>
          <w:color w:val="000000" w:themeColor="text1"/>
        </w:rPr>
        <w:t>sono ridotti della metà.</w:t>
      </w:r>
    </w:p>
    <w:p w14:paraId="7C687C87" w14:textId="0E0F90DF"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17. Le stazioni appaltanti indicano nei documenti di gara le prestazioni o lavorazioni oggetto del contratto di appalto che, pur subappaltabili, non possono formare oggetto di ulteriore subappalto, in ragione delle specifiche caratteristiche dell’appalto e dell’esigenza, tenuto conto della natura o della complessità delle prestazioni o delle lavorazioni da effettuare, di rafforzare il controllo delle attività di cantiere e più in generale dei luoghi di lavoro o di garantire una più intensa tutela delle condizioni di lavoro e della salute e sicurezza dei lavoratori oppure di prevenire il rischio di infiltrazioni criminali. Si prescinde da tale ultima valutazione quando i subappaltatori ulteriori siano iscritti nell’elenco dei fornitori, prestatori di servizi ed esecutori di lavori di cui al comma 52 dell'articolo 1 della legge 6 novembre 2012, n. 190, ovvero nell’anagrafe antimafia degli esecutori istituita dall’articolo 30 del decreto-legge 17 ottobre</w:t>
      </w:r>
      <w:r w:rsidR="00B64209"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2016, n. 189, convertito, con modificazioni, dalla legge 15 dicembre 2016, n. 229.</w:t>
      </w:r>
    </w:p>
    <w:p w14:paraId="0F1B2385"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18. Le disposizioni di cui al presente articolo si applicano anche ai raggruppamenti temporanei e alle società anche consortili, quando le imprese riunite o consorziate non intendono eseguire direttamente le prestazioni scorporabili; si applicano altresì agli affidamenti con procedura negoziata. Ai fini dell'applicazione delle disposizioni del presente articolo è consentita, in deroga all'articolo 68, comma 15, la costituzione dell'associazione in partecipazione quando l'associante non intende eseguire direttamente le prestazioni assunte in appalto.</w:t>
      </w:r>
    </w:p>
    <w:p w14:paraId="5AFF53AE" w14:textId="6264646E"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19. È fatta salva la facoltà per le regioni a statuto speciale e per le province autonome di Trento e </w:t>
      </w:r>
      <w:r w:rsidR="006C0883" w:rsidRPr="004A5029">
        <w:rPr>
          <w:rFonts w:ascii="Times New Roman" w:hAnsi="Times New Roman" w:cs="Times New Roman"/>
          <w:color w:val="000000" w:themeColor="text1"/>
        </w:rPr>
        <w:t xml:space="preserve">di </w:t>
      </w:r>
      <w:r w:rsidRPr="004A5029">
        <w:rPr>
          <w:rFonts w:ascii="Times New Roman" w:hAnsi="Times New Roman" w:cs="Times New Roman"/>
          <w:color w:val="000000" w:themeColor="text1"/>
        </w:rPr>
        <w:t>Bolzano, sulla base dei rispettivi statuti e delle relative norme di attuazione e nel rispetto della normativa europea vigente e dei principi dell'ordinamento europeo, di disciplinare ulteriori casi di pagamento diretto dei subappaltatori.</w:t>
      </w:r>
    </w:p>
    <w:p w14:paraId="7C62CE1F"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20. Le stazioni appaltanti rilasciano i certificati necessari per la partecipazione e la qualificazione all'appaltatore, scomputando dall'intero valore dell'appalto il valore e la categoria di quanto eseguito attraverso il subappalto. I subappaltatori possono richiedere alle stazioni appaltanti i certificati relativi alle prestazioni oggetto di appalto eseguite.</w:t>
      </w:r>
    </w:p>
    <w:p w14:paraId="03F828E4" w14:textId="77777777" w:rsidR="00446F27" w:rsidRPr="004A5029" w:rsidRDefault="00446F27" w:rsidP="00446F27">
      <w:pPr>
        <w:rPr>
          <w:rFonts w:ascii="Times New Roman" w:hAnsi="Times New Roman" w:cs="Times New Roman"/>
          <w:color w:val="000000" w:themeColor="text1"/>
        </w:rPr>
      </w:pPr>
    </w:p>
    <w:p w14:paraId="54D0F720" w14:textId="77777777" w:rsidR="00446F27" w:rsidRPr="004A5029" w:rsidRDefault="00446F27" w:rsidP="00446F27">
      <w:pPr>
        <w:rPr>
          <w:rFonts w:ascii="Times New Roman" w:eastAsia="Times New Roman" w:hAnsi="Times New Roman" w:cs="Times New Roman"/>
          <w:b/>
          <w:bCs/>
          <w:color w:val="000000" w:themeColor="text1"/>
          <w:lang w:eastAsia="it-IT"/>
        </w:rPr>
      </w:pPr>
      <w:r w:rsidRPr="004A5029">
        <w:rPr>
          <w:rFonts w:ascii="Times New Roman" w:hAnsi="Times New Roman" w:cs="Times New Roman"/>
          <w:b/>
          <w:color w:val="000000" w:themeColor="text1"/>
        </w:rPr>
        <w:t>Articolo</w:t>
      </w:r>
      <w:r w:rsidRPr="004A5029">
        <w:rPr>
          <w:rFonts w:ascii="Times New Roman" w:eastAsia="Times New Roman" w:hAnsi="Times New Roman" w:cs="Times New Roman"/>
          <w:b/>
          <w:bCs/>
          <w:color w:val="000000" w:themeColor="text1"/>
          <w:lang w:eastAsia="it-IT"/>
        </w:rPr>
        <w:t xml:space="preserve"> 120.</w:t>
      </w:r>
    </w:p>
    <w:p w14:paraId="5356B4C4" w14:textId="77777777" w:rsidR="00446F27" w:rsidRPr="004A5029" w:rsidRDefault="00446F27" w:rsidP="00446F27">
      <w:pPr>
        <w:rPr>
          <w:rFonts w:ascii="Times New Roman" w:hAnsi="Times New Roman" w:cs="Times New Roman"/>
          <w:color w:val="000000" w:themeColor="text1"/>
        </w:rPr>
      </w:pPr>
      <w:r w:rsidRPr="004A5029">
        <w:rPr>
          <w:rFonts w:ascii="Times New Roman" w:eastAsia="Times New Roman" w:hAnsi="Times New Roman" w:cs="Times New Roman"/>
          <w:bCs/>
          <w:i/>
          <w:color w:val="000000" w:themeColor="text1"/>
          <w:lang w:eastAsia="it-IT"/>
        </w:rPr>
        <w:t>Modifica dei contratti in corso di esecuzione.</w:t>
      </w:r>
    </w:p>
    <w:p w14:paraId="0A04C84B" w14:textId="77777777"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Fermo quanto previsto dall’articolo 60 per le clausole di revisione dei prezzi,</w:t>
      </w:r>
      <w:r w:rsidRPr="004A5029">
        <w:rPr>
          <w:rFonts w:ascii="Times New Roman" w:hAnsi="Times New Roman" w:cs="Times New Roman"/>
          <w:color w:val="000000" w:themeColor="text1"/>
        </w:rPr>
        <w:t xml:space="preserve"> i contratti di appalto possono essere modificati senza una nuova procedura di affidamento nei casi seguenti, </w:t>
      </w:r>
      <w:r w:rsidRPr="004A5029">
        <w:rPr>
          <w:rFonts w:ascii="Times New Roman" w:hAnsi="Times New Roman" w:cs="Times New Roman"/>
          <w:bCs/>
          <w:color w:val="000000" w:themeColor="text1"/>
        </w:rPr>
        <w:t>sempre che, nelle ipotesi previste dalle lettere a) e c), nonostante le modifiche, la struttura del contratto o dell’accordo quadro e l’operazione economica sottesa possano ritenersi inalterate:</w:t>
      </w:r>
    </w:p>
    <w:p w14:paraId="1DBD632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se le modifiche, a prescindere dal loro valore monetario, sono state previste in clausole chiare, precise e inequivocabili dei documenti di gara iniziali, che possono </w:t>
      </w:r>
      <w:r w:rsidRPr="004A5029">
        <w:rPr>
          <w:rFonts w:ascii="Times New Roman" w:hAnsi="Times New Roman" w:cs="Times New Roman"/>
          <w:bCs/>
          <w:color w:val="000000" w:themeColor="text1"/>
        </w:rPr>
        <w:t>consistere anche in clausole di opzione</w:t>
      </w:r>
      <w:r w:rsidRPr="004A5029">
        <w:rPr>
          <w:rFonts w:ascii="Times New Roman" w:hAnsi="Times New Roman" w:cs="Times New Roman"/>
          <w:color w:val="000000" w:themeColor="text1"/>
        </w:rPr>
        <w:t xml:space="preserve">; per i contratti relativi a servizi o forniture stipulati dai soggetti aggregatori restano ferme le disposizioni di cui all'articolo 1, comma 511, della legge 28 dicembre 2015, n. 208; </w:t>
      </w:r>
    </w:p>
    <w:p w14:paraId="38839E2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per la sopravvenuta necessità di lavori, servizi o forniture supplementari, non previsti nell'appalto iniziale, ove un cambiamento del contraente nel contempo: </w:t>
      </w:r>
    </w:p>
    <w:p w14:paraId="00DF053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risulti impraticabile per motivi economici o tecnici; </w:t>
      </w:r>
    </w:p>
    <w:p w14:paraId="0A018EC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comporti per la stazione appaltante notevoli disagi o un sostanziale incremento dei costi; </w:t>
      </w:r>
    </w:p>
    <w:p w14:paraId="1EC15E7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per le varianti in corso d’opera, da intendersi come modifiche resesi necessarie in corso di esecuzione dell’appalto per effetto di circostanze imprevedibili da parte della stazione appaltante. Rientrano in tali circostanze nuove disposizioni legislative o regolamentari o provvedimenti sopravvenuti di autorità o enti preposti alla tutela di interessi rilevanti; </w:t>
      </w:r>
    </w:p>
    <w:p w14:paraId="31DDB23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se un nuovo contraente sostituisce l’aggiudicatario a causa di una delle seguenti circostanze: </w:t>
      </w:r>
    </w:p>
    <w:p w14:paraId="4102EB3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modifiche soggettive implicanti la sostituzione del contraente originario sono previste in clausole chiare, precise e inequivocabili dei documenti di gara; </w:t>
      </w:r>
    </w:p>
    <w:p w14:paraId="26AD470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all'aggiudicatario succede, per causa di morte o insolvenza o a seguito di ristrutturazioni societarie, che comportino successione nei rapporti pendenti, un altro operatore economico che soddisfi gli iniziali criteri di selezione, purché ciò non implichi ulteriori modifiche sostanziali al contratto e non sia finalizzato ad eludere l'applicazione del codice, fatto salvo quanto previsto dall’articolo 124; </w:t>
      </w:r>
    </w:p>
    <w:p w14:paraId="7D4C7E6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nel caso in cui la stazione appaltante assume gli obblighi del contraente principale nei confronti dei suoi subappaltatori.</w:t>
      </w:r>
    </w:p>
    <w:p w14:paraId="27216F3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Nei casi di cui al comma 1, lettere b) e c), il contratto può essere modificato solo se l'eventuale aumento di prezzo non ecceda il 50 per cento del valore del contratto iniziale. In caso di più modifiche successive, la limitazione si applica al valore di ciascuna modifica. Tali modifiche successive non eludono l’applicazione del codice. </w:t>
      </w:r>
    </w:p>
    <w:p w14:paraId="64FF0D35" w14:textId="3C727DCC" w:rsidR="00446F27" w:rsidRPr="004A5029" w:rsidRDefault="00446F27" w:rsidP="00446F27">
      <w:pPr>
        <w:jc w:val="both"/>
        <w:rPr>
          <w:rFonts w:ascii="Times New Roman" w:hAnsi="Times New Roman" w:cs="Times New Roman"/>
          <w:color w:val="000000" w:themeColor="text1"/>
        </w:rPr>
      </w:pPr>
      <w:bookmarkStart w:id="42" w:name="_Hlk129597382"/>
      <w:r w:rsidRPr="004A5029">
        <w:rPr>
          <w:rFonts w:ascii="Times New Roman" w:hAnsi="Times New Roman" w:cs="Times New Roman"/>
          <w:color w:val="000000" w:themeColor="text1"/>
        </w:rPr>
        <w:t>3</w:t>
      </w:r>
      <w:bookmarkStart w:id="43" w:name="_Hlk129597423"/>
      <w:r w:rsidRPr="004A5029">
        <w:rPr>
          <w:rFonts w:ascii="Times New Roman" w:hAnsi="Times New Roman" w:cs="Times New Roman"/>
          <w:color w:val="000000" w:themeColor="text1"/>
        </w:rPr>
        <w:t xml:space="preserve">. I contratti possono parimenti essere modificati, oltre a quanto previsto </w:t>
      </w:r>
      <w:r w:rsidR="006C088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comma 1, senza necessità di una nuova procedura, sempre che nonostante le modifiche</w:t>
      </w:r>
      <w:r w:rsidR="006F5EEB" w:rsidRPr="004A5029">
        <w:rPr>
          <w:rFonts w:ascii="Times New Roman" w:hAnsi="Times New Roman" w:cs="Times New Roman"/>
          <w:b/>
          <w:bCs/>
          <w:color w:val="000000" w:themeColor="text1"/>
        </w:rPr>
        <w:t xml:space="preserve">, </w:t>
      </w:r>
      <w:r w:rsidR="006F5EEB" w:rsidRPr="004A5029">
        <w:rPr>
          <w:rFonts w:ascii="Times New Roman" w:hAnsi="Times New Roman" w:cs="Times New Roman"/>
          <w:color w:val="000000" w:themeColor="text1"/>
        </w:rPr>
        <w:t xml:space="preserve">la </w:t>
      </w:r>
      <w:r w:rsidR="007F5E3B" w:rsidRPr="004A5029">
        <w:rPr>
          <w:rFonts w:ascii="Times New Roman" w:hAnsi="Times New Roman" w:cs="Times New Roman"/>
          <w:color w:val="000000" w:themeColor="text1"/>
        </w:rPr>
        <w:t>s</w:t>
      </w:r>
      <w:r w:rsidRPr="004A5029">
        <w:rPr>
          <w:rFonts w:ascii="Times New Roman" w:hAnsi="Times New Roman" w:cs="Times New Roman"/>
          <w:color w:val="000000" w:themeColor="text1"/>
        </w:rPr>
        <w:t>truttura</w:t>
      </w:r>
      <w:r w:rsidR="0085711D"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del contratto o dell’accordo quadro e l’operazione economica </w:t>
      </w:r>
      <w:r w:rsidR="007F5E3B" w:rsidRPr="004A5029">
        <w:rPr>
          <w:rFonts w:ascii="Times New Roman" w:hAnsi="Times New Roman" w:cs="Times New Roman"/>
          <w:color w:val="000000" w:themeColor="text1"/>
        </w:rPr>
        <w:t xml:space="preserve">sottesa </w:t>
      </w:r>
      <w:r w:rsidRPr="004A5029">
        <w:rPr>
          <w:rFonts w:ascii="Times New Roman" w:hAnsi="Times New Roman" w:cs="Times New Roman"/>
          <w:color w:val="000000" w:themeColor="text1"/>
        </w:rPr>
        <w:t>possano ritenersi inalterate</w:t>
      </w:r>
      <w:r w:rsidR="006F5EEB" w:rsidRPr="004A5029">
        <w:rPr>
          <w:rFonts w:ascii="Times New Roman" w:hAnsi="Times New Roman" w:cs="Times New Roman"/>
          <w:color w:val="000000" w:themeColor="text1"/>
        </w:rPr>
        <w:t>,</w:t>
      </w:r>
      <w:r w:rsidR="007F5E3B"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se il valore della modifica è al di sotto di entrambi i seguenti valori: </w:t>
      </w:r>
      <w:bookmarkEnd w:id="43"/>
    </w:p>
    <w:bookmarkEnd w:id="42"/>
    <w:p w14:paraId="2A66A8C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le soglie fissate all'articolo 14; </w:t>
      </w:r>
    </w:p>
    <w:p w14:paraId="5623906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il 10 per cento del valore iniziale del contratto per i contratti di servizi e forniture; il 15 per cento del valore iniziale del contratto per i contratti di lavori; in caso di più modifiche successive, il valore è accertato sulla base del valore complessivo del contratto al netto delle successive modifiche. </w:t>
      </w:r>
    </w:p>
    <w:p w14:paraId="38A74AB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Ai fini del calcolo del prezzo di cui ai commi 1, lettere b) e c), 2 e 3, quando il contratto prevede una clausola di indicizzazione, il valore di riferimento è il prezzo aggiornato.</w:t>
      </w:r>
    </w:p>
    <w:p w14:paraId="2518831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Sono sempre consentite, a prescindere dal loro valore, le modifiche non sostanziali. </w:t>
      </w:r>
    </w:p>
    <w:p w14:paraId="340F0E72" w14:textId="355C1FA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La modifica è considerata sostanziale quando altera considerevolmente </w:t>
      </w:r>
      <w:r w:rsidR="0085711D" w:rsidRPr="004A5029">
        <w:rPr>
          <w:rFonts w:ascii="Times New Roman" w:hAnsi="Times New Roman" w:cs="Times New Roman"/>
          <w:color w:val="000000" w:themeColor="text1"/>
        </w:rPr>
        <w:t xml:space="preserve">la struttura </w:t>
      </w:r>
      <w:r w:rsidRPr="004A5029">
        <w:rPr>
          <w:rFonts w:ascii="Times New Roman" w:hAnsi="Times New Roman" w:cs="Times New Roman"/>
          <w:color w:val="000000" w:themeColor="text1"/>
        </w:rPr>
        <w:t>del contratto o dell’accordo quadro e l’operazione economica sottesa. In ogni caso</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fatti salvi </w:t>
      </w:r>
      <w:r w:rsidR="005A0002" w:rsidRPr="004A5029">
        <w:rPr>
          <w:rFonts w:ascii="Times New Roman" w:hAnsi="Times New Roman" w:cs="Times New Roman"/>
          <w:color w:val="000000" w:themeColor="text1"/>
        </w:rPr>
        <w:t>i</w:t>
      </w:r>
      <w:r w:rsidR="005A0002"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commi 1 e 3, una modifica è considerata sostanziale se si verificano una o più delle seguenti condizioni: </w:t>
      </w:r>
    </w:p>
    <w:p w14:paraId="619F320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 modifica introduce condizioni che, se fossero state contenute nella procedura d'appalto iniziale, avrebbero consentito di ammettere candidati diversi da quelli inizialmente selezionati o di accettare un'offerta diversa da quella inizialmente accettata, oppure avrebbero attirato ulteriori partecipanti alla procedura di aggiudicazione; </w:t>
      </w:r>
    </w:p>
    <w:p w14:paraId="188443A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 modifica cambia l'equilibrio economico del contratto o dell'accordo quadro a favore dell'aggiudicatario in modo non previsto nel contratto iniziale; </w:t>
      </w:r>
    </w:p>
    <w:p w14:paraId="3ED8BFD9"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la modifica estende notevolmente l'ambito di applicazione del contratto; </w:t>
      </w:r>
    </w:p>
    <w:p w14:paraId="6548FCD8" w14:textId="4A572C4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un nuovo contraente sostituisce quello cui la stazione appaltante aveva inizialmente aggiudicato l'appalto in casi diversi da quelli previsti </w:t>
      </w:r>
      <w:r w:rsidR="006C088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 xml:space="preserve">al comma 1, lettera d). </w:t>
      </w:r>
    </w:p>
    <w:p w14:paraId="2EDCA4CC" w14:textId="097D45F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Non sono considerate sostanziali, fermi restando i limiti derivanti dalle somme a disposizione del quadro economico e dalle previsioni di cui alle lettere a) b) e c) del comma </w:t>
      </w:r>
      <w:r w:rsidR="006C0883" w:rsidRPr="004A5029">
        <w:rPr>
          <w:rFonts w:ascii="Times New Roman" w:hAnsi="Times New Roman" w:cs="Times New Roman"/>
          <w:color w:val="000000" w:themeColor="text1"/>
        </w:rPr>
        <w:t>6</w:t>
      </w:r>
      <w:r w:rsidRPr="004A5029">
        <w:rPr>
          <w:rFonts w:ascii="Times New Roman" w:hAnsi="Times New Roman" w:cs="Times New Roman"/>
          <w:color w:val="000000" w:themeColor="text1"/>
        </w:rPr>
        <w:t>, le modifiche al progetto proposte dalla stazione appaltante ovvero dall’appaltatore con le quali, nel rispetto della funzionalità dell'opera:</w:t>
      </w:r>
    </w:p>
    <w:p w14:paraId="60B15DB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si assicurino risparmi, rispetto alle previsioni iniziali, da utilizzare in compensazione per far fronte alle variazioni in aumento dei costi delle lavorazioni;</w:t>
      </w:r>
    </w:p>
    <w:p w14:paraId="12EBC15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si realizzino soluzioni equivalenti o migliorative in termini economici, tecnici o di tempi di ultimazione dell’opera.</w:t>
      </w:r>
      <w:r w:rsidRPr="004A5029">
        <w:rPr>
          <w:rFonts w:ascii="Times New Roman" w:hAnsi="Times New Roman" w:cs="Times New Roman"/>
          <w:color w:val="000000" w:themeColor="text1"/>
          <w:vertAlign w:val="superscript"/>
        </w:rPr>
        <w:t xml:space="preserve"> </w:t>
      </w:r>
    </w:p>
    <w:p w14:paraId="2C30FBE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Il contratto è sempre modificabile ai sensi dell’articolo 9 e nel rispetto delle clausole di rinegoziazione contenute nel contratto. Nel caso in cui queste non siano previste, la richiesta di rinegoziazione va avanzata senza ritardo e non giustifica, di per sé, la sospensione dell’esecuzione del contratto. Il RUP provvede a formulare la proposta di un nuovo accordo entro un termine non superiore a tre mesi. Nel caso in cui non si pervenga al nuovo accordo entro un termine ragionevole, la parte svantaggiata può agire in giudizio per ottenere l’adeguamento del contratto all’equilibrio originario, salva la responsabilità per la violazione dell’obbligo di rinegoziazione.</w:t>
      </w:r>
    </w:p>
    <w:p w14:paraId="021A135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Nei documenti di gara iniziali può essere stabilito che, qualora in corso di esecuzione si renda necessario un aumento o una diminuzione delle prestazioni fino a concorrenza del quinto dell'importo del contratto, la stazione appaltante possa imporre all'appaltatore l'esecuzione alle condizioni originariamente previste. In tal caso l'appaltatore non può fare valere il diritto alla risoluzione del contratto.</w:t>
      </w:r>
    </w:p>
    <w:p w14:paraId="1D887E8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Nel caso in cui nel bando e nei documenti di gara iniziali sia prevista un’opzione di proroga il contraente originario è tenuto a eseguire le prestazioni contrattuali ai prezzi, patti e condizioni stabiliti nel contratto o, se previsto nei documenti di gara, alle condizioni di mercato ove più favorevoli per la stazione appaltante. </w:t>
      </w:r>
    </w:p>
    <w:p w14:paraId="7FEA0A2F" w14:textId="77777777" w:rsidR="00446F27" w:rsidRPr="004A5029" w:rsidRDefault="00446F27" w:rsidP="00446F27">
      <w:pPr>
        <w:jc w:val="both"/>
        <w:rPr>
          <w:rFonts w:ascii="Times New Roman" w:hAnsi="Times New Roman" w:cs="Times New Roman"/>
          <w:color w:val="000000" w:themeColor="text1"/>
          <w:highlight w:val="cyan"/>
        </w:rPr>
      </w:pPr>
      <w:r w:rsidRPr="004A5029">
        <w:rPr>
          <w:rFonts w:ascii="Times New Roman" w:hAnsi="Times New Roman" w:cs="Times New Roman"/>
          <w:color w:val="000000" w:themeColor="text1"/>
        </w:rPr>
        <w:t>11. In casi eccezionali nei quali risultino oggettivi e insuperabili ritardi nella conclusione della procedura di affidamento del contratto, è consentito, per il tempo strettamente necessario alla conclusione della procedura, prorogare il contratto con l’appaltatore uscente qualora l’interruzione delle prestazioni possa determinare situazioni di pericolo per persone, animali, cose, oppure per l’igiene pubblica, oppure nei casi in cui l’interruzione della prestazione dedotta nella gara determinerebbe un grave danno all'interesse pubblico che è destinata a soddisfare. In tale ipotesi il contraente originario è tenuto all’esecuzione delle prestazioni contrattuali ai prezzi, patti e condizioni previsti nel contratto.</w:t>
      </w:r>
    </w:p>
    <w:p w14:paraId="0B74881E" w14:textId="25F21F8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12. Si applicano per le cessioni di crediti le disposizioni di cui alla legge 21 febbraio 1991, n. 52. L’a</w:t>
      </w:r>
      <w:r w:rsidRPr="004A5029">
        <w:rPr>
          <w:rFonts w:ascii="Times New Roman" w:hAnsi="Times New Roman" w:cs="Times New Roman"/>
          <w:bCs/>
          <w:color w:val="000000" w:themeColor="text1"/>
        </w:rPr>
        <w:t>llegato II.14</w:t>
      </w:r>
      <w:r w:rsidRPr="004A5029">
        <w:rPr>
          <w:rFonts w:ascii="Times New Roman" w:hAnsi="Times New Roman" w:cs="Times New Roman"/>
          <w:color w:val="000000" w:themeColor="text1"/>
        </w:rPr>
        <w:t xml:space="preserve"> disciplina le condizioni per l’opponibilità alle stazioni appaltanti.</w:t>
      </w:r>
    </w:p>
    <w:p w14:paraId="1CE630AA" w14:textId="54AF344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13. Fatto salvo quanto previsto </w:t>
      </w:r>
      <w:r w:rsidR="006C088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comma 8 per il caso di rinegoziazione, le modifiche e le varianti devono essere autorizzate dal RUP con le modalità previste dall’ordinamento della stazione appaltante. Le modifiche progettuali consentite ai sensi del comma 7 devono essere approvate dalla stazione appaltante su proposta del RUP, secondo quanto previsto dall’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w:t>
      </w:r>
    </w:p>
    <w:p w14:paraId="54092676" w14:textId="0D2369DE" w:rsidR="00446F27" w:rsidRPr="004A5029" w:rsidRDefault="00446F27" w:rsidP="00446F27">
      <w:pPr>
        <w:jc w:val="both"/>
        <w:rPr>
          <w:rFonts w:ascii="Times New Roman" w:hAnsi="Times New Roman" w:cs="Times New Roman"/>
          <w:color w:val="000000" w:themeColor="text1"/>
          <w:highlight w:val="cyan"/>
        </w:rPr>
      </w:pPr>
      <w:r w:rsidRPr="004A5029">
        <w:rPr>
          <w:rFonts w:ascii="Times New Roman" w:hAnsi="Times New Roman" w:cs="Times New Roman"/>
          <w:color w:val="000000" w:themeColor="text1"/>
        </w:rPr>
        <w:t>14. Un avviso della intervenuta modifica del contratto nelle situazioni di cui al comma 1, lettere b) e c), è pubblicato a cura della stazione appaltante nella Gazzetta</w:t>
      </w:r>
      <w:r w:rsidR="00165AF7" w:rsidRPr="004A5029">
        <w:rPr>
          <w:rFonts w:ascii="Times New Roman" w:hAnsi="Times New Roman" w:cs="Times New Roman"/>
          <w:color w:val="000000" w:themeColor="text1"/>
        </w:rPr>
        <w:t xml:space="preserve"> u</w:t>
      </w:r>
      <w:r w:rsidRPr="004A5029">
        <w:rPr>
          <w:rFonts w:ascii="Times New Roman" w:hAnsi="Times New Roman" w:cs="Times New Roman"/>
          <w:color w:val="000000" w:themeColor="text1"/>
        </w:rPr>
        <w:t>fficiale dell'Unione europea. L’avviso contiene le informazioni di cui all’</w:t>
      </w:r>
      <w:r w:rsidRPr="004A5029">
        <w:rPr>
          <w:rFonts w:ascii="Times New Roman" w:hAnsi="Times New Roman" w:cs="Times New Roman"/>
          <w:bCs/>
          <w:color w:val="000000" w:themeColor="text1"/>
        </w:rPr>
        <w:t>allegato II.16</w:t>
      </w:r>
      <w:r w:rsidRPr="004A5029">
        <w:rPr>
          <w:rFonts w:ascii="Times New Roman" w:hAnsi="Times New Roman" w:cs="Times New Roman"/>
          <w:color w:val="000000" w:themeColor="text1"/>
        </w:rPr>
        <w:t xml:space="preserve">, ed è pubblicato conformemente all'articolo 84. </w:t>
      </w:r>
      <w:r w:rsidRPr="004A5029">
        <w:rPr>
          <w:rFonts w:ascii="Times New Roman" w:eastAsia="Calibri" w:hAnsi="Times New Roman" w:cs="Times New Roman"/>
          <w:bCs/>
          <w:color w:val="000000" w:themeColor="text1"/>
        </w:rPr>
        <w:t xml:space="preserve">In sede di prima applicazione del codice, l’allegato </w:t>
      </w:r>
      <w:r w:rsidR="002C470F" w:rsidRPr="004A5029">
        <w:rPr>
          <w:rFonts w:ascii="Times New Roman" w:eastAsia="Calibri" w:hAnsi="Times New Roman" w:cs="Times New Roman"/>
          <w:b/>
          <w:color w:val="000000" w:themeColor="text1"/>
        </w:rPr>
        <w:t xml:space="preserve">II.16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del Ministro delle infrastrutture e dei trasporti, di concerto con il Ministro per gli affari europei, che lo sostituisce integralmente anche in qualità di allegato al codice</w:t>
      </w:r>
      <w:r w:rsidRPr="004A5029">
        <w:rPr>
          <w:rFonts w:ascii="Times New Roman" w:hAnsi="Times New Roman" w:cs="Times New Roman"/>
          <w:color w:val="000000" w:themeColor="text1"/>
        </w:rPr>
        <w:t xml:space="preserve">. Per i contratti di importo inferiore alla soglia di cui all'articolo 14 la pubblicità avviene in ambito nazionale. </w:t>
      </w:r>
    </w:p>
    <w:p w14:paraId="5271EB48" w14:textId="031B734D"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15. Si osservano, in relazione alle modifiche del contratto, nonché in relazione alle varianti in corso d’opera</w:t>
      </w:r>
      <w:r w:rsidR="006C0883"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gli oneri di comunicazione e di trasmissione all’ANAC, a cura del RUP, individuati dall’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Nel caso in cui l'ANAC accerti l'illegittimità della variante in corso d'opera approvata, esercita i poteri di cui all'articolo 222. In caso di inadempimento agli obblighi di comunicazione e trasmissione delle modifiche e delle varianti in corso d'opera previsti dall’allegato</w:t>
      </w:r>
      <w:r w:rsidR="00F4719F" w:rsidRPr="004A5029">
        <w:rPr>
          <w:rFonts w:ascii="Times New Roman" w:hAnsi="Times New Roman" w:cs="Times New Roman"/>
          <w:color w:val="000000" w:themeColor="text1"/>
        </w:rPr>
        <w:t xml:space="preserve"> </w:t>
      </w:r>
      <w:r w:rsidR="00F4719F" w:rsidRPr="004A5029">
        <w:rPr>
          <w:rFonts w:ascii="Times New Roman" w:hAnsi="Times New Roman" w:cs="Times New Roman"/>
          <w:b/>
          <w:bCs/>
          <w:color w:val="000000" w:themeColor="text1"/>
        </w:rPr>
        <w:t>II.14</w:t>
      </w:r>
      <w:r w:rsidRPr="004A5029">
        <w:rPr>
          <w:rFonts w:ascii="Times New Roman" w:hAnsi="Times New Roman" w:cs="Times New Roman"/>
          <w:color w:val="000000" w:themeColor="text1"/>
        </w:rPr>
        <w:t>, si applicano le sanzioni amministrative pecuniarie di cui all'articolo 222, comma 13.</w:t>
      </w:r>
    </w:p>
    <w:p w14:paraId="2AC57CB0" w14:textId="77777777" w:rsidR="00446F27" w:rsidRPr="004A5029" w:rsidRDefault="00446F27" w:rsidP="00446F27">
      <w:pPr>
        <w:rPr>
          <w:rFonts w:ascii="Times New Roman" w:hAnsi="Times New Roman" w:cs="Times New Roman"/>
          <w:color w:val="000000" w:themeColor="text1"/>
        </w:rPr>
      </w:pPr>
    </w:p>
    <w:p w14:paraId="23805C3E"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121.</w:t>
      </w:r>
    </w:p>
    <w:p w14:paraId="541DC305"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Sospensione dell’esecuzione.</w:t>
      </w:r>
    </w:p>
    <w:p w14:paraId="5C318E75" w14:textId="0308C456"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Quando ricorrano circostanze speciali, che impediscono in via temporanea che i lavori procedano utilmente a regola d'arte, e che non fossero prevedibili al momento della stipulazione del contratto, il direttore dei lavori può disporre la sospensione dell'esecuzione del contratto, compilando il verbale di sospensione, che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inoltrato, entro cinque giorni, al RUP.</w:t>
      </w:r>
    </w:p>
    <w:p w14:paraId="232C96C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sospensione può, altresì, essere disposta dal RUP per ragioni di necessità o di pubblico interesse.</w:t>
      </w:r>
    </w:p>
    <w:p w14:paraId="3B8F5FD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Nelle ipotesi previste dai commi 1 e 2, per i lavori di realizzazione di opere pubbliche di importo pari o superiore alle soglie di cui all’articolo 14, la sospensione è disposta dal RUP dopo aver acquisito il parere del collegio consultivo tecnico ove costituito. Se la sospensione è imposta da gravi ragioni di ordine tecnico, idonee ad incidere sulla realizzazione a regola d’arte dell’opera, in relazione alle modalità di superamento delle quali non vi è accordo tra le parti, si applica l’articolo 216, comma 4.</w:t>
      </w:r>
    </w:p>
    <w:p w14:paraId="23B0772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Fatta salva l’ipotesi del secondo periodo del comma 3, la sospensione è disposta per il tempo strettamente necessario. Cessate le relative cause, il RUP dispone la ripresa dell'esecuzione e indica il nuovo termine contrattuale.</w:t>
      </w:r>
    </w:p>
    <w:p w14:paraId="6DEA05E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Qualora la sospensione</w:t>
      </w:r>
      <w:r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o le sospensioni</w:t>
      </w:r>
      <w:r w:rsidRPr="00D076E1">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durino per un periodo di tempo superiore a</w:t>
      </w:r>
      <w:r w:rsidRPr="004A5029">
        <w:rPr>
          <w:rFonts w:ascii="Times New Roman" w:hAnsi="Times New Roman" w:cs="Times New Roman"/>
          <w:b/>
          <w:bCs/>
          <w:strike/>
          <w:color w:val="000000" w:themeColor="text1"/>
        </w:rPr>
        <w:t>d</w:t>
      </w:r>
      <w:r w:rsidRPr="004A5029">
        <w:rPr>
          <w:rFonts w:ascii="Times New Roman" w:hAnsi="Times New Roman" w:cs="Times New Roman"/>
          <w:color w:val="000000" w:themeColor="text1"/>
        </w:rPr>
        <w:t xml:space="preserve"> un quarto della durata complessiva prevista per l'esecuzione dei lavori stessi, o comunque quando superino sei mesi complessivi, l'esecutore può chiedere la risoluzione del contratto senza indennità; se la stazione appaltante si oppone, l'esecutore ha diritto alla rifusione dei maggiori oneri derivanti dal prolungamento della sospensione oltre i termini suddetti. Nessun indennizzo è dovuto all’esecutore negli altri casi.</w:t>
      </w:r>
    </w:p>
    <w:p w14:paraId="02B33143" w14:textId="2FBAEC31"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6. Quando successivamente alla consegna dei lavori insorgano, per cause imprevedibili o di forza maggiore, circostanze che impediscano parzialmente il regolare svolgimento dei lavori, l’esecutore prosegue le parti di lavoro eseguibili, mentre si provvede alla sospensione parziale dei lavori non eseguibili, dandone atto in apposito verbale. Nel caso di sospensione parziale, per i lavori di realizzazione di opere pubbliche di importo pari o superiore alle soglie di cui all’articolo 14 si applica il comma 3</w:t>
      </w:r>
      <w:r w:rsidR="006C0883" w:rsidRPr="004A5029">
        <w:rPr>
          <w:rFonts w:ascii="Times New Roman" w:hAnsi="Times New Roman" w:cs="Times New Roman"/>
          <w:color w:val="000000" w:themeColor="text1"/>
        </w:rPr>
        <w:t xml:space="preserve"> del presente articolo</w:t>
      </w:r>
      <w:r w:rsidRPr="004A5029">
        <w:rPr>
          <w:rFonts w:ascii="Times New Roman" w:hAnsi="Times New Roman" w:cs="Times New Roman"/>
          <w:color w:val="000000" w:themeColor="text1"/>
        </w:rPr>
        <w:t>.</w:t>
      </w:r>
    </w:p>
    <w:p w14:paraId="60ECC7F1" w14:textId="0500824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Le contestazioni dell'esecutore in merito alle sospensioni dei lavori, nelle ipotesi di cui ai commi 1, 2 e 6, sono iscritte, a pena di decadenza, nei verbali di sospensione e di ripresa dei lavori, salvo che la contestazione riguardi, nelle sospensioni inizialmente legittime, la sola durata, nel qual caso è sufficiente l'iscrizione della stessa nel verbale di ripresa dei lavori; qualora l'esecutore non firmi i verbali deve farne espressa riserva sul registro di contabilità. Quando la sospensione supera il quarto del tempo contrattuale complessivo</w:t>
      </w:r>
      <w:r w:rsidR="00FB7299"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il responsabile del procedimento dà avviso all’ANAC. In caso di mancata o tardiva comunicazione l’ANAC irroga una sanzione amministrativa alla stazione appaltante ai sensi dell’articolo 222, comma 13. </w:t>
      </w:r>
    </w:p>
    <w:p w14:paraId="13C72283" w14:textId="52084B7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L'esecutore che per cause a lui non imputabili non sia in grado di ultimare i lavori nel termine fissato può richiederne la proroga, con congruo anticipo rispetto alla scadenza del termine contrattuale. In ogni caso la concessione della proroga non pregiudica i diritti spettanti all'esecutore per l'eventuale imputabilità della maggiore durata a fatto della stazione appaltante. Sull'istanza di proroga decide, entro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 suo ricevimento, il RUP, sentito il direttore dei lavori. </w:t>
      </w:r>
      <w:r w:rsidRPr="004A5029">
        <w:rPr>
          <w:rFonts w:ascii="Times New Roman" w:hAnsi="Times New Roman" w:cs="Times New Roman"/>
          <w:bCs/>
          <w:color w:val="000000" w:themeColor="text1"/>
        </w:rPr>
        <w:t>Per i lavori diretti alla realizzazione di opere pubbliche di importo pari o superiore alle soglie d</w:t>
      </w:r>
      <w:r w:rsidR="006C0883" w:rsidRPr="004A5029">
        <w:rPr>
          <w:rFonts w:ascii="Times New Roman" w:hAnsi="Times New Roman" w:cs="Times New Roman"/>
          <w:bCs/>
          <w:color w:val="000000" w:themeColor="text1"/>
        </w:rPr>
        <w:t>i cui al</w:t>
      </w:r>
      <w:r w:rsidRPr="004A5029">
        <w:rPr>
          <w:rFonts w:ascii="Times New Roman" w:hAnsi="Times New Roman" w:cs="Times New Roman"/>
          <w:bCs/>
          <w:color w:val="000000" w:themeColor="text1"/>
        </w:rPr>
        <w:t xml:space="preserve">l’articolo 14 </w:t>
      </w:r>
      <w:r w:rsidR="00E07A23" w:rsidRPr="004A5029">
        <w:rPr>
          <w:rFonts w:ascii="Times New Roman" w:hAnsi="Times New Roman" w:cs="Times New Roman"/>
          <w:bCs/>
          <w:color w:val="000000" w:themeColor="text1"/>
        </w:rPr>
        <w:t>è</w:t>
      </w:r>
      <w:r w:rsidRPr="004A5029">
        <w:rPr>
          <w:rFonts w:ascii="Times New Roman" w:hAnsi="Times New Roman" w:cs="Times New Roman"/>
          <w:bCs/>
          <w:color w:val="000000" w:themeColor="text1"/>
        </w:rPr>
        <w:t xml:space="preserve"> acquisito il parere del collegio consultivo tecnico, ove costituito.</w:t>
      </w:r>
    </w:p>
    <w:p w14:paraId="67AE6F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Fatto salvo il caso di proroga previsto dal comma 8, l'esecutore ultima i lavori nel termine stabilito dagli atti contrattuali, decorrente dalla data del verbale di consegna oppure, in caso di consegna parziale, dall'ultimo dei verbali di consegna. L'ultimazione dei lavori, appena avvenuta, è comunicata dall'esecutore per iscritto al direttore dei lavori, il quale procede subito alle necessarie constatazioni in contraddittorio. L'esecutore non ha diritto allo scioglimento del contratto né ad alcuna indennità qualora i lavori, per qualsiasi causa non imputabile alla stazione appaltante, non siano ultimati nel termine contrattuale e qualunque sia il maggior tempo impiegato. </w:t>
      </w:r>
    </w:p>
    <w:p w14:paraId="23585BDD" w14:textId="4A51932C"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Nel caso di sospensioni totali o parziali dei lavori disposte dalla stazione appaltante per cause diverse da quelle di cui ai commi 1, 2 e 6, l'esecutore può chiedere, previa iscrizione, a pena di decadenza, di specifica riserva, ai sensi del comma 7, il risarcimento dei danni subiti, quantificato sulla base di quanto previsto dall'articolo 1382 del codice civile e secondo criteri individuati nell’</w:t>
      </w:r>
      <w:r w:rsidRPr="004A5029">
        <w:rPr>
          <w:rFonts w:ascii="Times New Roman" w:hAnsi="Times New Roman" w:cs="Times New Roman"/>
          <w:bCs/>
          <w:color w:val="000000" w:themeColor="text1"/>
        </w:rPr>
        <w:t xml:space="preserve">allegato </w:t>
      </w:r>
      <w:r w:rsidRPr="004A5029">
        <w:rPr>
          <w:rFonts w:ascii="Times New Roman" w:hAnsi="Times New Roman" w:cs="Times New Roman"/>
          <w:b/>
          <w:strike/>
          <w:color w:val="000000" w:themeColor="text1"/>
        </w:rPr>
        <w:t>II.15</w:t>
      </w:r>
      <w:r w:rsidR="00812B79" w:rsidRPr="004A5029">
        <w:rPr>
          <w:rFonts w:ascii="Times New Roman" w:hAnsi="Times New Roman" w:cs="Times New Roman"/>
          <w:b/>
          <w:strike/>
          <w:color w:val="000000" w:themeColor="text1"/>
        </w:rPr>
        <w:t xml:space="preserve"> </w:t>
      </w:r>
      <w:r w:rsidR="00812B79" w:rsidRPr="004A5029">
        <w:rPr>
          <w:rFonts w:ascii="Times New Roman" w:hAnsi="Times New Roman" w:cs="Times New Roman"/>
          <w:b/>
          <w:color w:val="000000" w:themeColor="text1"/>
        </w:rPr>
        <w:t>II.14</w:t>
      </w:r>
      <w:r w:rsidRPr="004A5029">
        <w:rPr>
          <w:rFonts w:ascii="Times New Roman" w:hAnsi="Times New Roman" w:cs="Times New Roman"/>
          <w:b/>
          <w:color w:val="000000" w:themeColor="text1"/>
        </w:rPr>
        <w:t>.</w:t>
      </w:r>
    </w:p>
    <w:p w14:paraId="440CCFAF" w14:textId="54C50BB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11. Le disposizioni del presente articolo si applicano, in quanto compatibili, ai contratti relativi a servizi e forniture, intendendosi riferite al direttore dell’esecuzione, se nominato, le previsioni riguardanti il direttore dei lavori. Ai contratti di appalto di forniture e servizi di importo pari o superiore a </w:t>
      </w:r>
      <w:r w:rsidR="00C353A3" w:rsidRPr="004A5029">
        <w:rPr>
          <w:rFonts w:ascii="Times New Roman" w:hAnsi="Times New Roman" w:cs="Times New Roman"/>
          <w:color w:val="000000" w:themeColor="text1"/>
        </w:rPr>
        <w:t>1</w:t>
      </w:r>
      <w:r w:rsidRPr="004A5029">
        <w:rPr>
          <w:rFonts w:ascii="Times New Roman" w:hAnsi="Times New Roman" w:cs="Times New Roman"/>
          <w:color w:val="000000" w:themeColor="text1"/>
        </w:rPr>
        <w:t xml:space="preserve"> milione di euro si applicano inoltre i comm</w:t>
      </w:r>
      <w:r w:rsidR="006C0883" w:rsidRPr="004A5029">
        <w:rPr>
          <w:rFonts w:ascii="Times New Roman" w:hAnsi="Times New Roman" w:cs="Times New Roman"/>
          <w:color w:val="000000" w:themeColor="text1"/>
        </w:rPr>
        <w:t>i</w:t>
      </w:r>
      <w:r w:rsidRPr="004A5029">
        <w:rPr>
          <w:rFonts w:ascii="Times New Roman" w:hAnsi="Times New Roman" w:cs="Times New Roman"/>
          <w:color w:val="000000" w:themeColor="text1"/>
        </w:rPr>
        <w:t xml:space="preserve"> 3, 6, secondo periodo, e 8, </w:t>
      </w:r>
      <w:r w:rsidR="006C0883" w:rsidRPr="004A5029">
        <w:rPr>
          <w:rFonts w:ascii="Times New Roman" w:hAnsi="Times New Roman" w:cs="Times New Roman"/>
          <w:color w:val="000000" w:themeColor="text1"/>
        </w:rPr>
        <w:t>quarto</w:t>
      </w:r>
      <w:r w:rsidRPr="004A5029">
        <w:rPr>
          <w:rFonts w:ascii="Times New Roman" w:hAnsi="Times New Roman" w:cs="Times New Roman"/>
          <w:color w:val="000000" w:themeColor="text1"/>
        </w:rPr>
        <w:t xml:space="preserve"> periodo.</w:t>
      </w:r>
    </w:p>
    <w:p w14:paraId="5186B13D" w14:textId="77777777" w:rsidR="00446F27" w:rsidRPr="004A5029" w:rsidRDefault="00446F27" w:rsidP="00446F27">
      <w:pPr>
        <w:jc w:val="both"/>
        <w:rPr>
          <w:rFonts w:ascii="Times New Roman" w:hAnsi="Times New Roman" w:cs="Times New Roman"/>
          <w:color w:val="000000" w:themeColor="text1"/>
        </w:rPr>
      </w:pPr>
    </w:p>
    <w:p w14:paraId="0CFB5C35"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122.</w:t>
      </w:r>
    </w:p>
    <w:p w14:paraId="588DBF74"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Risoluzione</w:t>
      </w:r>
      <w:r w:rsidRPr="004A5029">
        <w:rPr>
          <w:rFonts w:ascii="Times New Roman" w:hAnsi="Times New Roman" w:cs="Times New Roman"/>
          <w:color w:val="000000" w:themeColor="text1"/>
        </w:rPr>
        <w:t>.</w:t>
      </w:r>
    </w:p>
    <w:p w14:paraId="5565C03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Fatto salvo quanto previsto dall'articolo 121, le stazioni appaltanti possono risolvere un contratto di appalto</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senza limiti di tempo, se si verificano una o più delle seguenti condizioni:</w:t>
      </w:r>
    </w:p>
    <w:p w14:paraId="05C9381E" w14:textId="4A248D1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modifica sostanziale </w:t>
      </w:r>
      <w:r w:rsidR="00B862AF" w:rsidRPr="004A5029">
        <w:rPr>
          <w:rFonts w:ascii="Times New Roman" w:hAnsi="Times New Roman" w:cs="Times New Roman"/>
          <w:color w:val="000000" w:themeColor="text1"/>
        </w:rPr>
        <w:t xml:space="preserve">del contratto, </w:t>
      </w:r>
      <w:r w:rsidRPr="004A5029">
        <w:rPr>
          <w:rFonts w:ascii="Times New Roman" w:hAnsi="Times New Roman" w:cs="Times New Roman"/>
          <w:color w:val="000000" w:themeColor="text1"/>
        </w:rPr>
        <w:t>che richiede una nuova procedura di appalto ai sensi dell’articolo 120;</w:t>
      </w:r>
    </w:p>
    <w:p w14:paraId="22EA2C3A" w14:textId="79B11A9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con riferimento alle modificazioni di cui all’articolo 120, comma 1, lettere b) e c), supera</w:t>
      </w:r>
      <w:r w:rsidR="00B862AF" w:rsidRPr="004A5029">
        <w:rPr>
          <w:rFonts w:ascii="Times New Roman" w:hAnsi="Times New Roman" w:cs="Times New Roman"/>
          <w:color w:val="000000" w:themeColor="text1"/>
        </w:rPr>
        <w:t>mento del</w:t>
      </w:r>
      <w:r w:rsidRPr="004A5029">
        <w:rPr>
          <w:rFonts w:ascii="Times New Roman" w:hAnsi="Times New Roman" w:cs="Times New Roman"/>
          <w:color w:val="000000" w:themeColor="text1"/>
        </w:rPr>
        <w:t xml:space="preserve">le soglie di cui al comma 2 del predetto articolo </w:t>
      </w:r>
      <w:r w:rsidR="004D60FA" w:rsidRPr="004A5029">
        <w:rPr>
          <w:rFonts w:ascii="Times New Roman" w:hAnsi="Times New Roman" w:cs="Times New Roman"/>
          <w:b/>
          <w:bCs/>
          <w:color w:val="000000" w:themeColor="text1"/>
        </w:rPr>
        <w:t xml:space="preserve">120 </w:t>
      </w:r>
      <w:r w:rsidRPr="004A5029">
        <w:rPr>
          <w:rFonts w:ascii="Times New Roman" w:hAnsi="Times New Roman" w:cs="Times New Roman"/>
          <w:color w:val="000000" w:themeColor="text1"/>
        </w:rPr>
        <w:t>e</w:t>
      </w:r>
      <w:r w:rsidR="004D60FA"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con riferimento alle modificazioni di cui all’articolo 120, comma 3, </w:t>
      </w:r>
      <w:r w:rsidR="00B862AF" w:rsidRPr="004A5029">
        <w:rPr>
          <w:rFonts w:ascii="Times New Roman" w:hAnsi="Times New Roman" w:cs="Times New Roman"/>
          <w:color w:val="000000" w:themeColor="text1"/>
        </w:rPr>
        <w:t xml:space="preserve">superamento delle </w:t>
      </w:r>
      <w:r w:rsidRPr="004A5029">
        <w:rPr>
          <w:rFonts w:ascii="Times New Roman" w:hAnsi="Times New Roman" w:cs="Times New Roman"/>
          <w:color w:val="000000" w:themeColor="text1"/>
        </w:rPr>
        <w:t xml:space="preserve">soglie di cui al medesimo </w:t>
      </w:r>
      <w:r w:rsidR="00F02518" w:rsidRPr="004A5029">
        <w:rPr>
          <w:rFonts w:ascii="Times New Roman" w:hAnsi="Times New Roman" w:cs="Times New Roman"/>
          <w:b/>
          <w:bCs/>
          <w:color w:val="000000" w:themeColor="text1"/>
        </w:rPr>
        <w:t xml:space="preserve">articolo 120, </w:t>
      </w:r>
      <w:r w:rsidRPr="004A5029">
        <w:rPr>
          <w:rFonts w:ascii="Times New Roman" w:hAnsi="Times New Roman" w:cs="Times New Roman"/>
          <w:color w:val="000000" w:themeColor="text1"/>
        </w:rPr>
        <w:t>comma 3, lettere a) e b);</w:t>
      </w:r>
    </w:p>
    <w:p w14:paraId="7A863B1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l’aggiudicatario si è trovato, al momento dell'aggiudicazione dell'appalto, in una delle situazioni di cui all'articolo 94, comma 1, e avrebbe dovuto pertanto essere escluso dalla procedura di gara;</w:t>
      </w:r>
    </w:p>
    <w:p w14:paraId="7F80C842" w14:textId="7AE4C9A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l'appalto non avrebbe dovuto essere aggiudicato in considerazione di una grave violazione degli obblighi derivanti dai trattati, come riconosciuto dalla Corte di giustizia dell'Unione europea in un procedimento ai sensi dell'articolo 258 </w:t>
      </w:r>
      <w:r w:rsidR="004B7F60" w:rsidRPr="004A5029">
        <w:rPr>
          <w:rFonts w:ascii="Times New Roman" w:hAnsi="Times New Roman" w:cs="Times New Roman"/>
          <w:color w:val="000000" w:themeColor="text1"/>
        </w:rPr>
        <w:t>del Trattato sul funzionamento dell'Unione europea</w:t>
      </w:r>
      <w:r w:rsidRPr="004A5029">
        <w:rPr>
          <w:rFonts w:ascii="Times New Roman" w:hAnsi="Times New Roman" w:cs="Times New Roman"/>
          <w:color w:val="000000" w:themeColor="text1"/>
        </w:rPr>
        <w:t>.</w:t>
      </w:r>
    </w:p>
    <w:p w14:paraId="5717484F"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stazioni appaltanti risolvono un contratto di appalto qualora nei confronti dell'appaltatore:</w:t>
      </w:r>
    </w:p>
    <w:p w14:paraId="58B20F4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sia intervenuta la decadenza dell'attestazione di qualificazione per aver prodotto falsa documentazione o dichiarazioni mendaci;</w:t>
      </w:r>
    </w:p>
    <w:p w14:paraId="2DCF49C3" w14:textId="4C1C2FB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sia intervenuto un provvedimento definitivo che dispone l'applicazione di una o più misure di prevenzione di cui al codice delle leggi antimafia e delle relative misure di prevenzione, </w:t>
      </w:r>
      <w:r w:rsidR="0030786B" w:rsidRPr="004A5029">
        <w:rPr>
          <w:rFonts w:ascii="Times New Roman" w:eastAsia="Calibri" w:hAnsi="Times New Roman" w:cs="Times New Roman"/>
          <w:color w:val="000000" w:themeColor="text1"/>
          <w:lang w:eastAsia="zh-CN"/>
        </w:rPr>
        <w:t xml:space="preserve">di cui al </w:t>
      </w:r>
      <w:r w:rsidR="0030786B" w:rsidRPr="004A5029">
        <w:rPr>
          <w:rFonts w:ascii="Times New Roman" w:hAnsi="Times New Roman" w:cs="Times New Roman"/>
          <w:color w:val="000000" w:themeColor="text1"/>
        </w:rPr>
        <w:t xml:space="preserve">decreto legislativo 6 settembre 2011, n. 159, </w:t>
      </w:r>
      <w:r w:rsidRPr="004A5029">
        <w:rPr>
          <w:rFonts w:ascii="Times New Roman" w:hAnsi="Times New Roman" w:cs="Times New Roman"/>
          <w:color w:val="000000" w:themeColor="text1"/>
        </w:rPr>
        <w:t xml:space="preserve">ovvero sia intervenuta sentenza di condanna passata in giudicato per i reati di cui al </w:t>
      </w:r>
      <w:r w:rsidR="00A9504B" w:rsidRPr="004A5029">
        <w:rPr>
          <w:rFonts w:ascii="Times New Roman" w:hAnsi="Times New Roman" w:cs="Times New Roman"/>
          <w:b/>
          <w:bCs/>
          <w:color w:val="000000" w:themeColor="text1"/>
        </w:rPr>
        <w:t>C</w:t>
      </w:r>
      <w:r w:rsidRPr="004A5029">
        <w:rPr>
          <w:rFonts w:ascii="Times New Roman" w:hAnsi="Times New Roman" w:cs="Times New Roman"/>
          <w:color w:val="000000" w:themeColor="text1"/>
        </w:rPr>
        <w:t xml:space="preserve">apo II del </w:t>
      </w:r>
      <w:r w:rsidR="00A9504B" w:rsidRPr="004A5029">
        <w:rPr>
          <w:rFonts w:ascii="Times New Roman" w:hAnsi="Times New Roman" w:cs="Times New Roman"/>
          <w:b/>
          <w:bCs/>
          <w:color w:val="000000" w:themeColor="text1"/>
        </w:rPr>
        <w:t>T</w:t>
      </w:r>
      <w:r w:rsidRPr="004A5029">
        <w:rPr>
          <w:rFonts w:ascii="Times New Roman" w:hAnsi="Times New Roman" w:cs="Times New Roman"/>
          <w:color w:val="000000" w:themeColor="text1"/>
        </w:rPr>
        <w:t xml:space="preserve">itolo IV della </w:t>
      </w:r>
      <w:r w:rsidR="00A9504B"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V del presente Libro. </w:t>
      </w:r>
    </w:p>
    <w:p w14:paraId="62FA45A6" w14:textId="2C0D8BD6"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3. Il contratto di appalto può inoltre essere risolto per grave inadempimento delle obbligazioni contrattuali da parte dell'appaltatore</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tale da compromettere la buona riuscita delle prestazioni. Il direttore dei lavori o il direttore dell'esecuzione, se nominato, quando accerta un grave inadempimento ai sensi del </w:t>
      </w:r>
      <w:r w:rsidR="006C0883" w:rsidRPr="004A5029">
        <w:rPr>
          <w:rFonts w:ascii="Times New Roman" w:hAnsi="Times New Roman" w:cs="Times New Roman"/>
          <w:color w:val="000000" w:themeColor="text1"/>
        </w:rPr>
        <w:t xml:space="preserve">primo </w:t>
      </w:r>
      <w:r w:rsidRPr="004A5029">
        <w:rPr>
          <w:rFonts w:ascii="Times New Roman" w:hAnsi="Times New Roman" w:cs="Times New Roman"/>
          <w:color w:val="000000" w:themeColor="text1"/>
        </w:rPr>
        <w:t>periodo avvia in contraddittorio con l’appaltatore il procedimento disciplinato dall’</w:t>
      </w:r>
      <w:r w:rsidR="00D5039C" w:rsidRPr="004A5029">
        <w:rPr>
          <w:rFonts w:ascii="Times New Roman" w:hAnsi="Times New Roman" w:cs="Times New Roman"/>
          <w:color w:val="000000" w:themeColor="text1"/>
        </w:rPr>
        <w:t>articolo 10 dell’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All’esito del procedimento, la stazione appaltante, su proposta del RUP, dichiara risolto il contratto con atto scritto comunicato all’appaltatore.</w:t>
      </w:r>
    </w:p>
    <w:p w14:paraId="0E57FF5B" w14:textId="265FF72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Qualora, al di fuori di quanto previsto </w:t>
      </w:r>
      <w:r w:rsidR="006C0883"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comma 3, l'esecuzione delle prestazioni sia ritardata per negligenza dell'appaltatore rispetto alle previsioni del contratto, il direttore dei lavori o il direttore dell'esecuzione, se nominato, gli assegna un termine che, salvo i casi d'urgenza, non può essere inferiore a dieci giorni, entro i quali deve eseguire le prestazioni. Scaduto il termine, e redatto il processo verbale in contraddittorio, qualora l'inadempimento permanga, la stazione appaltante risolve il contratto, con atto scritto comunicato all’appaltatore, fermo restando il pagamento delle penali.</w:t>
      </w:r>
    </w:p>
    <w:p w14:paraId="1BF29A9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In tutti i casi di risoluzione del contratto l'appaltatore ha diritto soltanto al pagamento delle prestazioni relative ai lavori, servizi o forniture regolarmente eseguiti.</w:t>
      </w:r>
    </w:p>
    <w:p w14:paraId="3482AFA5" w14:textId="57278BC3"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Nei casi di risoluzione del contratto di cui ai commi 1, lettere c) e d), 2, 3 e 4, le somme di cui al comma 5 sono decurtate degli oneri aggiuntivi derivanti dallo scioglimento del contratto</w:t>
      </w:r>
      <w:r w:rsidR="0037554D"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e in sede di liquidazione finale dei lavori, servizi o forniture riferita all'appalto risolto, l'onere da porre a carico dell'appaltatore è determinato anche in relazione alla maggiore spesa sostenuta per il nuovo affidamento, se la stazione appaltante non si sia avvalsa della facoltà prevista dall'articolo 124, comma 2, primo periodo.</w:t>
      </w:r>
    </w:p>
    <w:p w14:paraId="6BE1101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disciplina le attività demandate al direttore dei lavori e all’organo di collaudo o di verifica di conformità in conseguenza della risoluzione del contratto.</w:t>
      </w:r>
    </w:p>
    <w:p w14:paraId="7351F10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Nei casi di risoluzione del contratto, l'appaltatore provvede al ripiegamento dei cantieri già allestiti e allo sgombero delle aree di lavoro e relative pertinenze nel termine assegnato dalla stazione appaltante; in caso di mancato rispetto del termine, la stazione appaltante provvede d'ufficio addebitando all'appaltatore i relativi oneri e spese. In alternativa all'esecuzione di eventuali provvedimenti giurisdizionali cautelari, possessori o d'urgenza comunque denominati che inibiscano o ritardino il ripiegamento dei cantieri o lo sgombero delle aree di lavoro e relative pertinenze, la stazione appaltante può depositare cauzione in conto vincolato a favore dell'appaltatore o prestare fideiussione bancaria o polizza assicurativa con le modalità di cui all'articolo 106, pari all’1 per cento del valore del contratto. Resta fermo il diritto dell'appaltatore di agire per il risarcimento dei danni.</w:t>
      </w:r>
    </w:p>
    <w:p w14:paraId="6C57C439" w14:textId="77777777" w:rsidR="00446F27" w:rsidRPr="004A5029" w:rsidRDefault="00446F27" w:rsidP="00446F27">
      <w:pPr>
        <w:jc w:val="both"/>
        <w:rPr>
          <w:rFonts w:ascii="Times New Roman" w:hAnsi="Times New Roman" w:cs="Times New Roman"/>
          <w:color w:val="000000" w:themeColor="text1"/>
        </w:rPr>
      </w:pPr>
    </w:p>
    <w:p w14:paraId="446FD299"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123.</w:t>
      </w:r>
    </w:p>
    <w:p w14:paraId="5D1C2AE9"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Recesso.</w:t>
      </w:r>
    </w:p>
    <w:p w14:paraId="17C352A6" w14:textId="4A687DBC"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1. Fermo restando quanto previsto dagli articoli 88, comma 4-</w:t>
      </w:r>
      <w:r w:rsidRPr="004A5029">
        <w:rPr>
          <w:rFonts w:ascii="Times New Roman" w:hAnsi="Times New Roman" w:cs="Times New Roman"/>
          <w:i/>
          <w:iCs/>
          <w:color w:val="000000" w:themeColor="text1"/>
        </w:rPr>
        <w:t xml:space="preserve">ter </w:t>
      </w:r>
      <w:r w:rsidRPr="004A5029">
        <w:rPr>
          <w:rFonts w:ascii="Times New Roman" w:hAnsi="Times New Roman" w:cs="Times New Roman"/>
          <w:color w:val="000000" w:themeColor="text1"/>
        </w:rPr>
        <w:t xml:space="preserve">e 92, comma 4, del </w:t>
      </w:r>
      <w:r w:rsidR="004F0C0B" w:rsidRPr="004A5029">
        <w:rPr>
          <w:rFonts w:ascii="Times New Roman" w:hAnsi="Times New Roman" w:cs="Times New Roman"/>
          <w:b/>
          <w:bCs/>
          <w:color w:val="000000" w:themeColor="text1"/>
          <w:shd w:val="clear" w:color="auto" w:fill="FFFFFF"/>
        </w:rPr>
        <w:t>codice delle leggi antimafia e delle misure di prevenzione</w:t>
      </w:r>
      <w:r w:rsidR="0030786B" w:rsidRPr="004A5029">
        <w:rPr>
          <w:rFonts w:ascii="Times New Roman" w:eastAsia="Calibri" w:hAnsi="Times New Roman" w:cs="Times New Roman"/>
          <w:b/>
          <w:bCs/>
          <w:color w:val="000000" w:themeColor="text1"/>
        </w:rPr>
        <w:t>,</w:t>
      </w:r>
      <w:r w:rsidR="004F0C0B" w:rsidRPr="004A5029">
        <w:rPr>
          <w:rFonts w:ascii="Times New Roman" w:eastAsia="Calibri" w:hAnsi="Times New Roman" w:cs="Times New Roman"/>
          <w:b/>
          <w:bCs/>
          <w:color w:val="000000" w:themeColor="text1"/>
          <w:lang w:eastAsia="zh-CN"/>
        </w:rPr>
        <w:t xml:space="preserve"> di cui al</w:t>
      </w:r>
      <w:r w:rsidR="004F0C0B" w:rsidRPr="004A5029">
        <w:rPr>
          <w:rFonts w:ascii="Times New Roman" w:eastAsia="Calibri" w:hAnsi="Times New Roman" w:cs="Times New Roman"/>
          <w:color w:val="000000" w:themeColor="text1"/>
          <w:lang w:eastAsia="zh-CN"/>
        </w:rPr>
        <w:t xml:space="preserve"> </w:t>
      </w:r>
      <w:r w:rsidRPr="004A5029">
        <w:rPr>
          <w:rFonts w:ascii="Times New Roman" w:hAnsi="Times New Roman" w:cs="Times New Roman"/>
          <w:color w:val="000000" w:themeColor="text1"/>
        </w:rPr>
        <w:t>decreto legislativo 6 settembre 2011, n. 159, la stazione appaltante può recedere dal contratto in qualunque momento purché tenga indenne l’appaltatore mediante il pagamento dei lavori eseguiti o delle prestazioni relative ai servizi e alle forniture eseguiti nonché del valore dei materiali utili esistenti in cantiere nel caso di lavori o in magazzino nel caso di servizi o forniture, oltre al decimo dell'importo delle opere, dei servizi o delle forniture non eseguite, calcolato secondo quanto previsto nell’</w:t>
      </w:r>
      <w:r w:rsidRPr="004A5029">
        <w:rPr>
          <w:rFonts w:ascii="Times New Roman" w:hAnsi="Times New Roman" w:cs="Times New Roman"/>
          <w:bCs/>
          <w:color w:val="000000" w:themeColor="text1"/>
        </w:rPr>
        <w:t>allegato II.14.</w:t>
      </w:r>
      <w:r w:rsidRPr="004A5029">
        <w:rPr>
          <w:rFonts w:ascii="Times New Roman" w:hAnsi="Times New Roman" w:cs="Times New Roman"/>
          <w:color w:val="000000" w:themeColor="text1"/>
        </w:rPr>
        <w:t xml:space="preserve"> </w:t>
      </w:r>
    </w:p>
    <w:p w14:paraId="1161B2EF" w14:textId="67D7EAA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L'esercizio del diritto di recesso è </w:t>
      </w:r>
      <w:r w:rsidRPr="004A5029">
        <w:rPr>
          <w:rFonts w:ascii="Times New Roman" w:hAnsi="Times New Roman" w:cs="Times New Roman"/>
          <w:bCs/>
          <w:color w:val="000000" w:themeColor="text1"/>
        </w:rPr>
        <w:t>manifestato dalla stazione appaltante mediante</w:t>
      </w:r>
      <w:r w:rsidRPr="004A5029">
        <w:rPr>
          <w:rFonts w:ascii="Times New Roman" w:hAnsi="Times New Roman" w:cs="Times New Roman"/>
          <w:color w:val="000000" w:themeColor="text1"/>
        </w:rPr>
        <w:t xml:space="preserve"> una formale comunicazione all'appaltatore da darsi per iscritto con un preavviso non inferiore a </w:t>
      </w:r>
      <w:r w:rsidRPr="004A5029">
        <w:rPr>
          <w:rFonts w:ascii="Times New Roman" w:hAnsi="Times New Roman" w:cs="Times New Roman"/>
          <w:b/>
          <w:bCs/>
          <w:strike/>
          <w:color w:val="000000" w:themeColor="text1"/>
        </w:rPr>
        <w:t>20</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venti </w:t>
      </w:r>
      <w:r w:rsidRPr="004A5029">
        <w:rPr>
          <w:rFonts w:ascii="Times New Roman" w:hAnsi="Times New Roman" w:cs="Times New Roman"/>
          <w:color w:val="000000" w:themeColor="text1"/>
        </w:rPr>
        <w:t>giorni, decorsi i quali la stazione appaltante prende in consegna i lavori, servizi o forniture ed effettua il collaudo definitivo o verifica la regolarità dei servizi e delle forniture.</w:t>
      </w:r>
    </w:p>
    <w:p w14:paraId="3297F360"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w:t>
      </w:r>
      <w:r w:rsidRPr="004A5029">
        <w:rPr>
          <w:rFonts w:ascii="Times New Roman" w:hAnsi="Times New Roman" w:cs="Times New Roman"/>
          <w:bCs/>
          <w:color w:val="000000" w:themeColor="text1"/>
        </w:rPr>
        <w:t>L’allegato II.14 disciplina il rimborso dei materiali, la facoltà di ritenzione della stazione appaltante e gli obblighi di rimozione e sgombero dell’appaltatore.</w:t>
      </w:r>
    </w:p>
    <w:p w14:paraId="3D404BC9" w14:textId="77777777" w:rsidR="00446F27" w:rsidRPr="004A5029" w:rsidRDefault="00446F27" w:rsidP="00446F27">
      <w:pPr>
        <w:jc w:val="both"/>
        <w:rPr>
          <w:rFonts w:ascii="Times New Roman" w:hAnsi="Times New Roman" w:cs="Times New Roman"/>
          <w:color w:val="000000" w:themeColor="text1"/>
        </w:rPr>
      </w:pPr>
    </w:p>
    <w:p w14:paraId="51BC9840"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124</w:t>
      </w:r>
      <w:r w:rsidRPr="004A5029">
        <w:rPr>
          <w:rFonts w:ascii="Times New Roman" w:hAnsi="Times New Roman" w:cs="Times New Roman"/>
          <w:b/>
          <w:color w:val="000000" w:themeColor="text1"/>
        </w:rPr>
        <w:t>.</w:t>
      </w:r>
    </w:p>
    <w:p w14:paraId="5B7DA7B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 xml:space="preserve">Esecuzione o completamento dei lavori, servizi o forniture nel caso di procedura di insolvenza o di impedimento alla prosecuzione dell’affidamento con l’esecutore designato. </w:t>
      </w:r>
    </w:p>
    <w:p w14:paraId="37029230" w14:textId="74871D4D" w:rsidR="00446F27" w:rsidRPr="004A5029" w:rsidRDefault="00446F27" w:rsidP="00446F27">
      <w:pPr>
        <w:jc w:val="both"/>
        <w:rPr>
          <w:rFonts w:ascii="Times New Roman" w:hAnsi="Times New Roman" w:cs="Times New Roman"/>
          <w:bCs/>
          <w:color w:val="000000" w:themeColor="text1"/>
        </w:rPr>
      </w:pPr>
      <w:r w:rsidRPr="004A5029">
        <w:rPr>
          <w:rFonts w:ascii="Times New Roman" w:eastAsia="Times New Roman" w:hAnsi="Times New Roman" w:cs="Times New Roman"/>
          <w:color w:val="000000" w:themeColor="text1"/>
          <w:lang w:eastAsia="it-IT"/>
        </w:rPr>
        <w:t xml:space="preserve">1. Fatto salvo quanto previsto </w:t>
      </w:r>
      <w:r w:rsidR="006C0883" w:rsidRPr="004A5029">
        <w:rPr>
          <w:rFonts w:ascii="Times New Roman" w:eastAsia="Times New Roman" w:hAnsi="Times New Roman" w:cs="Times New Roman"/>
          <w:color w:val="000000" w:themeColor="text1"/>
          <w:lang w:eastAsia="it-IT"/>
        </w:rPr>
        <w:t>d</w:t>
      </w:r>
      <w:r w:rsidRPr="004A5029">
        <w:rPr>
          <w:rFonts w:ascii="Times New Roman" w:eastAsia="Times New Roman" w:hAnsi="Times New Roman" w:cs="Times New Roman"/>
          <w:color w:val="000000" w:themeColor="text1"/>
          <w:lang w:eastAsia="it-IT"/>
        </w:rPr>
        <w:t xml:space="preserve">ai commi </w:t>
      </w:r>
      <w:r w:rsidRPr="004A5029">
        <w:rPr>
          <w:rFonts w:ascii="Times New Roman" w:eastAsia="Times New Roman" w:hAnsi="Times New Roman" w:cs="Times New Roman"/>
          <w:bCs/>
          <w:color w:val="000000" w:themeColor="text1"/>
          <w:lang w:eastAsia="it-IT"/>
        </w:rPr>
        <w:t>4 e 5</w:t>
      </w:r>
      <w:r w:rsidRPr="004A5029">
        <w:rPr>
          <w:rFonts w:ascii="Times New Roman" w:eastAsia="Times New Roman" w:hAnsi="Times New Roman" w:cs="Times New Roman"/>
          <w:color w:val="000000" w:themeColor="text1"/>
          <w:lang w:eastAsia="it-IT"/>
        </w:rPr>
        <w:t>, in caso di liquidazione giudiziale, di liquidazione coatta e concordato preventivo, oppure di risoluzione del contratto ai sensi dell’articolo 122 o di recesso dal contratto ai sensi dell'articolo 88, comma 4-</w:t>
      </w:r>
      <w:r w:rsidRPr="004A5029">
        <w:rPr>
          <w:rFonts w:ascii="Times New Roman" w:eastAsia="Times New Roman" w:hAnsi="Times New Roman" w:cs="Times New Roman"/>
          <w:i/>
          <w:iCs/>
          <w:color w:val="000000" w:themeColor="text1"/>
          <w:lang w:eastAsia="it-IT"/>
        </w:rPr>
        <w:t>ter</w:t>
      </w:r>
      <w:r w:rsidRPr="004A5029">
        <w:rPr>
          <w:rFonts w:ascii="Times New Roman" w:eastAsia="Times New Roman" w:hAnsi="Times New Roman" w:cs="Times New Roman"/>
          <w:color w:val="000000" w:themeColor="text1"/>
          <w:lang w:eastAsia="it-IT"/>
        </w:rPr>
        <w:t xml:space="preserve">, del </w:t>
      </w:r>
      <w:r w:rsidR="004F0C0B" w:rsidRPr="004A5029">
        <w:rPr>
          <w:rFonts w:ascii="Times New Roman" w:hAnsi="Times New Roman" w:cs="Times New Roman"/>
          <w:b/>
          <w:bCs/>
          <w:color w:val="000000" w:themeColor="text1"/>
          <w:shd w:val="clear" w:color="auto" w:fill="FFFFFF"/>
        </w:rPr>
        <w:t>codice delle leggi antimafia e delle misure di prevenzione</w:t>
      </w:r>
      <w:r w:rsidR="00422AFC" w:rsidRPr="004A5029">
        <w:rPr>
          <w:rFonts w:ascii="Times New Roman" w:eastAsia="Calibri" w:hAnsi="Times New Roman" w:cs="Times New Roman"/>
          <w:b/>
          <w:bCs/>
          <w:color w:val="000000" w:themeColor="text1"/>
        </w:rPr>
        <w:t>,</w:t>
      </w:r>
      <w:r w:rsidR="004F0C0B" w:rsidRPr="004A5029">
        <w:rPr>
          <w:rFonts w:ascii="Times New Roman" w:eastAsia="Calibri" w:hAnsi="Times New Roman" w:cs="Times New Roman"/>
          <w:b/>
          <w:bCs/>
          <w:color w:val="000000" w:themeColor="text1"/>
          <w:lang w:eastAsia="zh-CN"/>
        </w:rPr>
        <w:t xml:space="preserve"> di cui al</w:t>
      </w:r>
      <w:r w:rsidR="004F0C0B" w:rsidRPr="004A5029">
        <w:rPr>
          <w:rFonts w:ascii="Times New Roman" w:eastAsia="Calibri" w:hAnsi="Times New Roman" w:cs="Times New Roman"/>
          <w:color w:val="000000" w:themeColor="text1"/>
          <w:lang w:eastAsia="zh-CN"/>
        </w:rPr>
        <w:t xml:space="preserve"> </w:t>
      </w:r>
      <w:r w:rsidRPr="004A5029">
        <w:rPr>
          <w:rFonts w:ascii="Times New Roman" w:eastAsia="Times New Roman" w:hAnsi="Times New Roman" w:cs="Times New Roman"/>
          <w:color w:val="000000" w:themeColor="text1"/>
          <w:lang w:eastAsia="it-IT"/>
        </w:rPr>
        <w:t>decreto legislativo 6 settembre 2011, n. 159, oppure in caso di dichiarazione giudiziale di inefficacia del contratto, le stazioni appaltanti interpellano progressivamente i soggetti che hanno partecipato all'originaria procedura di gara, risultanti dalla relativa graduatoria, per stipulare un nuovo contratto per l'affidamento dell'esecuzione o del completamento dei lavori, servizi o forniture, se tecnicamente ed economicamente possibile.</w:t>
      </w:r>
    </w:p>
    <w:p w14:paraId="5672CEB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L'affidamento avviene alle medesime condizioni già proposte dall'originario aggiudicatario in sede in offerta. Le stazioni appaltanti possono prevedere nei documenti di gara che il nuovo affidamento avvenga alle condizioni proposte dall’operatore economico interpellato.</w:t>
      </w:r>
    </w:p>
    <w:p w14:paraId="37F7741D" w14:textId="4A17B1B2"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3. Per gli appalti di lavori di realizzazione di opere pubbliche di importo pari o superiore alle soglie di cui all’articolo 14 e di servizi e forniture di importo pari o superiore a </w:t>
      </w:r>
      <w:r w:rsidR="00C353A3" w:rsidRPr="004A5029">
        <w:rPr>
          <w:rFonts w:ascii="Times New Roman" w:eastAsia="Times New Roman" w:hAnsi="Times New Roman" w:cs="Times New Roman"/>
          <w:color w:val="000000" w:themeColor="text1"/>
          <w:lang w:eastAsia="it-IT"/>
        </w:rPr>
        <w:t xml:space="preserve">1 </w:t>
      </w:r>
      <w:r w:rsidRPr="004A5029">
        <w:rPr>
          <w:rFonts w:ascii="Times New Roman" w:eastAsia="Times New Roman" w:hAnsi="Times New Roman" w:cs="Times New Roman"/>
          <w:color w:val="000000" w:themeColor="text1"/>
          <w:lang w:eastAsia="it-IT"/>
        </w:rPr>
        <w:t>milione di euro si applica, in deroga ai commi 1 e 2, l’articolo 216, commi 2 e 3.</w:t>
      </w:r>
    </w:p>
    <w:p w14:paraId="282CC16E" w14:textId="4D4AC0E8"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4. Il curatore della procedura di liquidazione giudiziale, autorizzato all'esercizio </w:t>
      </w:r>
      <w:r w:rsidR="002C3128" w:rsidRPr="004A5029">
        <w:rPr>
          <w:rFonts w:ascii="Times New Roman" w:eastAsia="Times New Roman" w:hAnsi="Times New Roman" w:cs="Times New Roman"/>
          <w:color w:val="000000" w:themeColor="text1"/>
          <w:lang w:eastAsia="it-IT"/>
        </w:rPr>
        <w:t>provvisorio</w:t>
      </w:r>
      <w:r w:rsidR="002C3128" w:rsidRPr="004A5029">
        <w:rPr>
          <w:rFonts w:ascii="Times New Roman" w:eastAsia="Times New Roman" w:hAnsi="Times New Roman" w:cs="Times New Roman"/>
          <w:b/>
          <w:color w:val="000000" w:themeColor="text1"/>
          <w:lang w:eastAsia="it-IT"/>
        </w:rPr>
        <w:t xml:space="preserve"> </w:t>
      </w:r>
      <w:r w:rsidRPr="004A5029">
        <w:rPr>
          <w:rFonts w:ascii="Times New Roman" w:eastAsia="Times New Roman" w:hAnsi="Times New Roman" w:cs="Times New Roman"/>
          <w:color w:val="000000" w:themeColor="text1"/>
          <w:lang w:eastAsia="it-IT"/>
        </w:rPr>
        <w:t>dell'impresa, può, su autorizzazione del giudice delegato, stipulare il contratto qualora l’aggiudicazione sia intervenuta prima della dichiarazione di liquidazione giudiziale ed eseguire i contratti e gli accordi quadro già stipulati dall'impresa assoggettata alla liquidazione giudiziale. L’autorizzazione alla stipulazione del contratto deve intervenire entro il termine di cui all’articolo 18, comma 2; in mancanza il curatore è da intendersi sciolto da ogni vincolo e la stazione appaltante procede ai sensi dei commi 1 e 2.</w:t>
      </w:r>
    </w:p>
    <w:p w14:paraId="6816304A" w14:textId="7E7C127F" w:rsidR="00446F27" w:rsidRPr="004A5029" w:rsidRDefault="00446F27" w:rsidP="00446F27">
      <w:pPr>
        <w:jc w:val="both"/>
        <w:rPr>
          <w:rFonts w:ascii="Times New Roman" w:hAnsi="Times New Roman" w:cs="Times New Roman"/>
          <w:b/>
          <w:bCs/>
          <w:color w:val="000000" w:themeColor="text1"/>
        </w:rPr>
      </w:pPr>
      <w:r w:rsidRPr="004A5029">
        <w:rPr>
          <w:rFonts w:ascii="Times New Roman" w:eastAsia="Times New Roman" w:hAnsi="Times New Roman" w:cs="Times New Roman"/>
          <w:color w:val="000000" w:themeColor="text1"/>
          <w:lang w:eastAsia="it-IT"/>
        </w:rPr>
        <w:t>5. Per i contratti in corso di esecuzione, alle imprese che hanno depositato la domanda di accesso al concordato preventivo, anche ai sensi dell’articolo 44, comma 1, del codice della crisi di impresa e dell’insolvenza</w:t>
      </w:r>
      <w:r w:rsidR="00422AFC" w:rsidRPr="004A5029">
        <w:rPr>
          <w:rFonts w:ascii="Times New Roman" w:eastAsia="Calibri" w:hAnsi="Times New Roman" w:cs="Times New Roman"/>
          <w:color w:val="000000" w:themeColor="text1"/>
        </w:rPr>
        <w:t>,</w:t>
      </w:r>
      <w:r w:rsidRPr="004A5029">
        <w:rPr>
          <w:rFonts w:ascii="Times New Roman" w:eastAsia="Times New Roman" w:hAnsi="Times New Roman" w:cs="Times New Roman"/>
          <w:color w:val="000000" w:themeColor="text1"/>
          <w:lang w:eastAsia="it-IT"/>
        </w:rPr>
        <w:t xml:space="preserve"> </w:t>
      </w:r>
      <w:r w:rsidR="006C0883" w:rsidRPr="004A5029">
        <w:rPr>
          <w:rFonts w:ascii="Times New Roman" w:eastAsia="Calibri" w:hAnsi="Times New Roman" w:cs="Times New Roman"/>
          <w:color w:val="000000" w:themeColor="text1"/>
          <w:lang w:eastAsia="zh-CN"/>
        </w:rPr>
        <w:t>di cui al decreto legislativo 12 gennaio 2019, n. 14</w:t>
      </w:r>
      <w:r w:rsidRPr="004A5029">
        <w:rPr>
          <w:rFonts w:ascii="Times New Roman" w:eastAsia="Times New Roman" w:hAnsi="Times New Roman" w:cs="Times New Roman"/>
          <w:color w:val="000000" w:themeColor="text1"/>
          <w:lang w:eastAsia="it-IT"/>
        </w:rPr>
        <w:t xml:space="preserve">, si applicano i commi 1 e 2 dell’articolo 95 dello stesso codice. Nel caso in cui la domanda di cui al </w:t>
      </w:r>
      <w:r w:rsidR="006C0883" w:rsidRPr="004A5029">
        <w:rPr>
          <w:rFonts w:ascii="Times New Roman" w:eastAsia="Times New Roman" w:hAnsi="Times New Roman" w:cs="Times New Roman"/>
          <w:color w:val="000000" w:themeColor="text1"/>
          <w:lang w:eastAsia="it-IT"/>
        </w:rPr>
        <w:t xml:space="preserve">primo </w:t>
      </w:r>
      <w:r w:rsidRPr="004A5029">
        <w:rPr>
          <w:rFonts w:ascii="Times New Roman" w:eastAsia="Times New Roman" w:hAnsi="Times New Roman" w:cs="Times New Roman"/>
          <w:color w:val="000000" w:themeColor="text1"/>
          <w:lang w:eastAsia="it-IT"/>
        </w:rPr>
        <w:t xml:space="preserve">periodo sia stata depositata dopo l’adozione del provvedimento di aggiudicazione, la stipulazione del contratto deve essere autorizzata nel termine previsto dal comma 4, ai sensi dell’articolo 95, commi 3 e 4, del codice </w:t>
      </w:r>
      <w:r w:rsidRPr="004A5029">
        <w:rPr>
          <w:rFonts w:ascii="Times New Roman" w:eastAsia="Times New Roman" w:hAnsi="Times New Roman" w:cs="Times New Roman"/>
          <w:b/>
          <w:bCs/>
          <w:strike/>
          <w:color w:val="000000" w:themeColor="text1"/>
          <w:lang w:eastAsia="it-IT"/>
        </w:rPr>
        <w:t>della crisi d’impresa e dell’insolvenza</w:t>
      </w:r>
      <w:r w:rsidR="009314DA" w:rsidRPr="004A5029">
        <w:rPr>
          <w:rFonts w:ascii="Times New Roman" w:eastAsia="Times New Roman" w:hAnsi="Times New Roman" w:cs="Times New Roman"/>
          <w:b/>
          <w:bCs/>
          <w:color w:val="000000" w:themeColor="text1"/>
          <w:lang w:eastAsia="it-IT"/>
        </w:rPr>
        <w:t xml:space="preserve"> di cui al </w:t>
      </w:r>
      <w:r w:rsidR="009314DA" w:rsidRPr="004A5029">
        <w:rPr>
          <w:rFonts w:ascii="Times New Roman" w:eastAsia="Calibri" w:hAnsi="Times New Roman" w:cs="Times New Roman"/>
          <w:b/>
          <w:bCs/>
          <w:color w:val="000000" w:themeColor="text1"/>
          <w:lang w:eastAsia="zh-CN"/>
        </w:rPr>
        <w:t>decreto legislativo n. 14 del 2019</w:t>
      </w:r>
      <w:r w:rsidRPr="004A5029">
        <w:rPr>
          <w:rFonts w:ascii="Times New Roman" w:eastAsia="Times New Roman" w:hAnsi="Times New Roman" w:cs="Times New Roman"/>
          <w:b/>
          <w:bCs/>
          <w:color w:val="000000" w:themeColor="text1"/>
          <w:lang w:eastAsia="it-IT"/>
        </w:rPr>
        <w:t>.</w:t>
      </w:r>
    </w:p>
    <w:p w14:paraId="6604CB62"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Restano ferme le disposizioni previste dall'articolo 32 del decreto-legge 24 giugno 2014, n. 90, convertito, con modificazioni, dalla legge 11 agosto 2014, n. 114, in materia di misure straordinarie di gestione di imprese nell'ambito della prevenzione della corruzione.</w:t>
      </w:r>
    </w:p>
    <w:p w14:paraId="61319B8A" w14:textId="77777777" w:rsidR="00446F27" w:rsidRPr="004A5029" w:rsidRDefault="00446F27" w:rsidP="00446F27">
      <w:pPr>
        <w:jc w:val="both"/>
        <w:rPr>
          <w:rFonts w:ascii="Times New Roman" w:hAnsi="Times New Roman" w:cs="Times New Roman"/>
          <w:color w:val="000000" w:themeColor="text1"/>
        </w:rPr>
      </w:pPr>
    </w:p>
    <w:p w14:paraId="0510E96D"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125.</w:t>
      </w:r>
    </w:p>
    <w:p w14:paraId="74A6FD8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Anticipazione, modalità e termini di pagamento del corrispettivo.</w:t>
      </w:r>
    </w:p>
    <w:p w14:paraId="17BF17A9" w14:textId="25B3EE2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Sul valore del contratto di appalto è calcolato l'importo dell'anticipazione del prezzo pari al 20 per cento da corrispondere all'appaltatore entro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 xml:space="preserve">giorni dall'effettivo inizio della prestazione anche nel caso di consegna dei lavori o di avvio dell’esecuzione in via d’urgenza, ai sensi dell’articolo 17, commi 8 e 9. Con i documenti di gara può essere previsto un incremento dell’anticipazione del prezzo fino al 30 per cento. Tali disposizioni non si applicano ai contratti di forniture e servizi indicati </w:t>
      </w:r>
      <w:r w:rsidRPr="004A5029">
        <w:rPr>
          <w:rFonts w:ascii="Times New Roman" w:hAnsi="Times New Roman" w:cs="Times New Roman"/>
          <w:bCs/>
          <w:color w:val="000000" w:themeColor="text1"/>
        </w:rPr>
        <w:t>nell’allegato II.14</w:t>
      </w:r>
      <w:r w:rsidRPr="004A5029">
        <w:rPr>
          <w:rFonts w:ascii="Times New Roman" w:hAnsi="Times New Roman" w:cs="Times New Roman"/>
          <w:color w:val="000000" w:themeColor="text1"/>
        </w:rPr>
        <w:t xml:space="preserve">. Per i contratti pluriennali l’importo dell’anticipazione deve essere calcolato sul valore delle prestazioni di ciascuna annualità contabile, stabilita nel cronoprogramma dei pagamenti, ed è corrisposto entro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 dall’effettivo inizio della prima prestazione utile relativa a ciascuna annualità, secondo il cronoprogramma delle prestazioni. L'erogazione dell'anticipazione è subordinata alla costituzione di garanzia fideiussoria bancaria o assicurativa di importo pari all'anticipazione maggiorato del tasso di interesse legale applicato al periodo necessario al recupero dell'anticipazione stessa secondo il cronoprogramma della prestazione. La garanzia è rilasciata dai soggetti di cui all’articolo 106, comma 3, con le modalità previste dal secondo periodo dello stesso comma. L'importo della garanzia è gradualmente e automaticamente ridotto nel corso della prestazione, in rapporto al progressivo recupero dell'anticipazione da parte delle stazioni appaltanti. Il beneficiario decade dall'anticipazione, con obbligo di restituzione, se l'esecuzione della prestazione non procede, per ritardi a lui imputabili, secondo i tempi contrattuali. Sulle somme restituite sono dovuti gli interessi legali con decorrenza dalla data di erogazione della anticipazione.</w:t>
      </w:r>
    </w:p>
    <w:p w14:paraId="63940F54" w14:textId="61A2A47F"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Nei contratti di lavori i pagamenti relativi agli acconti del corrispettivo sono effettuati nel termine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decorrenti dall’adozione di ogni stato di avanzamento, salvo che sia espressamente concordato nel contratto un diverso termine, comunque non superiore a </w:t>
      </w:r>
      <w:r w:rsidRPr="004A5029">
        <w:rPr>
          <w:rFonts w:ascii="Times New Roman" w:hAnsi="Times New Roman" w:cs="Times New Roman"/>
          <w:strike/>
          <w:color w:val="000000" w:themeColor="text1"/>
        </w:rPr>
        <w:t>60</w:t>
      </w:r>
      <w:r w:rsidRPr="004A5029">
        <w:rPr>
          <w:rFonts w:ascii="Times New Roman" w:hAnsi="Times New Roman" w:cs="Times New Roman"/>
          <w:color w:val="000000" w:themeColor="text1"/>
        </w:rPr>
        <w:t xml:space="preserve"> </w:t>
      </w:r>
      <w:r w:rsidR="00EF254E" w:rsidRPr="004A5029">
        <w:rPr>
          <w:rFonts w:ascii="Times New Roman" w:hAnsi="Times New Roman" w:cs="Times New Roman"/>
          <w:b/>
          <w:bCs/>
          <w:color w:val="000000" w:themeColor="text1"/>
        </w:rPr>
        <w:t xml:space="preserve">sessanta </w:t>
      </w:r>
      <w:r w:rsidRPr="004A5029">
        <w:rPr>
          <w:rFonts w:ascii="Times New Roman" w:hAnsi="Times New Roman" w:cs="Times New Roman"/>
          <w:color w:val="000000" w:themeColor="text1"/>
        </w:rPr>
        <w:t>giorni e purché ciò sia oggettivamente giustificato dalla natura particolare del contratto o da talune sue caratteristiche.</w:t>
      </w:r>
    </w:p>
    <w:p w14:paraId="1C70CF33"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3. Lo stato di avanzamento dei lavori, ricavato dal registro di contabilità, è adottato con le modalità e nei termini indicati nel contratto. A tal fine, il direttore dei lavori accerta senza indugio il raggiungimento delle condizioni contrattuali. In mancanza, lo comunica l’esecutore dei lavori. Contestualmente all’esito positivo dell’accertamento, oppure contestualmente al ricevimento della comunicazione dell’esecutore, il direttore dei lavori adotta lo stato di avanzamento dei lavori e lo trasmette al RUP, salvo quanto previsto dal comma 4.</w:t>
      </w:r>
    </w:p>
    <w:p w14:paraId="383ABFA4" w14:textId="77777777" w:rsidR="00446F27" w:rsidRPr="004A5029" w:rsidRDefault="00446F27" w:rsidP="00446F27">
      <w:pPr>
        <w:autoSpaceDE w:val="0"/>
        <w:autoSpaceDN w:val="0"/>
        <w:adjustRightInd w:val="0"/>
        <w:jc w:val="both"/>
        <w:rPr>
          <w:rFonts w:ascii="Times New Roman" w:hAnsi="Times New Roman" w:cs="Times New Roman"/>
          <w:color w:val="000000" w:themeColor="text1"/>
        </w:rPr>
      </w:pPr>
      <w:r w:rsidRPr="004A5029">
        <w:rPr>
          <w:rFonts w:ascii="Times New Roman" w:hAnsi="Times New Roman" w:cs="Times New Roman"/>
          <w:color w:val="000000" w:themeColor="text1"/>
        </w:rPr>
        <w:t>4. In caso di difformità tra le valutazioni del direttore dei lavori e quelle dell’esecutore in merito al raggiungimento delle condizioni contrattuali per l’adozione dello stato di avanzamento, il direttore dei lavori, a seguito di tempestivo contraddittorio con l’esecutore, archivia la comunicazione di cui al comma 3 oppure adotta lo stato di avanzamento e lo trasmette immediatamente al RUP.</w:t>
      </w:r>
    </w:p>
    <w:p w14:paraId="0FCAE8B4" w14:textId="31A24A81"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I certificati di pagamento relativi agli acconti del corrispettivo sono emessi dal RUP contestualmente all’adozione di ogni stato di avanzamento e comunque entro un termine non superiore a sette giorni. Il RUP, previa verifica della regolarità contributiva dell’esecutore e dei subappaltatori, invia il certificato di pagamento alla stazione appaltante, la quale procede al pagamento ai sensi del comma 2. L’esecutore emette fattura al momento dell’adozione del certificato di pagamento. L’ingiustificato ritardo nell’emissione dei certificati di pagamento può costituire motivo di valutazione del RUP ai fini della corresponsione dell’incentivo ai sensi dell’articolo 45.</w:t>
      </w:r>
      <w:r w:rsidR="00E06FE4" w:rsidRPr="004A5029">
        <w:rPr>
          <w:color w:val="000000" w:themeColor="text1"/>
        </w:rPr>
        <w:t xml:space="preserve"> </w:t>
      </w:r>
      <w:r w:rsidR="00E06FE4" w:rsidRPr="004A5029">
        <w:rPr>
          <w:rFonts w:ascii="Times New Roman" w:hAnsi="Times New Roman" w:cs="Times New Roman"/>
          <w:b/>
          <w:bCs/>
          <w:color w:val="000000" w:themeColor="text1"/>
        </w:rPr>
        <w:t>L'esecutore può emettere fattura al momento dell'adozione dello stato di avanzamento dei lavori. L'emissione della fattura da parte dell'esecutore non è subordinata al rilascio del certificato di pagamento da parte del RUP.</w:t>
      </w:r>
    </w:p>
    <w:p w14:paraId="398BC125" w14:textId="109A0900"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Nei contratti di servizi e forniture con caratteristiche di periodicità o continuità</w:t>
      </w:r>
      <w:r w:rsidR="006671FC"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che prevedono la corresponsione di acconti sul corrispettivo, si applicano le disposizioni di cui ai commi 3, 4 e 5.</w:t>
      </w:r>
    </w:p>
    <w:p w14:paraId="4837E7E6" w14:textId="6CEB93E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All’esito positivo del collaudo negli appalti di lavori</w:t>
      </w:r>
      <w:r w:rsidRPr="004A5029">
        <w:rPr>
          <w:rFonts w:ascii="Times New Roman" w:hAnsi="Times New Roman" w:cs="Times New Roman"/>
          <w:strike/>
          <w:color w:val="000000" w:themeColor="text1"/>
        </w:rPr>
        <w:t>,</w:t>
      </w:r>
      <w:r w:rsidRPr="004A5029">
        <w:rPr>
          <w:rFonts w:ascii="Times New Roman" w:hAnsi="Times New Roman" w:cs="Times New Roman"/>
          <w:color w:val="000000" w:themeColor="text1"/>
        </w:rPr>
        <w:t xml:space="preserve"> e della verifica di conformità negli appalti di servizi e forniture, e comunque entro un termine non superiore a sette giorni dall’emissione dei relativi certificati, il RUP rilascia il certificato di pagamento relativo alla rata di saldo; il pagamento è effettuato nel termine di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decorrenti dall’esito positivo del collaudo o della verifica di conformità, salvo che sia espressamente concordato nel contratto un diverso termine, comunque non superiore a </w:t>
      </w:r>
      <w:r w:rsidRPr="004A5029">
        <w:rPr>
          <w:rFonts w:ascii="Times New Roman" w:hAnsi="Times New Roman" w:cs="Times New Roman"/>
          <w:strike/>
          <w:color w:val="000000" w:themeColor="text1"/>
        </w:rPr>
        <w:t>60</w:t>
      </w:r>
      <w:r w:rsidRPr="004A5029">
        <w:rPr>
          <w:rFonts w:ascii="Times New Roman" w:hAnsi="Times New Roman" w:cs="Times New Roman"/>
          <w:color w:val="000000" w:themeColor="text1"/>
        </w:rPr>
        <w:t xml:space="preserve"> </w:t>
      </w:r>
      <w:r w:rsidR="00EF254E" w:rsidRPr="004A5029">
        <w:rPr>
          <w:rFonts w:ascii="Times New Roman" w:hAnsi="Times New Roman" w:cs="Times New Roman"/>
          <w:b/>
          <w:bCs/>
          <w:color w:val="000000" w:themeColor="text1"/>
        </w:rPr>
        <w:t xml:space="preserve">sessanta </w:t>
      </w:r>
      <w:r w:rsidRPr="004A5029">
        <w:rPr>
          <w:rFonts w:ascii="Times New Roman" w:hAnsi="Times New Roman" w:cs="Times New Roman"/>
          <w:color w:val="000000" w:themeColor="text1"/>
        </w:rPr>
        <w:t>giorni e purché ciò sia oggettivamente giustificato dalla natura particolare del contratto o da talune sue caratteristiche. Il certificato di pagamento non costituisce presunzione di accettazione dell’opera, ai sensi dell’articolo 1666, secondo comma, del codice civile. Si applica il comma 5, terzo e quarto periodo.</w:t>
      </w:r>
    </w:p>
    <w:p w14:paraId="2B83412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Resta fermo quanto previsto all’articolo 4, comma 6, del decreto legislativo 9 ottobre 2002, n. 231.</w:t>
      </w:r>
    </w:p>
    <w:p w14:paraId="1D3645B1" w14:textId="0B43DA28"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In caso di ritardo nei pagamenti rispetto ai termini di cui </w:t>
      </w:r>
      <w:r w:rsidRPr="004A5029">
        <w:rPr>
          <w:rFonts w:ascii="Times New Roman" w:hAnsi="Times New Roman" w:cs="Times New Roman"/>
          <w:b/>
          <w:bCs/>
          <w:strike/>
          <w:color w:val="000000" w:themeColor="text1"/>
        </w:rPr>
        <w:t>ai commi precedenti</w:t>
      </w:r>
      <w:r w:rsidRPr="004A5029">
        <w:rPr>
          <w:rFonts w:ascii="Times New Roman" w:hAnsi="Times New Roman" w:cs="Times New Roman"/>
          <w:b/>
          <w:bCs/>
          <w:color w:val="000000" w:themeColor="text1"/>
        </w:rPr>
        <w:t xml:space="preserve"> </w:t>
      </w:r>
      <w:r w:rsidR="001455C4" w:rsidRPr="004A5029">
        <w:rPr>
          <w:rFonts w:ascii="Times New Roman" w:hAnsi="Times New Roman" w:cs="Times New Roman"/>
          <w:b/>
          <w:bCs/>
          <w:color w:val="000000" w:themeColor="text1"/>
        </w:rPr>
        <w:t>al presente articolo</w:t>
      </w:r>
      <w:r w:rsidR="001455C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o ai diversi termini stabiliti dal contratto si applicano le disposizioni degli articoli 5 e 6 del decreto legislativo 9 ottobre 2002, n. 231</w:t>
      </w:r>
      <w:r w:rsidR="001455C4"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in tema di interessi moratori.</w:t>
      </w:r>
    </w:p>
    <w:p w14:paraId="1FE93066" w14:textId="78DE9855"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Le piattaforme digitali di cui all’articolo 25, assicurano la riconducibilità delle fatture elettroniche agli acconti corrispondenti agli stati di avanzamento e a tutti i pagamenti dei singoli contratti, garantendo l’interoperabilità con i sistemi centrali di contabilità pubblica.</w:t>
      </w:r>
      <w:r w:rsidR="000B287E" w:rsidRPr="004A5029">
        <w:rPr>
          <w:rFonts w:ascii="Times New Roman" w:hAnsi="Times New Roman" w:cs="Times New Roman"/>
          <w:color w:val="000000" w:themeColor="text1"/>
        </w:rPr>
        <w:t xml:space="preserve"> </w:t>
      </w:r>
      <w:r w:rsidR="000B287E" w:rsidRPr="004A5029">
        <w:rPr>
          <w:rFonts w:ascii="Times New Roman" w:eastAsia="Times New Roman" w:hAnsi="Times New Roman" w:cs="Times New Roman"/>
          <w:color w:val="000000" w:themeColor="text1"/>
          <w:lang w:eastAsia="it-IT"/>
        </w:rPr>
        <w:t xml:space="preserve">Le predette piattaforme sono integrate con la piattaforma tecnologica per l’interconnessione e l’interoperabilità tra le pubbliche amministrazioni e i prestatori di servizi di pagamento abilitati, prevista dall’articolo 5 del </w:t>
      </w:r>
      <w:r w:rsidR="00FA7F03" w:rsidRPr="004A5029">
        <w:rPr>
          <w:rFonts w:ascii="Times New Roman" w:eastAsia="Times New Roman" w:hAnsi="Times New Roman" w:cs="Times New Roman"/>
          <w:b/>
          <w:color w:val="000000" w:themeColor="text1"/>
          <w:lang w:eastAsia="it-IT"/>
        </w:rPr>
        <w:t>c</w:t>
      </w:r>
      <w:r w:rsidR="00FA7F03" w:rsidRPr="004A5029">
        <w:rPr>
          <w:rFonts w:ascii="Times New Roman" w:hAnsi="Times New Roman" w:cs="Times New Roman"/>
          <w:b/>
          <w:color w:val="000000" w:themeColor="text1"/>
          <w:shd w:val="clear" w:color="auto" w:fill="FFFFFF"/>
        </w:rPr>
        <w:t>odice dell'amministrazione digitale</w:t>
      </w:r>
      <w:r w:rsidR="00422AFC" w:rsidRPr="004A5029">
        <w:rPr>
          <w:rFonts w:ascii="Times New Roman" w:eastAsia="Calibri" w:hAnsi="Times New Roman" w:cs="Times New Roman"/>
          <w:b/>
          <w:color w:val="000000" w:themeColor="text1"/>
        </w:rPr>
        <w:t>,</w:t>
      </w:r>
      <w:r w:rsidR="00FA7F03" w:rsidRPr="004A5029">
        <w:rPr>
          <w:rFonts w:ascii="Times New Roman" w:eastAsia="Times New Roman" w:hAnsi="Times New Roman" w:cs="Times New Roman"/>
          <w:b/>
          <w:color w:val="000000" w:themeColor="text1"/>
          <w:lang w:eastAsia="it-IT"/>
        </w:rPr>
        <w:t xml:space="preserve"> di cui al</w:t>
      </w:r>
      <w:r w:rsidR="00FA7F03" w:rsidRPr="004A5029">
        <w:rPr>
          <w:rFonts w:ascii="Times New Roman" w:hAnsi="Times New Roman" w:cs="Times New Roman"/>
          <w:bCs/>
          <w:color w:val="000000" w:themeColor="text1"/>
        </w:rPr>
        <w:t xml:space="preserve"> </w:t>
      </w:r>
      <w:r w:rsidR="000B287E" w:rsidRPr="004A5029">
        <w:rPr>
          <w:rFonts w:ascii="Times New Roman" w:eastAsia="Times New Roman" w:hAnsi="Times New Roman" w:cs="Times New Roman"/>
          <w:color w:val="000000" w:themeColor="text1"/>
          <w:lang w:eastAsia="it-IT"/>
        </w:rPr>
        <w:t xml:space="preserve">decreto legislativo </w:t>
      </w:r>
      <w:r w:rsidR="00A6046F" w:rsidRPr="004A5029">
        <w:rPr>
          <w:rFonts w:ascii="Times New Roman" w:eastAsia="Times New Roman" w:hAnsi="Times New Roman" w:cs="Times New Roman"/>
          <w:color w:val="000000" w:themeColor="text1"/>
          <w:lang w:eastAsia="it-IT"/>
        </w:rPr>
        <w:t xml:space="preserve">7 marzo 2005, </w:t>
      </w:r>
      <w:r w:rsidR="000B287E" w:rsidRPr="004A5029">
        <w:rPr>
          <w:rFonts w:ascii="Times New Roman" w:eastAsia="Times New Roman" w:hAnsi="Times New Roman" w:cs="Times New Roman"/>
          <w:color w:val="000000" w:themeColor="text1"/>
          <w:lang w:eastAsia="it-IT"/>
        </w:rPr>
        <w:t xml:space="preserve">n. 82 </w:t>
      </w:r>
      <w:r w:rsidR="000B287E" w:rsidRPr="004A5029">
        <w:rPr>
          <w:rFonts w:ascii="Times New Roman" w:eastAsia="Times New Roman" w:hAnsi="Times New Roman" w:cs="Times New Roman"/>
          <w:b/>
          <w:bCs/>
          <w:strike/>
          <w:color w:val="000000" w:themeColor="text1"/>
          <w:lang w:eastAsia="it-IT"/>
        </w:rPr>
        <w:t>del 2005</w:t>
      </w:r>
      <w:r w:rsidR="000B287E" w:rsidRPr="004A5029">
        <w:rPr>
          <w:rFonts w:ascii="Times New Roman" w:eastAsia="Times New Roman" w:hAnsi="Times New Roman" w:cs="Times New Roman"/>
          <w:b/>
          <w:bCs/>
          <w:color w:val="000000" w:themeColor="text1"/>
          <w:lang w:eastAsia="it-IT"/>
        </w:rPr>
        <w:t>.</w:t>
      </w:r>
    </w:p>
    <w:p w14:paraId="31A560F4" w14:textId="77777777" w:rsidR="00446F27" w:rsidRPr="004A5029" w:rsidRDefault="00446F27" w:rsidP="00446F27">
      <w:pPr>
        <w:rPr>
          <w:rFonts w:ascii="Times New Roman" w:hAnsi="Times New Roman" w:cs="Times New Roman"/>
          <w:color w:val="000000" w:themeColor="text1"/>
        </w:rPr>
      </w:pPr>
    </w:p>
    <w:p w14:paraId="0243738F"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126.</w:t>
      </w:r>
    </w:p>
    <w:p w14:paraId="2E75D093"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 xml:space="preserve">Penali e premi di accelerazione. </w:t>
      </w:r>
    </w:p>
    <w:p w14:paraId="0DF03A17"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color w:val="000000" w:themeColor="text1"/>
        </w:rPr>
        <w:t>1. I contratti di appalto prevedono penali per il ritardo nell’esecuzione delle prestazioni contrattuali da parte dell’appaltatore commisurate ai giorni di ritardo e proporzionali rispetto all’importo del contratto o delle prestazioni contrattuali.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p>
    <w:p w14:paraId="7ACD88EF" w14:textId="2E926EA9"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gli appalti di lavori la stazione appaltante può prevedere nel bando o nell'avviso di indizione della gara che, se l'ultimazione dei lavori avviene in anticipo rispetto al termine fissato contrattualmente, sia riconosciuto un premio di accelerazione per ogni giorno di anticipo. Il premio è determinato sulla base degli stessi criteri stabiliti per il calcolo della penale ed è corrisposto a seguito dell'approvazione da parte della stazione appaltante del certificato di collaudo, mediante utilizzo delle somme indicate nel quadro economico dell'intervento alla voce ‘imprevisti’, nei limiti delle risorse ivi disponibili, sempre che l'esecuzione dei lavori sia conforme alle obbligazioni assunte. Nei documenti di gara iniziali la stazione appaltante si può riservare la facoltà di riconoscere un premio di accelerazione determinato sulla base dei predetti criteri anche nel caso in cui il termine contrattuale sia legittimamente prorogato, qualora l’ultimazione dei lavori avvenga in anticipo rispetto al termine prorogato. Il termine di cui al </w:t>
      </w:r>
      <w:r w:rsidR="00D80B5B" w:rsidRPr="004A5029">
        <w:rPr>
          <w:rFonts w:ascii="Times New Roman" w:hAnsi="Times New Roman" w:cs="Times New Roman"/>
          <w:color w:val="000000" w:themeColor="text1"/>
        </w:rPr>
        <w:t xml:space="preserve">terzo </w:t>
      </w:r>
      <w:r w:rsidRPr="004A5029">
        <w:rPr>
          <w:rFonts w:ascii="Times New Roman" w:hAnsi="Times New Roman" w:cs="Times New Roman"/>
          <w:color w:val="000000" w:themeColor="text1"/>
        </w:rPr>
        <w:t>periodo si computa dalla data originariamente prevista nel contratto.</w:t>
      </w:r>
    </w:p>
    <w:p w14:paraId="70DF735C" w14:textId="77777777" w:rsidR="00446F27" w:rsidRPr="004A5029" w:rsidRDefault="00446F27" w:rsidP="00446F27">
      <w:pPr>
        <w:rPr>
          <w:rFonts w:ascii="Times New Roman" w:hAnsi="Times New Roman" w:cs="Times New Roman"/>
          <w:color w:val="000000" w:themeColor="text1"/>
        </w:rPr>
      </w:pPr>
    </w:p>
    <w:p w14:paraId="3A413BF6" w14:textId="77777777" w:rsidR="00446F27" w:rsidRPr="004A5029" w:rsidRDefault="00446F27" w:rsidP="00446F27">
      <w:pPr>
        <w:rPr>
          <w:rFonts w:ascii="Times New Roman" w:eastAsia="Times New Roman" w:hAnsi="Times New Roman" w:cs="Times New Roman"/>
          <w:b/>
          <w:bCs/>
          <w:color w:val="000000" w:themeColor="text1"/>
          <w:highlight w:val="green"/>
          <w:lang w:eastAsia="it-IT"/>
        </w:rPr>
      </w:pPr>
      <w:r w:rsidRPr="004A5029">
        <w:rPr>
          <w:rFonts w:ascii="Times New Roman" w:eastAsia="Times New Roman" w:hAnsi="Times New Roman" w:cs="Times New Roman"/>
          <w:b/>
          <w:bCs/>
          <w:color w:val="000000" w:themeColor="text1"/>
          <w:highlight w:val="green"/>
          <w:lang w:eastAsia="it-IT"/>
        </w:rPr>
        <w:br w:type="page"/>
      </w:r>
    </w:p>
    <w:p w14:paraId="5C43DD5C" w14:textId="77777777" w:rsidR="00446F27" w:rsidRPr="004A5029" w:rsidRDefault="00446F27" w:rsidP="00446F27">
      <w:pPr>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PARTE VII</w:t>
      </w:r>
    </w:p>
    <w:p w14:paraId="727767BF" w14:textId="77777777" w:rsidR="00446F27" w:rsidRPr="004A5029" w:rsidRDefault="00446F27" w:rsidP="00446F27">
      <w:pPr>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DISPOSIZIONI PARTICOLARI PER ALCUNI CONTRATTI DEI SETTORI ORDINARI</w:t>
      </w:r>
    </w:p>
    <w:p w14:paraId="5216DE40" w14:textId="77777777" w:rsidR="00B922F7" w:rsidRPr="004A5029" w:rsidRDefault="00B922F7" w:rsidP="00446F27">
      <w:pPr>
        <w:jc w:val="center"/>
        <w:rPr>
          <w:rFonts w:ascii="Times New Roman" w:eastAsia="Times New Roman" w:hAnsi="Times New Roman" w:cs="Times New Roman"/>
          <w:b/>
          <w:bCs/>
          <w:color w:val="000000" w:themeColor="text1"/>
          <w:lang w:eastAsia="it-IT"/>
        </w:rPr>
      </w:pPr>
    </w:p>
    <w:p w14:paraId="6F89A331" w14:textId="41902637" w:rsidR="00B922F7" w:rsidRPr="004A5029" w:rsidRDefault="00446F27" w:rsidP="00446F27">
      <w:pPr>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Titolo I</w:t>
      </w:r>
    </w:p>
    <w:p w14:paraId="43F8BB29" w14:textId="52D925BD" w:rsidR="00446F27" w:rsidRPr="004A5029" w:rsidRDefault="00446F27" w:rsidP="00446F27">
      <w:pPr>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I servizi sociali e i servizi assimilati</w:t>
      </w:r>
    </w:p>
    <w:p w14:paraId="33D28B4B" w14:textId="77777777" w:rsidR="00446F27" w:rsidRPr="004A5029" w:rsidRDefault="00446F27" w:rsidP="00446F27">
      <w:pPr>
        <w:rPr>
          <w:rFonts w:ascii="Times New Roman" w:hAnsi="Times New Roman" w:cs="Times New Roman"/>
          <w:color w:val="000000" w:themeColor="text1"/>
        </w:rPr>
      </w:pPr>
    </w:p>
    <w:p w14:paraId="7A477DEB"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bCs/>
          <w:color w:val="000000" w:themeColor="text1"/>
        </w:rPr>
        <w:t>Articolo 127.</w:t>
      </w:r>
    </w:p>
    <w:p w14:paraId="01EACC08" w14:textId="77777777" w:rsidR="00446F27" w:rsidRPr="004A5029" w:rsidRDefault="00446F27" w:rsidP="00446F27">
      <w:pPr>
        <w:textAlignment w:val="baseline"/>
        <w:rPr>
          <w:rFonts w:ascii="Times New Roman" w:hAnsi="Times New Roman" w:cs="Times New Roman"/>
          <w:i/>
          <w:color w:val="000000" w:themeColor="text1"/>
        </w:rPr>
      </w:pPr>
      <w:r w:rsidRPr="004A5029">
        <w:rPr>
          <w:rFonts w:ascii="Times New Roman" w:hAnsi="Times New Roman" w:cs="Times New Roman"/>
          <w:i/>
          <w:color w:val="000000" w:themeColor="text1"/>
        </w:rPr>
        <w:t>Norme applicabili ai servizi sociali e assimilati.</w:t>
      </w:r>
    </w:p>
    <w:p w14:paraId="457EA37F" w14:textId="77777777" w:rsidR="00446F27" w:rsidRPr="004A5029" w:rsidRDefault="00446F27" w:rsidP="00446F27">
      <w:pPr>
        <w:jc w:val="both"/>
        <w:textAlignment w:val="baseline"/>
        <w:rPr>
          <w:rFonts w:ascii="Times New Roman" w:eastAsia="Times" w:hAnsi="Times New Roman" w:cs="Times New Roman"/>
          <w:bCs/>
          <w:color w:val="000000" w:themeColor="text1"/>
        </w:rPr>
      </w:pPr>
      <w:r w:rsidRPr="004A5029">
        <w:rPr>
          <w:rFonts w:ascii="Times New Roman" w:hAnsi="Times New Roman" w:cs="Times New Roman"/>
          <w:bCs/>
          <w:color w:val="000000" w:themeColor="text1"/>
        </w:rPr>
        <w:t>1. Fermo quanto previsto dall’articolo 6 del codice, per l’affidamento dei servizi sociali e degli altri servizi assimilati di cui all’allegato XIV a</w:t>
      </w:r>
      <w:r w:rsidRPr="004A5029">
        <w:rPr>
          <w:rFonts w:ascii="Times New Roman" w:eastAsia="Times" w:hAnsi="Times New Roman" w:cs="Times New Roman"/>
          <w:bCs/>
          <w:color w:val="000000" w:themeColor="text1"/>
        </w:rPr>
        <w:t>lla direttiva 2014/24/UE del Parlamento europeo e del Consiglio, del 26 febbraio 2014, per valori pari o superiori alla soglia di cui all’articolo 14, comma 1 lettera d), le stazioni appaltanti procedono alternativamente:</w:t>
      </w:r>
    </w:p>
    <w:p w14:paraId="3BBFFFE3" w14:textId="2B29B17C" w:rsidR="00446F27" w:rsidRPr="004A5029" w:rsidRDefault="00446F27" w:rsidP="00446F27">
      <w:pPr>
        <w:jc w:val="both"/>
        <w:textAlignment w:val="baseline"/>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a) mediante bando o avviso di gara che comprende le informazioni di cui all’allegato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bCs/>
          <w:color w:val="000000" w:themeColor="text1"/>
        </w:rPr>
        <w:t xml:space="preserve">arte I, lettera </w:t>
      </w:r>
      <w:r w:rsidR="00D80B5B" w:rsidRPr="004A5029">
        <w:rPr>
          <w:rFonts w:ascii="Times New Roman" w:hAnsi="Times New Roman" w:cs="Times New Roman"/>
          <w:b/>
          <w:strike/>
          <w:color w:val="000000" w:themeColor="text1"/>
        </w:rPr>
        <w:t>F</w:t>
      </w:r>
      <w:r w:rsidRPr="004A5029">
        <w:rPr>
          <w:rFonts w:ascii="Times New Roman" w:hAnsi="Times New Roman" w:cs="Times New Roman"/>
          <w:b/>
          <w:strike/>
          <w:color w:val="000000" w:themeColor="text1"/>
        </w:rPr>
        <w:t>)</w:t>
      </w:r>
      <w:r w:rsidR="007B2E4C" w:rsidRPr="004A5029">
        <w:rPr>
          <w:rFonts w:ascii="Times New Roman" w:hAnsi="Times New Roman" w:cs="Times New Roman"/>
          <w:bCs/>
          <w:color w:val="000000" w:themeColor="text1"/>
        </w:rPr>
        <w:t xml:space="preserve"> </w:t>
      </w:r>
      <w:r w:rsidR="007B2E4C" w:rsidRPr="004A5029">
        <w:rPr>
          <w:rFonts w:ascii="Times New Roman" w:hAnsi="Times New Roman" w:cs="Times New Roman"/>
          <w:b/>
          <w:color w:val="000000" w:themeColor="text1"/>
        </w:rPr>
        <w:t>E</w:t>
      </w:r>
      <w:r w:rsidRPr="004A5029">
        <w:rPr>
          <w:rFonts w:ascii="Times New Roman" w:hAnsi="Times New Roman" w:cs="Times New Roman"/>
          <w:bCs/>
          <w:color w:val="000000" w:themeColor="text1"/>
        </w:rPr>
        <w:t>;</w:t>
      </w:r>
    </w:p>
    <w:p w14:paraId="5EF428A2" w14:textId="798AB836"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b) mediante avviso di pre-informazione, pubblicato con cadenza continuativa per periodi non superiori a </w:t>
      </w:r>
      <w:r w:rsidRPr="004A5029">
        <w:rPr>
          <w:rFonts w:ascii="Times New Roman" w:hAnsi="Times New Roman" w:cs="Times New Roman"/>
          <w:b/>
          <w:strike/>
          <w:color w:val="000000" w:themeColor="text1"/>
        </w:rPr>
        <w:t>24</w:t>
      </w:r>
      <w:r w:rsidRPr="004A5029">
        <w:rPr>
          <w:rFonts w:ascii="Times New Roman" w:hAnsi="Times New Roman" w:cs="Times New Roman"/>
          <w:bCs/>
          <w:color w:val="000000" w:themeColor="text1"/>
        </w:rPr>
        <w:t xml:space="preserve"> </w:t>
      </w:r>
      <w:r w:rsidR="00A62EBA" w:rsidRPr="004A5029">
        <w:rPr>
          <w:rFonts w:ascii="Times New Roman" w:hAnsi="Times New Roman" w:cs="Times New Roman"/>
          <w:b/>
          <w:color w:val="000000" w:themeColor="text1"/>
        </w:rPr>
        <w:t xml:space="preserve"> ventiquattro </w:t>
      </w:r>
      <w:r w:rsidRPr="004A5029">
        <w:rPr>
          <w:rFonts w:ascii="Times New Roman" w:hAnsi="Times New Roman" w:cs="Times New Roman"/>
          <w:bCs/>
          <w:color w:val="000000" w:themeColor="text1"/>
        </w:rPr>
        <w:t xml:space="preserve">mesi, recante le informazioni di cui 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bCs/>
          <w:color w:val="000000" w:themeColor="text1"/>
        </w:rPr>
        <w:t>arte I</w:t>
      </w:r>
      <w:r w:rsidR="007B2E4C" w:rsidRPr="004A5029">
        <w:rPr>
          <w:rFonts w:ascii="Times New Roman" w:hAnsi="Times New Roman" w:cs="Times New Roman"/>
          <w:b/>
          <w:color w:val="000000" w:themeColor="text1"/>
        </w:rPr>
        <w:t>,</w:t>
      </w:r>
      <w:r w:rsidR="007B2E4C" w:rsidRPr="004A5029">
        <w:rPr>
          <w:rFonts w:ascii="Times New Roman" w:hAnsi="Times New Roman" w:cs="Times New Roman"/>
          <w:bCs/>
          <w:color w:val="000000" w:themeColor="text1"/>
        </w:rPr>
        <w:t xml:space="preserve"> </w:t>
      </w:r>
      <w:r w:rsidR="007B2E4C" w:rsidRPr="004A5029">
        <w:rPr>
          <w:rFonts w:ascii="Times New Roman" w:hAnsi="Times New Roman" w:cs="Times New Roman"/>
          <w:b/>
          <w:color w:val="000000" w:themeColor="text1"/>
        </w:rPr>
        <w:t>lettera F</w:t>
      </w:r>
      <w:r w:rsidRPr="004A5029">
        <w:rPr>
          <w:rFonts w:ascii="Times New Roman" w:hAnsi="Times New Roman" w:cs="Times New Roman"/>
          <w:b/>
          <w:color w:val="000000" w:themeColor="text1"/>
        </w:rPr>
        <w:t>,</w:t>
      </w:r>
      <w:r w:rsidRPr="004A5029">
        <w:rPr>
          <w:rFonts w:ascii="Times New Roman" w:hAnsi="Times New Roman" w:cs="Times New Roman"/>
          <w:bCs/>
          <w:color w:val="000000" w:themeColor="text1"/>
        </w:rPr>
        <w:t xml:space="preserve"> con l’avvertenza che l'aggiudicazione avverrà senza ulteriore pubblicazione di un avviso di indizione di gara.</w:t>
      </w:r>
    </w:p>
    <w:p w14:paraId="7914E3DE" w14:textId="2C6DCFBA" w:rsidR="00446F27" w:rsidRPr="004A5029" w:rsidRDefault="00446F27" w:rsidP="00446F27">
      <w:pPr>
        <w:jc w:val="both"/>
        <w:textAlignment w:val="baseline"/>
        <w:rPr>
          <w:rFonts w:ascii="Times New Roman" w:hAnsi="Times New Roman" w:cs="Times New Roman"/>
          <w:bCs/>
          <w:color w:val="000000" w:themeColor="text1"/>
        </w:rPr>
      </w:pPr>
      <w:r w:rsidRPr="004A5029">
        <w:rPr>
          <w:rFonts w:ascii="Times New Roman" w:hAnsi="Times New Roman" w:cs="Times New Roman"/>
          <w:bCs/>
          <w:color w:val="000000" w:themeColor="text1"/>
        </w:rPr>
        <w:t>2. Le disposizioni del comma 1 non si applicano quando è utilizzata, in presenza dei presupposti previsti dall’articolo 76, una procedura negoziata senza pubblicazione di bando.</w:t>
      </w:r>
    </w:p>
    <w:p w14:paraId="576E626C" w14:textId="0B8D38D6" w:rsidR="00446F27" w:rsidRPr="004A5029" w:rsidRDefault="00446F27" w:rsidP="00446F27">
      <w:pPr>
        <w:jc w:val="both"/>
        <w:textAlignment w:val="baseline"/>
        <w:rPr>
          <w:rFonts w:ascii="Times New Roman" w:hAnsi="Times New Roman" w:cs="Times New Roman"/>
          <w:color w:val="000000" w:themeColor="text1"/>
        </w:rPr>
      </w:pPr>
      <w:r w:rsidRPr="004A5029">
        <w:rPr>
          <w:rFonts w:ascii="Times New Roman" w:hAnsi="Times New Roman" w:cs="Times New Roman"/>
          <w:color w:val="000000" w:themeColor="text1"/>
        </w:rPr>
        <w:t>3. L’avvenuto affidamento del servizio è reso noto mediante la pubblicazione di avviso di aggiudicazione</w:t>
      </w:r>
      <w:r w:rsidR="007B2E4C" w:rsidRPr="004A5029">
        <w:rPr>
          <w:rFonts w:ascii="Times New Roman" w:hAnsi="Times New Roman" w:cs="Times New Roman"/>
          <w:color w:val="000000" w:themeColor="text1"/>
        </w:rPr>
        <w:t xml:space="preserve"> </w:t>
      </w:r>
      <w:r w:rsidR="007B2E4C" w:rsidRPr="004A5029">
        <w:rPr>
          <w:rFonts w:ascii="Times New Roman" w:hAnsi="Times New Roman" w:cs="Times New Roman"/>
          <w:b/>
          <w:bCs/>
          <w:color w:val="000000" w:themeColor="text1"/>
        </w:rPr>
        <w:t>di cui all’allegato II.6, Parte I, lettera G</w:t>
      </w:r>
      <w:r w:rsidRPr="004A5029">
        <w:rPr>
          <w:rFonts w:ascii="Times New Roman" w:hAnsi="Times New Roman" w:cs="Times New Roman"/>
          <w:color w:val="000000" w:themeColor="text1"/>
        </w:rPr>
        <w:t xml:space="preserve">. È possibile raggruppare gli avvisi su base trimestrale, nel qual caso essi sono inviati cumulativamente al più tardi </w:t>
      </w:r>
      <w:r w:rsidR="00EF254E" w:rsidRPr="004A5029">
        <w:rPr>
          <w:rFonts w:ascii="Times New Roman" w:hAnsi="Times New Roman" w:cs="Times New Roman"/>
          <w:bCs/>
          <w:strike/>
          <w:color w:val="000000" w:themeColor="text1"/>
        </w:rPr>
        <w:t>30</w:t>
      </w:r>
      <w:r w:rsidR="00EF254E" w:rsidRPr="004A5029">
        <w:rPr>
          <w:rFonts w:ascii="Times New Roman" w:hAnsi="Times New Roman" w:cs="Times New Roman"/>
          <w:bCs/>
          <w:color w:val="000000" w:themeColor="text1"/>
        </w:rPr>
        <w:t xml:space="preserve"> </w:t>
      </w:r>
      <w:r w:rsidR="00EF254E" w:rsidRPr="004A5029">
        <w:rPr>
          <w:rFonts w:ascii="Times New Roman" w:hAnsi="Times New Roman" w:cs="Times New Roman"/>
          <w:b/>
          <w:color w:val="000000" w:themeColor="text1"/>
        </w:rPr>
        <w:t>trenta</w:t>
      </w:r>
      <w:r w:rsidRPr="004A5029">
        <w:rPr>
          <w:rFonts w:ascii="Times New Roman" w:hAnsi="Times New Roman" w:cs="Times New Roman"/>
          <w:color w:val="000000" w:themeColor="text1"/>
        </w:rPr>
        <w:t xml:space="preserve"> giorni dopo la fine di ogni trimestre.</w:t>
      </w:r>
    </w:p>
    <w:p w14:paraId="3C61A2C4" w14:textId="693B32A6" w:rsidR="00B107FE"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4. I bandi e gli avvisi di gara </w:t>
      </w:r>
      <w:r w:rsidR="0077404B" w:rsidRPr="004A5029">
        <w:rPr>
          <w:rFonts w:ascii="Times New Roman" w:eastAsia="Times New Roman" w:hAnsi="Times New Roman" w:cs="Times New Roman"/>
          <w:color w:val="000000" w:themeColor="text1"/>
        </w:rPr>
        <w:t xml:space="preserve">per </w:t>
      </w:r>
      <w:r w:rsidR="00802B9F" w:rsidRPr="004A5029">
        <w:rPr>
          <w:rFonts w:ascii="Times New Roman" w:eastAsia="Times New Roman" w:hAnsi="Times New Roman" w:cs="Times New Roman"/>
          <w:color w:val="000000" w:themeColor="text1"/>
        </w:rPr>
        <w:t xml:space="preserve">gli </w:t>
      </w:r>
      <w:r w:rsidR="0077404B" w:rsidRPr="004A5029">
        <w:rPr>
          <w:rFonts w:ascii="Times New Roman" w:eastAsia="Times New Roman" w:hAnsi="Times New Roman" w:cs="Times New Roman"/>
          <w:color w:val="000000" w:themeColor="text1"/>
        </w:rPr>
        <w:t>affidament</w:t>
      </w:r>
      <w:r w:rsidR="00545D55" w:rsidRPr="004A5029">
        <w:rPr>
          <w:rFonts w:ascii="Times New Roman" w:eastAsia="Times New Roman" w:hAnsi="Times New Roman" w:cs="Times New Roman"/>
          <w:color w:val="000000" w:themeColor="text1"/>
        </w:rPr>
        <w:t xml:space="preserve">i nei settori speciali </w:t>
      </w:r>
      <w:r w:rsidRPr="004A5029">
        <w:rPr>
          <w:rFonts w:ascii="Times New Roman" w:eastAsia="Times New Roman" w:hAnsi="Times New Roman" w:cs="Times New Roman"/>
          <w:color w:val="000000" w:themeColor="text1"/>
        </w:rPr>
        <w:t xml:space="preserve">di cui </w:t>
      </w:r>
      <w:r w:rsidRPr="004A5029">
        <w:rPr>
          <w:rFonts w:ascii="Times New Roman" w:eastAsia="Times New Roman" w:hAnsi="Times New Roman" w:cs="Times New Roman"/>
          <w:b/>
          <w:bCs/>
          <w:strike/>
          <w:color w:val="000000" w:themeColor="text1"/>
        </w:rPr>
        <w:t>al presente</w:t>
      </w:r>
      <w:r w:rsidR="00B107FE" w:rsidRPr="004A5029">
        <w:rPr>
          <w:rFonts w:ascii="Times New Roman" w:eastAsia="Times New Roman" w:hAnsi="Times New Roman" w:cs="Times New Roman"/>
          <w:b/>
          <w:bCs/>
          <w:strike/>
          <w:color w:val="000000" w:themeColor="text1"/>
        </w:rPr>
        <w:t xml:space="preserve"> articolo</w:t>
      </w:r>
      <w:r w:rsidRPr="004A5029">
        <w:rPr>
          <w:rFonts w:ascii="Times New Roman" w:eastAsia="Times New Roman" w:hAnsi="Times New Roman" w:cs="Times New Roman"/>
          <w:color w:val="000000" w:themeColor="text1"/>
        </w:rPr>
        <w:t xml:space="preserve"> </w:t>
      </w:r>
      <w:r w:rsidR="00402A4E" w:rsidRPr="004A5029">
        <w:rPr>
          <w:rFonts w:ascii="Times New Roman" w:eastAsia="Times New Roman" w:hAnsi="Times New Roman" w:cs="Times New Roman"/>
          <w:color w:val="000000" w:themeColor="text1"/>
        </w:rPr>
        <w:t>all’</w:t>
      </w:r>
      <w:r w:rsidRPr="004A5029">
        <w:rPr>
          <w:rFonts w:ascii="Times New Roman" w:eastAsia="Times New Roman" w:hAnsi="Times New Roman" w:cs="Times New Roman"/>
          <w:color w:val="000000" w:themeColor="text1"/>
        </w:rPr>
        <w:t xml:space="preserve">articolo </w:t>
      </w:r>
      <w:r w:rsidR="00402A4E" w:rsidRPr="004A5029">
        <w:rPr>
          <w:rFonts w:ascii="Times New Roman" w:eastAsia="Times New Roman" w:hAnsi="Times New Roman" w:cs="Times New Roman"/>
          <w:b/>
          <w:bCs/>
          <w:color w:val="000000" w:themeColor="text1"/>
        </w:rPr>
        <w:t>173</w:t>
      </w:r>
      <w:r w:rsidR="00402A4E"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contengono le informazioni di cui all’</w:t>
      </w:r>
      <w:r w:rsidRPr="004A5029">
        <w:rPr>
          <w:rFonts w:ascii="Times New Roman" w:eastAsia="Times New Roman" w:hAnsi="Times New Roman" w:cs="Times New Roman"/>
          <w:bCs/>
          <w:color w:val="000000" w:themeColor="text1"/>
        </w:rPr>
        <w:t xml:space="preserve">allegato II.6, </w:t>
      </w:r>
      <w:r w:rsidR="00C059E9" w:rsidRPr="004A5029">
        <w:rPr>
          <w:rFonts w:ascii="Times New Roman" w:hAnsi="Times New Roman" w:cs="Times New Roman"/>
          <w:b/>
          <w:bCs/>
          <w:color w:val="000000" w:themeColor="text1"/>
        </w:rPr>
        <w:t>P</w:t>
      </w:r>
      <w:r w:rsidRPr="004A5029">
        <w:rPr>
          <w:rFonts w:ascii="Times New Roman" w:eastAsia="Times New Roman" w:hAnsi="Times New Roman" w:cs="Times New Roman"/>
          <w:color w:val="000000" w:themeColor="text1"/>
        </w:rPr>
        <w:t xml:space="preserve">arte III, conformemente ai modelli di formulari stabiliti dalla Commissione europea mediante atti di esecuzione. </w:t>
      </w:r>
    </w:p>
    <w:p w14:paraId="3CBB6E7D" w14:textId="1722F6D6" w:rsidR="00446F27" w:rsidRPr="004A5029" w:rsidRDefault="00B107FE"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 xml:space="preserve">5. </w:t>
      </w:r>
      <w:r w:rsidR="00446F27" w:rsidRPr="004A5029">
        <w:rPr>
          <w:rFonts w:ascii="Times New Roman" w:eastAsia="Times New Roman" w:hAnsi="Times New Roman" w:cs="Times New Roman"/>
          <w:color w:val="000000" w:themeColor="text1"/>
        </w:rPr>
        <w:t xml:space="preserve">Gli avvisi di cui al presente articolo sono pubblicati conformemente all’articolo </w:t>
      </w:r>
      <w:r w:rsidR="00446F27" w:rsidRPr="004A5029">
        <w:rPr>
          <w:rFonts w:ascii="Times New Roman" w:eastAsia="Times New Roman" w:hAnsi="Times New Roman" w:cs="Times New Roman"/>
          <w:bCs/>
          <w:color w:val="000000" w:themeColor="text1"/>
        </w:rPr>
        <w:t>164.</w:t>
      </w:r>
    </w:p>
    <w:p w14:paraId="37EFA3E3" w14:textId="77777777" w:rsidR="00446F27" w:rsidRPr="004A5029" w:rsidRDefault="00446F27" w:rsidP="00446F27">
      <w:pPr>
        <w:jc w:val="both"/>
        <w:rPr>
          <w:rFonts w:ascii="Times New Roman" w:hAnsi="Times New Roman" w:cs="Times New Roman"/>
          <w:color w:val="000000" w:themeColor="text1"/>
        </w:rPr>
      </w:pPr>
    </w:p>
    <w:p w14:paraId="0ED475E3"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128</w:t>
      </w:r>
    </w:p>
    <w:p w14:paraId="1FFD5279"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Servizi alla persona.</w:t>
      </w:r>
    </w:p>
    <w:p w14:paraId="0765214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Salvo quanto previsto dall’articolo 127, per l’affidamento dei servizi alla persona si applicano le disposizioni che seguono.</w:t>
      </w:r>
    </w:p>
    <w:p w14:paraId="4FF6AF03" w14:textId="4BD3795E"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Ai fini della presente Parte, sono considerati </w:t>
      </w:r>
      <w:r w:rsidRPr="004A5029">
        <w:rPr>
          <w:rFonts w:ascii="Times New Roman" w:eastAsia="Times New Roman" w:hAnsi="Times New Roman" w:cs="Times New Roman"/>
          <w:b/>
          <w:bCs/>
          <w:strike/>
          <w:color w:val="000000" w:themeColor="text1"/>
          <w:lang w:eastAsia="it-IT"/>
        </w:rPr>
        <w:t>tali</w:t>
      </w:r>
      <w:r w:rsidRPr="004A5029">
        <w:rPr>
          <w:rFonts w:ascii="Times New Roman" w:eastAsia="Times New Roman" w:hAnsi="Times New Roman" w:cs="Times New Roman"/>
          <w:b/>
          <w:bCs/>
          <w:color w:val="000000" w:themeColor="text1"/>
          <w:lang w:eastAsia="it-IT"/>
        </w:rPr>
        <w:t xml:space="preserve"> </w:t>
      </w:r>
      <w:r w:rsidR="002C72A6" w:rsidRPr="004A5029">
        <w:rPr>
          <w:rFonts w:ascii="Times New Roman" w:eastAsia="Times New Roman" w:hAnsi="Times New Roman" w:cs="Times New Roman"/>
          <w:b/>
          <w:bCs/>
          <w:color w:val="000000" w:themeColor="text1"/>
          <w:lang w:eastAsia="it-IT"/>
        </w:rPr>
        <w:t>servizi alla persona</w:t>
      </w:r>
      <w:r w:rsidR="002C72A6"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i seguenti servizi, come individuati dall'allegato XIV alla </w:t>
      </w:r>
      <w:r w:rsidR="00C353A3" w:rsidRPr="004A5029">
        <w:rPr>
          <w:rFonts w:ascii="Times New Roman" w:eastAsia="Times New Roman" w:hAnsi="Times New Roman" w:cs="Times New Roman"/>
          <w:color w:val="000000" w:themeColor="text1"/>
          <w:lang w:eastAsia="it-IT"/>
        </w:rPr>
        <w:t>d</w:t>
      </w:r>
      <w:r w:rsidRPr="004A5029">
        <w:rPr>
          <w:rFonts w:ascii="Times New Roman" w:eastAsia="Times New Roman" w:hAnsi="Times New Roman" w:cs="Times New Roman"/>
          <w:color w:val="000000" w:themeColor="text1"/>
          <w:lang w:eastAsia="it-IT"/>
        </w:rPr>
        <w:t xml:space="preserve">irettiva 2014/24/UE </w:t>
      </w:r>
      <w:r w:rsidR="00D80B5B" w:rsidRPr="004A5029">
        <w:rPr>
          <w:rFonts w:ascii="Times New Roman" w:eastAsia="Times New Roman" w:hAnsi="Times New Roman" w:cs="Times New Roman"/>
          <w:color w:val="000000" w:themeColor="text1"/>
          <w:lang w:eastAsia="it-IT"/>
        </w:rPr>
        <w:t>del Parlamento europeo e del Consiglio, del 26 febbraio 2014</w:t>
      </w:r>
      <w:r w:rsidRPr="004A5029">
        <w:rPr>
          <w:rFonts w:ascii="Times New Roman" w:eastAsia="Times New Roman" w:hAnsi="Times New Roman" w:cs="Times New Roman"/>
          <w:color w:val="000000" w:themeColor="text1"/>
          <w:lang w:eastAsia="it-IT"/>
        </w:rPr>
        <w:t>:</w:t>
      </w:r>
    </w:p>
    <w:p w14:paraId="0BD565FE"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servizi sanitari, servizi sociali e servizi connessi;  </w:t>
      </w:r>
    </w:p>
    <w:p w14:paraId="35FFF45E"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servizi di prestazioni sociali;  </w:t>
      </w:r>
    </w:p>
    <w:p w14:paraId="236CFAE0"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c) altri servizi pubblici, sociali e personali, inclusi i servizi forniti da associazioni sindacali, da organizzazioni politiche, da associazioni giovanili e altri servizi di organizzazioni associative. </w:t>
      </w:r>
    </w:p>
    <w:p w14:paraId="34F3E50D"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L'affidamento deve garantire la qualità, la continuità, l'accessibilità, la disponibilità e la completezza dei servizi, tenendo conto delle esigenze specifiche delle diverse categorie di utenti, compresi i gruppi svantaggiati e promuovendo il coinvolgimento e la responsabilizzazione degli utenti.   </w:t>
      </w:r>
    </w:p>
    <w:p w14:paraId="3603B30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In applicazione dell’articolo 37 le stazioni appaltanti approvano gli strumenti di programmazione </w:t>
      </w:r>
      <w:r w:rsidRPr="004A5029">
        <w:rPr>
          <w:rFonts w:ascii="Times New Roman" w:hAnsi="Times New Roman" w:cs="Times New Roman"/>
          <w:bCs/>
          <w:color w:val="000000" w:themeColor="text1"/>
        </w:rPr>
        <w:t>nel rispetto della</w:t>
      </w:r>
      <w:r w:rsidRPr="004A5029">
        <w:rPr>
          <w:rFonts w:ascii="Times New Roman" w:hAnsi="Times New Roman" w:cs="Times New Roman"/>
          <w:color w:val="000000" w:themeColor="text1"/>
        </w:rPr>
        <w:t xml:space="preserve"> legislazione statale e regionale di settore.</w:t>
      </w:r>
    </w:p>
    <w:p w14:paraId="3043C30B"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 finalità di cui agli articoli 62 e 63 sono perseguite anche tramite le forme di aggregazione previste dalla normativa di settore, con particolare riguardo ai distretti sociosanitari e a istituzioni analoghe.  </w:t>
      </w:r>
    </w:p>
    <w:p w14:paraId="106AFBC6"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Si applicano le procedure di aggiudicazione di cui agli articoli da 32 a 34, all’articolo 59 e agli articoli da 71 a 76.</w:t>
      </w:r>
    </w:p>
    <w:p w14:paraId="6105D5DC" w14:textId="4FD98112"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w:t>
      </w:r>
      <w:r w:rsidRPr="004A5029">
        <w:rPr>
          <w:rFonts w:ascii="Times New Roman" w:hAnsi="Times New Roman" w:cs="Times New Roman"/>
          <w:bCs/>
          <w:color w:val="000000" w:themeColor="text1"/>
        </w:rPr>
        <w:t>Si applicano, altresì, le disposizioni di cui agli articoli</w:t>
      </w:r>
      <w:r w:rsidRPr="004A5029">
        <w:rPr>
          <w:rFonts w:ascii="Times New Roman" w:hAnsi="Times New Roman" w:cs="Times New Roman"/>
          <w:color w:val="000000" w:themeColor="text1"/>
        </w:rPr>
        <w:t xml:space="preserve"> 79, 80, 84, 85, 89</w:t>
      </w:r>
      <w:r w:rsidR="004775CA" w:rsidRPr="004A5029">
        <w:rPr>
          <w:rFonts w:ascii="Times New Roman" w:hAnsi="Times New Roman" w:cs="Times New Roman"/>
          <w:color w:val="000000" w:themeColor="text1"/>
        </w:rPr>
        <w:t xml:space="preserve">, 94, 95, 98, 99, 100, </w:t>
      </w:r>
      <w:r w:rsidRPr="004A5029">
        <w:rPr>
          <w:rFonts w:ascii="Times New Roman" w:hAnsi="Times New Roman" w:cs="Times New Roman"/>
          <w:color w:val="000000" w:themeColor="text1"/>
        </w:rPr>
        <w:t>101</w:t>
      </w:r>
      <w:r w:rsidR="004775CA" w:rsidRPr="004A5029">
        <w:rPr>
          <w:rFonts w:ascii="Times New Roman" w:hAnsi="Times New Roman" w:cs="Times New Roman"/>
          <w:color w:val="000000" w:themeColor="text1"/>
        </w:rPr>
        <w:t xml:space="preserve"> e 110</w:t>
      </w:r>
      <w:r w:rsidRPr="004A5029">
        <w:rPr>
          <w:rFonts w:ascii="Times New Roman" w:hAnsi="Times New Roman" w:cs="Times New Roman"/>
          <w:color w:val="000000" w:themeColor="text1"/>
        </w:rPr>
        <w:t>, adottando il criterio di aggiudicazione dell’offerta economicamente più vantaggiosa individuata sulla base del miglior rapporto qualità/prezzo.</w:t>
      </w:r>
    </w:p>
    <w:p w14:paraId="6C9E715F" w14:textId="3A15AA8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w:t>
      </w:r>
      <w:r w:rsidRPr="004A5029">
        <w:rPr>
          <w:rFonts w:ascii="Times New Roman" w:hAnsi="Times New Roman" w:cs="Times New Roman"/>
          <w:bCs/>
          <w:color w:val="000000" w:themeColor="text1"/>
        </w:rPr>
        <w:t>Per l’affidamento e l’esecuzione di servizi alla persona</w:t>
      </w:r>
      <w:r w:rsidRPr="004A5029">
        <w:rPr>
          <w:rFonts w:ascii="Times New Roman" w:hAnsi="Times New Roman" w:cs="Times New Roman"/>
          <w:color w:val="000000" w:themeColor="text1"/>
        </w:rPr>
        <w:t xml:space="preserve"> di importo inferiore alla soglia di cui all’articolo 14, comma 1, lettera d), si applicano i principi e</w:t>
      </w:r>
      <w:r w:rsidRPr="004A5029">
        <w:rPr>
          <w:rFonts w:ascii="Times New Roman" w:hAnsi="Times New Roman" w:cs="Times New Roman"/>
          <w:b/>
          <w:bCs/>
          <w:strike/>
          <w:color w:val="000000" w:themeColor="text1"/>
        </w:rPr>
        <w:t>d</w:t>
      </w:r>
      <w:r w:rsidRPr="004A5029">
        <w:rPr>
          <w:rFonts w:ascii="Times New Roman" w:hAnsi="Times New Roman" w:cs="Times New Roman"/>
          <w:color w:val="000000" w:themeColor="text1"/>
        </w:rPr>
        <w:t xml:space="preserve"> i criteri di cui al comma 3</w:t>
      </w:r>
      <w:r w:rsidR="002C72A6" w:rsidRPr="004A5029">
        <w:rPr>
          <w:rFonts w:ascii="Times New Roman" w:hAnsi="Times New Roman" w:cs="Times New Roman"/>
          <w:color w:val="000000" w:themeColor="text1"/>
        </w:rPr>
        <w:t xml:space="preserve"> </w:t>
      </w:r>
      <w:r w:rsidR="002C72A6" w:rsidRPr="004A5029">
        <w:rPr>
          <w:rFonts w:ascii="Times New Roman" w:hAnsi="Times New Roman" w:cs="Times New Roman"/>
          <w:b/>
          <w:bCs/>
          <w:color w:val="000000" w:themeColor="text1"/>
        </w:rPr>
        <w:t>del presente articolo</w:t>
      </w:r>
      <w:r w:rsidRPr="004A5029">
        <w:rPr>
          <w:rFonts w:ascii="Times New Roman" w:hAnsi="Times New Roman" w:cs="Times New Roman"/>
          <w:color w:val="000000" w:themeColor="text1"/>
        </w:rPr>
        <w:t>.</w:t>
      </w:r>
    </w:p>
    <w:p w14:paraId="41C6AC2A" w14:textId="77777777" w:rsidR="00446F27" w:rsidRPr="004A5029" w:rsidRDefault="00446F27" w:rsidP="00446F27">
      <w:pPr>
        <w:jc w:val="both"/>
        <w:rPr>
          <w:rFonts w:ascii="Times New Roman" w:hAnsi="Times New Roman" w:cs="Times New Roman"/>
          <w:color w:val="000000" w:themeColor="text1"/>
        </w:rPr>
      </w:pPr>
    </w:p>
    <w:p w14:paraId="114874E1" w14:textId="77777777"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II </w:t>
      </w:r>
    </w:p>
    <w:p w14:paraId="6B9EAB78" w14:textId="4B262439"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Gli appalti di servizi sociali e di altri servizi nei settori ordinari</w:t>
      </w:r>
    </w:p>
    <w:p w14:paraId="2DC44586" w14:textId="77777777" w:rsidR="00446F27" w:rsidRPr="004A5029" w:rsidRDefault="00446F27" w:rsidP="00446F27">
      <w:pPr>
        <w:jc w:val="both"/>
        <w:rPr>
          <w:rFonts w:ascii="Times New Roman" w:hAnsi="Times New Roman" w:cs="Times New Roman"/>
          <w:color w:val="000000" w:themeColor="text1"/>
        </w:rPr>
      </w:pPr>
    </w:p>
    <w:p w14:paraId="7229D5A9"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129.</w:t>
      </w:r>
    </w:p>
    <w:p w14:paraId="2BD2DBC2"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eastAsia="Times New Roman" w:hAnsi="Times New Roman" w:cs="Times New Roman"/>
          <w:bCs/>
          <w:i/>
          <w:color w:val="000000" w:themeColor="text1"/>
          <w:lang w:eastAsia="it-IT"/>
        </w:rPr>
        <w:t>Appalti riservati.</w:t>
      </w:r>
    </w:p>
    <w:p w14:paraId="4AD7825B" w14:textId="0A840872" w:rsidR="00446F27" w:rsidRPr="004A5029" w:rsidRDefault="00446F27" w:rsidP="00446F27">
      <w:pPr>
        <w:jc w:val="both"/>
        <w:rPr>
          <w:rFonts w:ascii="Times New Roman" w:eastAsia="Times" w:hAnsi="Times New Roman" w:cs="Times New Roman"/>
          <w:color w:val="000000" w:themeColor="text1"/>
        </w:rPr>
      </w:pPr>
      <w:r w:rsidRPr="004A5029">
        <w:rPr>
          <w:rFonts w:ascii="Times New Roman" w:eastAsia="Calibri" w:hAnsi="Times New Roman" w:cs="Times New Roman"/>
          <w:color w:val="000000" w:themeColor="text1"/>
        </w:rPr>
        <w:t xml:space="preserve">1. Le stazioni appaltanti </w:t>
      </w:r>
      <w:r w:rsidRPr="004A5029">
        <w:rPr>
          <w:rFonts w:ascii="Times New Roman" w:eastAsia="Calibri" w:hAnsi="Times New Roman" w:cs="Times New Roman"/>
          <w:bCs/>
          <w:color w:val="000000" w:themeColor="text1"/>
        </w:rPr>
        <w:t>hanno facoltà, con bando predisposto a norma delle disposizioni che seguono, di</w:t>
      </w:r>
      <w:r w:rsidRPr="004A5029">
        <w:rPr>
          <w:rFonts w:ascii="Times New Roman" w:eastAsia="Calibri" w:hAnsi="Times New Roman" w:cs="Times New Roman"/>
          <w:color w:val="000000" w:themeColor="text1"/>
        </w:rPr>
        <w:t xml:space="preserve"> riservare </w:t>
      </w:r>
      <w:r w:rsidRPr="004A5029">
        <w:rPr>
          <w:rFonts w:ascii="Times New Roman" w:eastAsia="Calibri" w:hAnsi="Times New Roman" w:cs="Times New Roman"/>
          <w:bCs/>
          <w:color w:val="000000" w:themeColor="text1"/>
        </w:rPr>
        <w:t>agli enti</w:t>
      </w:r>
      <w:r w:rsidRPr="004A5029">
        <w:rPr>
          <w:rFonts w:ascii="Times New Roman" w:eastAsia="Calibri" w:hAnsi="Times New Roman" w:cs="Times New Roman"/>
          <w:color w:val="000000" w:themeColor="text1"/>
        </w:rPr>
        <w:t xml:space="preserve"> di cui al comma 2 il diritto di partecipare alle procedure per </w:t>
      </w:r>
      <w:r w:rsidRPr="004A5029">
        <w:rPr>
          <w:rFonts w:ascii="Times New Roman" w:eastAsia="Calibri" w:hAnsi="Times New Roman" w:cs="Times New Roman"/>
          <w:bCs/>
          <w:color w:val="000000" w:themeColor="text1"/>
        </w:rPr>
        <w:t>l’affidamento</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dei</w:t>
      </w:r>
      <w:r w:rsidRPr="004A5029">
        <w:rPr>
          <w:rFonts w:ascii="Times New Roman" w:eastAsia="Calibri" w:hAnsi="Times New Roman" w:cs="Times New Roman"/>
          <w:color w:val="000000" w:themeColor="text1"/>
        </w:rPr>
        <w:t xml:space="preserve"> servizi sanitari, sociali e culturali individuati nell’allegato XIV</w:t>
      </w:r>
      <w:r w:rsidRPr="004A5029">
        <w:rPr>
          <w:rFonts w:ascii="Times New Roman" w:eastAsia="Times" w:hAnsi="Times New Roman" w:cs="Times New Roman"/>
          <w:color w:val="000000" w:themeColor="text1"/>
        </w:rPr>
        <w:t xml:space="preserve"> alla </w:t>
      </w:r>
      <w:r w:rsidR="00C353A3" w:rsidRPr="004A5029">
        <w:rPr>
          <w:rFonts w:ascii="Times New Roman" w:eastAsia="Times" w:hAnsi="Times New Roman" w:cs="Times New Roman"/>
          <w:color w:val="000000" w:themeColor="text1"/>
        </w:rPr>
        <w:t>d</w:t>
      </w:r>
      <w:r w:rsidRPr="004A5029">
        <w:rPr>
          <w:rFonts w:ascii="Times New Roman" w:eastAsia="Times" w:hAnsi="Times New Roman" w:cs="Times New Roman"/>
          <w:color w:val="000000" w:themeColor="text1"/>
        </w:rPr>
        <w:t xml:space="preserve">irettiva </w:t>
      </w:r>
      <w:r w:rsidR="00D80B5B" w:rsidRPr="004A5029">
        <w:rPr>
          <w:rFonts w:ascii="Times New Roman" w:eastAsia="Times" w:hAnsi="Times New Roman" w:cs="Times New Roman"/>
          <w:color w:val="000000" w:themeColor="text1"/>
        </w:rPr>
        <w:t>2014/24/UE del Parlamento europeo e del Consiglio, del 26 febbraio 2014</w:t>
      </w:r>
      <w:r w:rsidRPr="004A5029">
        <w:rPr>
          <w:rFonts w:ascii="Times New Roman" w:eastAsia="Times" w:hAnsi="Times New Roman" w:cs="Times New Roman"/>
          <w:color w:val="000000" w:themeColor="text1"/>
        </w:rPr>
        <w:t>.</w:t>
      </w:r>
    </w:p>
    <w:p w14:paraId="36BFBAE7"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Cs/>
          <w:color w:val="000000" w:themeColor="text1"/>
          <w:lang w:eastAsia="it-IT"/>
        </w:rPr>
        <w:t>2. Fermo restando quanto previsto dall’articolo 6,</w:t>
      </w:r>
      <w:r w:rsidRPr="004A5029">
        <w:rPr>
          <w:rFonts w:ascii="Times New Roman" w:eastAsia="Times New Roman" w:hAnsi="Times New Roman" w:cs="Times New Roman"/>
          <w:color w:val="000000" w:themeColor="text1"/>
          <w:lang w:eastAsia="it-IT"/>
        </w:rPr>
        <w:t xml:space="preserve"> devono essere soddisfatte le seguenti condizioni:</w:t>
      </w:r>
    </w:p>
    <w:p w14:paraId="1811B6EC"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a</w:t>
      </w:r>
      <w:r w:rsidRPr="004A5029">
        <w:rPr>
          <w:rFonts w:ascii="Times New Roman" w:eastAsia="Times New Roman" w:hAnsi="Times New Roman" w:cs="Times New Roman"/>
          <w:color w:val="000000" w:themeColor="text1"/>
          <w:lang w:eastAsia="it-IT"/>
        </w:rPr>
        <w:t>) gli enti riservatari devono avere come obiettivo statutario il perseguimento di una missione di servizio pubblico legata alla prestazione dei servizi di cui al comma 1;</w:t>
      </w:r>
    </w:p>
    <w:p w14:paraId="35BD6572"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b</w:t>
      </w:r>
      <w:r w:rsidRPr="004A5029">
        <w:rPr>
          <w:rFonts w:ascii="Times New Roman" w:eastAsia="Times New Roman" w:hAnsi="Times New Roman" w:cs="Times New Roman"/>
          <w:color w:val="000000" w:themeColor="text1"/>
          <w:lang w:eastAsia="it-IT"/>
        </w:rPr>
        <w:t>) deve essere previsto un vincolo di reinvestimento dei profitti, per il conseguimento degli obiettivi statutari o, comunque, una distribuzione o redistribuzione fondata su considerazioni partecipative;</w:t>
      </w:r>
    </w:p>
    <w:p w14:paraId="0D4A1E94"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c</w:t>
      </w:r>
      <w:r w:rsidRPr="004A5029">
        <w:rPr>
          <w:rFonts w:ascii="Times New Roman" w:eastAsia="Times New Roman" w:hAnsi="Times New Roman" w:cs="Times New Roman"/>
          <w:color w:val="000000" w:themeColor="text1"/>
          <w:lang w:eastAsia="it-IT"/>
        </w:rPr>
        <w:t>) le strutture di gestione o proprietà degli enti devono essere basate su principi partecipativi o di azionariato dei dipendenti, ovvero richiedere la partecipazione attiva di dipendenti, utenti o soggetti interessati.</w:t>
      </w:r>
    </w:p>
    <w:p w14:paraId="09240DE4"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Calibri" w:hAnsi="Times New Roman" w:cs="Times New Roman"/>
          <w:bCs/>
          <w:color w:val="000000" w:themeColor="text1"/>
        </w:rPr>
        <w:t>3. È esclusa la riserva a favore di enti che nei tre anni precedenti all’affidamento siano stati già aggiudicatari di un appalto o di una concessione per i servizi di cui al comma 1, disposti a norma del presente articolo.</w:t>
      </w:r>
    </w:p>
    <w:p w14:paraId="4A0A9247"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Calibri" w:hAnsi="Times New Roman" w:cs="Times New Roman"/>
          <w:color w:val="000000" w:themeColor="text1"/>
        </w:rPr>
        <w:t>4. La durata massima del contratto non può superare i tre anni.</w:t>
      </w:r>
    </w:p>
    <w:p w14:paraId="4FFCBC07" w14:textId="52D2FD90" w:rsidR="00446F27" w:rsidRPr="004A5029" w:rsidRDefault="00600CEA" w:rsidP="00600CEA">
      <w:pPr>
        <w:tabs>
          <w:tab w:val="left" w:pos="7686"/>
        </w:tabs>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b/>
      </w:r>
    </w:p>
    <w:p w14:paraId="035652F6" w14:textId="21B94C16" w:rsidR="00600CEA" w:rsidRPr="004A5029" w:rsidRDefault="00600CEA" w:rsidP="00600CEA">
      <w:pPr>
        <w:tabs>
          <w:tab w:val="left" w:pos="7686"/>
        </w:tabs>
        <w:jc w:val="both"/>
        <w:rPr>
          <w:rFonts w:ascii="Times New Roman" w:eastAsia="Times New Roman" w:hAnsi="Times New Roman" w:cs="Times New Roman"/>
          <w:b/>
          <w:bCs/>
          <w:color w:val="000000" w:themeColor="text1"/>
          <w:lang w:eastAsia="it-IT"/>
        </w:rPr>
      </w:pPr>
    </w:p>
    <w:p w14:paraId="5CA89B9E" w14:textId="4B66DC02" w:rsidR="00600CEA" w:rsidRPr="004A5029" w:rsidRDefault="00600CEA" w:rsidP="00600CEA">
      <w:pPr>
        <w:tabs>
          <w:tab w:val="left" w:pos="7686"/>
        </w:tabs>
        <w:jc w:val="both"/>
        <w:rPr>
          <w:rFonts w:ascii="Times New Roman" w:eastAsia="Times New Roman" w:hAnsi="Times New Roman" w:cs="Times New Roman"/>
          <w:b/>
          <w:bCs/>
          <w:color w:val="000000" w:themeColor="text1"/>
          <w:lang w:eastAsia="it-IT"/>
        </w:rPr>
      </w:pPr>
    </w:p>
    <w:p w14:paraId="441309E0" w14:textId="77777777" w:rsidR="00600CEA" w:rsidRPr="004A5029" w:rsidRDefault="00600CEA" w:rsidP="00600CEA">
      <w:pPr>
        <w:tabs>
          <w:tab w:val="left" w:pos="7686"/>
        </w:tabs>
        <w:jc w:val="both"/>
        <w:rPr>
          <w:rFonts w:ascii="Times New Roman" w:eastAsia="Times New Roman" w:hAnsi="Times New Roman" w:cs="Times New Roman"/>
          <w:b/>
          <w:bCs/>
          <w:color w:val="000000" w:themeColor="text1"/>
          <w:lang w:eastAsia="it-IT"/>
        </w:rPr>
      </w:pPr>
    </w:p>
    <w:p w14:paraId="13E739D2"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hAnsi="Times New Roman" w:cs="Times New Roman"/>
          <w:b/>
          <w:color w:val="000000" w:themeColor="text1"/>
        </w:rPr>
        <w:t xml:space="preserve">Articolo </w:t>
      </w:r>
      <w:r w:rsidRPr="004A5029">
        <w:rPr>
          <w:rFonts w:ascii="Times New Roman" w:eastAsia="Times New Roman" w:hAnsi="Times New Roman" w:cs="Times New Roman"/>
          <w:b/>
          <w:bCs/>
          <w:color w:val="000000" w:themeColor="text1"/>
          <w:lang w:eastAsia="it-IT"/>
        </w:rPr>
        <w:t>130.</w:t>
      </w:r>
    </w:p>
    <w:p w14:paraId="11CA4C1B" w14:textId="77777777" w:rsidR="00446F27" w:rsidRPr="004A5029" w:rsidRDefault="00446F27" w:rsidP="00446F27">
      <w:pPr>
        <w:jc w:val="both"/>
        <w:rPr>
          <w:rFonts w:ascii="Times New Roman" w:hAnsi="Times New Roman" w:cs="Times New Roman"/>
          <w:i/>
          <w:color w:val="000000" w:themeColor="text1"/>
        </w:rPr>
      </w:pPr>
      <w:r w:rsidRPr="004A5029">
        <w:rPr>
          <w:rFonts w:ascii="Times New Roman" w:eastAsia="Times New Roman" w:hAnsi="Times New Roman" w:cs="Times New Roman"/>
          <w:bCs/>
          <w:i/>
          <w:color w:val="000000" w:themeColor="text1"/>
          <w:lang w:eastAsia="it-IT"/>
        </w:rPr>
        <w:t>Servizi di ristorazione.</w:t>
      </w:r>
    </w:p>
    <w:p w14:paraId="14590265" w14:textId="0644B5B0" w:rsidR="00446F27" w:rsidRPr="004A5029" w:rsidRDefault="00446F27" w:rsidP="00446F27">
      <w:pPr>
        <w:jc w:val="both"/>
        <w:textAlignment w:val="baseline"/>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bCs/>
          <w:color w:val="000000" w:themeColor="text1"/>
          <w:lang w:eastAsia="it-IT"/>
        </w:rPr>
        <w:t xml:space="preserve">1. Fermo restando quanto previsto dall’articolo 127, </w:t>
      </w:r>
      <w:r w:rsidRPr="004A5029">
        <w:rPr>
          <w:rFonts w:ascii="Times New Roman" w:eastAsia="Times New Roman" w:hAnsi="Times New Roman" w:cs="Times New Roman"/>
          <w:color w:val="000000" w:themeColor="text1"/>
          <w:lang w:eastAsia="it-IT"/>
        </w:rPr>
        <w:t xml:space="preserve">i servizi di ristorazione indicati nell’allegato XIV alla direttiva 2014/24/UE del Parlamento europeo e del Consiglio, del 26 febbraio 2014 sono aggiudicati </w:t>
      </w:r>
      <w:r w:rsidRPr="004A5029">
        <w:rPr>
          <w:rFonts w:ascii="Times New Roman" w:eastAsia="Times New Roman" w:hAnsi="Times New Roman" w:cs="Times New Roman"/>
          <w:bCs/>
          <w:color w:val="000000" w:themeColor="text1"/>
          <w:lang w:eastAsia="it-IT"/>
        </w:rPr>
        <w:t xml:space="preserve">esclusivamente sulla base del criterio dell’offerta economicamente più vantaggiosa, individuata sulla base del miglior rapporto qualità/prezzo. </w:t>
      </w:r>
      <w:r w:rsidRPr="004A5029">
        <w:rPr>
          <w:rFonts w:ascii="Times New Roman" w:eastAsia="Times New Roman" w:hAnsi="Times New Roman" w:cs="Times New Roman"/>
          <w:color w:val="000000" w:themeColor="text1"/>
          <w:lang w:eastAsia="it-IT"/>
        </w:rPr>
        <w:t>La valutazione dell'offerta tecnica tiene conto</w:t>
      </w:r>
      <w:r w:rsidR="00D80B5B" w:rsidRPr="004A5029">
        <w:rPr>
          <w:rFonts w:ascii="Times New Roman" w:eastAsia="Times New Roman" w:hAnsi="Times New Roman" w:cs="Times New Roman"/>
          <w:color w:val="000000" w:themeColor="text1"/>
          <w:lang w:eastAsia="it-IT"/>
        </w:rPr>
        <w:t>,</w:t>
      </w:r>
      <w:r w:rsidRPr="004A5029">
        <w:rPr>
          <w:rFonts w:ascii="Times New Roman" w:eastAsia="Times New Roman" w:hAnsi="Times New Roman" w:cs="Times New Roman"/>
          <w:color w:val="000000" w:themeColor="text1"/>
          <w:lang w:eastAsia="it-IT"/>
        </w:rPr>
        <w:t xml:space="preserve"> in particolare, </w:t>
      </w:r>
      <w:r w:rsidRPr="004A5029">
        <w:rPr>
          <w:rFonts w:ascii="Times New Roman" w:eastAsia="Times New Roman" w:hAnsi="Times New Roman" w:cs="Times New Roman"/>
          <w:bCs/>
          <w:color w:val="000000" w:themeColor="text1"/>
          <w:lang w:eastAsia="it-IT"/>
        </w:rPr>
        <w:t>tramite l’attribuzione di un punteggio premiale:</w:t>
      </w:r>
    </w:p>
    <w:p w14:paraId="29D6E051"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della qualità dei generi alimentari, con particolare riferimento ai prodotti biologici, tipici e tradizionali, ai prodotti a denominazione protetta, nonché ai prodotti provenienti da sistemi di filiera corta e da operatori dell'agricoltura sociale;</w:t>
      </w:r>
    </w:p>
    <w:p w14:paraId="4E76EBCC"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b) del rispetto delle disposizioni ambientali in materia di economia sostenibile (</w:t>
      </w:r>
      <w:r w:rsidRPr="004A5029">
        <w:rPr>
          <w:rFonts w:ascii="Times New Roman" w:eastAsia="Times New Roman" w:hAnsi="Times New Roman" w:cs="Times New Roman"/>
          <w:i/>
          <w:iCs/>
          <w:color w:val="000000" w:themeColor="text1"/>
          <w:lang w:eastAsia="it-IT"/>
        </w:rPr>
        <w:t>green economy)</w:t>
      </w:r>
      <w:r w:rsidRPr="004A5029">
        <w:rPr>
          <w:rFonts w:ascii="Times New Roman" w:eastAsia="Times New Roman" w:hAnsi="Times New Roman" w:cs="Times New Roman"/>
          <w:color w:val="000000" w:themeColor="text1"/>
          <w:lang w:eastAsia="it-IT"/>
        </w:rPr>
        <w:t>, nonché dei pertinenti criteri ambientali minimi di cui all’articolo 57;</w:t>
      </w:r>
    </w:p>
    <w:p w14:paraId="6FC2E3E1"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c) della qualità della formazione degli operatori.</w:t>
      </w:r>
    </w:p>
    <w:p w14:paraId="6C232E07" w14:textId="60D06F23"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2. Per l'affidamento e la gestione dei servizi di refezione scolastica e di fornitura di alimenti e prodotti agroalimentari agli asili nido, alle scuole dell'infanzia, alle scuole primarie, alle scuole secondarie di primo e di secondo grado e alle altre strutture pubbliche che abbiano come utenti bambini e giovani fino a </w:t>
      </w:r>
      <w:r w:rsidRPr="004A5029">
        <w:rPr>
          <w:rFonts w:ascii="Times New Roman" w:eastAsia="Times New Roman" w:hAnsi="Times New Roman" w:cs="Times New Roman"/>
          <w:b/>
          <w:bCs/>
          <w:strike/>
          <w:color w:val="000000" w:themeColor="text1"/>
          <w:lang w:eastAsia="it-IT"/>
        </w:rPr>
        <w:t>18</w:t>
      </w:r>
      <w:r w:rsidRPr="004A5029">
        <w:rPr>
          <w:rFonts w:ascii="Times New Roman" w:eastAsia="Times New Roman" w:hAnsi="Times New Roman" w:cs="Times New Roman"/>
          <w:b/>
          <w:bCs/>
          <w:color w:val="000000" w:themeColor="text1"/>
          <w:lang w:eastAsia="it-IT"/>
        </w:rPr>
        <w:t xml:space="preserve"> </w:t>
      </w:r>
      <w:r w:rsidR="00A62EBA" w:rsidRPr="004A5029">
        <w:rPr>
          <w:rFonts w:ascii="Times New Roman" w:eastAsia="Times New Roman" w:hAnsi="Times New Roman" w:cs="Times New Roman"/>
          <w:b/>
          <w:bCs/>
          <w:color w:val="000000" w:themeColor="text1"/>
          <w:lang w:eastAsia="it-IT"/>
        </w:rPr>
        <w:t xml:space="preserve">diciotto </w:t>
      </w:r>
      <w:r w:rsidRPr="004A5029">
        <w:rPr>
          <w:rFonts w:ascii="Times New Roman" w:eastAsia="Times New Roman" w:hAnsi="Times New Roman" w:cs="Times New Roman"/>
          <w:color w:val="000000" w:themeColor="text1"/>
          <w:lang w:eastAsia="it-IT"/>
        </w:rPr>
        <w:t>anni di età, resta fermo l’obbligo di cui all'articolo 4, comma 5-</w:t>
      </w:r>
      <w:r w:rsidRPr="004A5029">
        <w:rPr>
          <w:rFonts w:ascii="Times New Roman" w:eastAsia="Times New Roman" w:hAnsi="Times New Roman" w:cs="Times New Roman"/>
          <w:i/>
          <w:color w:val="000000" w:themeColor="text1"/>
          <w:lang w:eastAsia="it-IT"/>
        </w:rPr>
        <w:t>quater</w:t>
      </w:r>
      <w:r w:rsidRPr="004A5029">
        <w:rPr>
          <w:rFonts w:ascii="Times New Roman" w:eastAsia="Times New Roman" w:hAnsi="Times New Roman" w:cs="Times New Roman"/>
          <w:color w:val="000000" w:themeColor="text1"/>
          <w:lang w:eastAsia="it-IT"/>
        </w:rPr>
        <w:t xml:space="preserve"> del decreto legge 12 settembre 2013, n. 104, convertito, con modificazioni, dalla legge 8 novembre 2013, n. 128.</w:t>
      </w:r>
    </w:p>
    <w:p w14:paraId="58AE8C50"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Calibri" w:hAnsi="Times New Roman" w:cs="Times New Roman"/>
          <w:bCs/>
          <w:color w:val="000000" w:themeColor="text1"/>
        </w:rPr>
        <w:t>3. Le istituzioni pubbliche che gestiscono mense scolastiche e ospedaliere possono prevedere, nelle gare concernenti i relativi servizi di fornitura, nel rispetto dell’articolo 6, comma 1, della legge 18 agosto 2015, n. 141, criteri di priorità per l'inserimento di prodotti agroalimentari provenienti da operatori dell'agricoltura sociale.</w:t>
      </w:r>
    </w:p>
    <w:p w14:paraId="206DEE28"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Calibri" w:hAnsi="Times New Roman" w:cs="Times New Roman"/>
          <w:color w:val="000000" w:themeColor="text1"/>
        </w:rPr>
        <w:t xml:space="preserve">4. Con decreti del Ministro della salute, di concerto con il Ministro dell'ambiente e della sicurezza energetica e con il Ministro dell’agricoltura, della sovranità alimentare e delle foreste, sono definite e aggiornate le linee di indirizzo nazionale per la ristorazione ospedaliera, assistenziale e scolastica. Fino all'adozione di dette linee di indirizzo, </w:t>
      </w:r>
      <w:r w:rsidRPr="004A5029">
        <w:rPr>
          <w:rFonts w:ascii="Times New Roman" w:eastAsia="Calibri" w:hAnsi="Times New Roman" w:cs="Times New Roman"/>
          <w:bCs/>
          <w:color w:val="000000" w:themeColor="text1"/>
        </w:rPr>
        <w:t>le stazioni appaltanti individuano nei documenti di gara le specifiche tecniche finalizzate a garantire la qualità del servizio richiesto.</w:t>
      </w:r>
    </w:p>
    <w:p w14:paraId="1728B4D0" w14:textId="77777777" w:rsidR="00446F27" w:rsidRPr="004A5029" w:rsidRDefault="00446F27" w:rsidP="00446F27">
      <w:pPr>
        <w:jc w:val="both"/>
        <w:rPr>
          <w:rFonts w:ascii="Times New Roman" w:eastAsia="Times New Roman" w:hAnsi="Times New Roman" w:cs="Times New Roman"/>
          <w:color w:val="000000" w:themeColor="text1"/>
          <w:lang w:eastAsia="it-IT"/>
        </w:rPr>
      </w:pPr>
    </w:p>
    <w:p w14:paraId="69C9BD6E" w14:textId="77777777" w:rsidR="00446F27" w:rsidRPr="004A5029" w:rsidRDefault="00446F27" w:rsidP="00446F27">
      <w:pPr>
        <w:jc w:val="both"/>
        <w:textAlignment w:val="baseline"/>
        <w:rPr>
          <w:rFonts w:ascii="Times New Roman" w:eastAsia="Times New Roman" w:hAnsi="Times New Roman" w:cs="Times New Roman"/>
          <w:b/>
          <w:bCs/>
          <w:color w:val="000000" w:themeColor="text1"/>
          <w:lang w:eastAsia="it-IT"/>
        </w:rPr>
      </w:pPr>
      <w:r w:rsidRPr="004A5029">
        <w:rPr>
          <w:rFonts w:ascii="Times New Roman" w:hAnsi="Times New Roman" w:cs="Times New Roman"/>
          <w:b/>
          <w:color w:val="000000" w:themeColor="text1"/>
        </w:rPr>
        <w:t>Articolo</w:t>
      </w:r>
      <w:r w:rsidRPr="004A5029">
        <w:rPr>
          <w:rFonts w:ascii="Times New Roman" w:eastAsia="Times New Roman" w:hAnsi="Times New Roman" w:cs="Times New Roman"/>
          <w:b/>
          <w:bCs/>
          <w:color w:val="000000" w:themeColor="text1"/>
          <w:lang w:eastAsia="it-IT"/>
        </w:rPr>
        <w:t xml:space="preserve"> 131.</w:t>
      </w:r>
    </w:p>
    <w:p w14:paraId="46D6F49F" w14:textId="77777777" w:rsidR="00446F27" w:rsidRPr="004A5029" w:rsidRDefault="00446F27" w:rsidP="00446F27">
      <w:pPr>
        <w:jc w:val="both"/>
        <w:textAlignment w:val="baseline"/>
        <w:rPr>
          <w:rFonts w:ascii="Times New Roman" w:hAnsi="Times New Roman" w:cs="Times New Roman"/>
          <w:i/>
          <w:color w:val="000000" w:themeColor="text1"/>
        </w:rPr>
      </w:pPr>
      <w:r w:rsidRPr="004A5029">
        <w:rPr>
          <w:rFonts w:ascii="Times New Roman" w:eastAsia="Times New Roman" w:hAnsi="Times New Roman" w:cs="Times New Roman"/>
          <w:bCs/>
          <w:i/>
          <w:color w:val="000000" w:themeColor="text1"/>
          <w:lang w:eastAsia="it-IT"/>
        </w:rPr>
        <w:t>Servizi sostitutivi di mensa.</w:t>
      </w:r>
    </w:p>
    <w:p w14:paraId="51D38E82"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 L'attività di emissione di buoni pasto ha per scopo l’erogazione del servizio sostitutivo di mensa aziendale per il tramite di esercizi convenzionati, a mezzo di buoni pasto o di altri titoli rappresentativi di servizi.</w:t>
      </w:r>
    </w:p>
    <w:p w14:paraId="6283D2A0" w14:textId="149CD03A"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hAnsi="Times New Roman" w:cs="Times New Roman"/>
          <w:color w:val="000000" w:themeColor="text1"/>
        </w:rPr>
        <w:t>2</w:t>
      </w:r>
      <w:r w:rsidRPr="004A5029">
        <w:rPr>
          <w:rFonts w:ascii="Times New Roman" w:eastAsia="Calibri" w:hAnsi="Times New Roman" w:cs="Times New Roman"/>
          <w:color w:val="000000" w:themeColor="text1"/>
        </w:rPr>
        <w:t xml:space="preserve">. L’affidamento dei servizi sostitutivi di cui al presente articolo è riservato a società di capitali, con capitale versato non inferiore a 750.000 euro e costituite con tale specifico oggetto sociale, il cui bilancio deve essere corredato </w:t>
      </w:r>
      <w:r w:rsidRPr="004A5029">
        <w:rPr>
          <w:rFonts w:ascii="Times New Roman" w:eastAsia="Calibri" w:hAnsi="Times New Roman" w:cs="Times New Roman"/>
          <w:b/>
          <w:bCs/>
          <w:strike/>
          <w:color w:val="000000" w:themeColor="text1"/>
        </w:rPr>
        <w:t>dalla</w:t>
      </w:r>
      <w:r w:rsidRPr="004A5029">
        <w:rPr>
          <w:rFonts w:ascii="Times New Roman" w:eastAsia="Calibri" w:hAnsi="Times New Roman" w:cs="Times New Roman"/>
          <w:b/>
          <w:bCs/>
          <w:color w:val="000000" w:themeColor="text1"/>
        </w:rPr>
        <w:t xml:space="preserve"> </w:t>
      </w:r>
      <w:r w:rsidR="000A771E" w:rsidRPr="004A5029">
        <w:rPr>
          <w:rFonts w:ascii="Times New Roman" w:eastAsia="Calibri" w:hAnsi="Times New Roman" w:cs="Times New Roman"/>
          <w:b/>
          <w:bCs/>
          <w:color w:val="000000" w:themeColor="text1"/>
        </w:rPr>
        <w:t xml:space="preserve">della </w:t>
      </w:r>
      <w:r w:rsidRPr="004A5029">
        <w:rPr>
          <w:rFonts w:ascii="Times New Roman" w:eastAsia="Calibri" w:hAnsi="Times New Roman" w:cs="Times New Roman"/>
          <w:color w:val="000000" w:themeColor="text1"/>
        </w:rPr>
        <w:t>relazione redatta da una società di revisione iscritta nel registro istituito presso il Ministero della giustizia ai sensi dell'articolo 2409-</w:t>
      </w:r>
      <w:r w:rsidRPr="004A5029">
        <w:rPr>
          <w:rFonts w:ascii="Times New Roman" w:eastAsia="Calibri" w:hAnsi="Times New Roman" w:cs="Times New Roman"/>
          <w:i/>
          <w:iCs/>
          <w:color w:val="000000" w:themeColor="text1"/>
        </w:rPr>
        <w:t xml:space="preserve">bis </w:t>
      </w:r>
      <w:r w:rsidRPr="004A5029">
        <w:rPr>
          <w:rFonts w:ascii="Times New Roman" w:eastAsia="Calibri" w:hAnsi="Times New Roman" w:cs="Times New Roman"/>
          <w:color w:val="000000" w:themeColor="text1"/>
        </w:rPr>
        <w:t>del codice civile.</w:t>
      </w:r>
    </w:p>
    <w:p w14:paraId="022AF4EA" w14:textId="77777777" w:rsidR="00446F27" w:rsidRPr="004A5029" w:rsidRDefault="00446F27" w:rsidP="00446F27">
      <w:pPr>
        <w:jc w:val="both"/>
        <w:textAlignment w:val="baseline"/>
        <w:rPr>
          <w:rFonts w:ascii="Times New Roman" w:eastAsia="Times New Roman" w:hAnsi="Times New Roman" w:cs="Times New Roman"/>
          <w:bCs/>
          <w:color w:val="000000" w:themeColor="text1"/>
        </w:rPr>
      </w:pPr>
      <w:r w:rsidRPr="004A5029">
        <w:rPr>
          <w:rFonts w:ascii="Times New Roman" w:eastAsia="Times New Roman" w:hAnsi="Times New Roman" w:cs="Times New Roman"/>
          <w:bCs/>
          <w:color w:val="000000" w:themeColor="text1"/>
        </w:rPr>
        <w:t>3. Il possesso dei requisiti di cui al comma 2 deve essere provato mediante preventiva segnalazione certificata di inizio attività, redatta dai rappresentanti legali della società e trasmessa, ai sensi dell’articolo 19 della legge 7 agosto 1990, n. 241, al Ministero delle imprese e del made in Italy.</w:t>
      </w:r>
    </w:p>
    <w:p w14:paraId="6AFD4578"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Gli operatori economici attivi nel settore dell'emissione di buoni pasto aventi sede in altri Paesi dell'Unione europea possono esercitare l'attività se a ciò autorizzati in base alle norme del Paese di appartenenza.</w:t>
      </w:r>
    </w:p>
    <w:p w14:paraId="6A46C3E3"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5. L'affidamento dei servizi di cui al presente articolo avviene esclusivamente con il criterio dell'offerta economicamente più vantaggiosa individuata sulla base del miglior rapporto qualità/prezzo. Il bando di gara stabilisce i criteri di valutazione dell'offerta pertinenti, tra cui: </w:t>
      </w:r>
    </w:p>
    <w:p w14:paraId="4D883CFD" w14:textId="77777777" w:rsidR="00446F27" w:rsidRPr="004A5029" w:rsidRDefault="00446F27" w:rsidP="00446F27">
      <w:pPr>
        <w:jc w:val="both"/>
        <w:textAlignment w:val="baseline"/>
        <w:rPr>
          <w:rFonts w:ascii="Times New Roman" w:eastAsia="Calibri" w:hAnsi="Times New Roman" w:cs="Times New Roman"/>
          <w:strike/>
          <w:color w:val="000000" w:themeColor="text1"/>
        </w:rPr>
      </w:pPr>
      <w:r w:rsidRPr="004A5029">
        <w:rPr>
          <w:rFonts w:ascii="Times New Roman" w:eastAsia="Calibri" w:hAnsi="Times New Roman" w:cs="Times New Roman"/>
          <w:color w:val="000000" w:themeColor="text1"/>
        </w:rPr>
        <w:t>a) il ribasso sul valore nominale del buono pasto;</w:t>
      </w:r>
    </w:p>
    <w:p w14:paraId="17A86FC2" w14:textId="77777777" w:rsidR="00446F27" w:rsidRPr="004A5029" w:rsidRDefault="00446F27" w:rsidP="00446F27">
      <w:pPr>
        <w:spacing w:line="257" w:lineRule="auto"/>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b) la rete degli esercizi da convenzionare</w:t>
      </w:r>
      <w:r w:rsidRPr="004A5029">
        <w:rPr>
          <w:rFonts w:ascii="Times New Roman" w:eastAsia="Times New Roman" w:hAnsi="Times New Roman" w:cs="Times New Roman"/>
          <w:color w:val="000000" w:themeColor="text1"/>
        </w:rPr>
        <w:t>,</w:t>
      </w:r>
      <w:r w:rsidRPr="004A5029">
        <w:rPr>
          <w:rFonts w:ascii="Times New Roman" w:eastAsia="Calibri" w:hAnsi="Times New Roman" w:cs="Times New Roman"/>
          <w:color w:val="000000" w:themeColor="text1"/>
        </w:rPr>
        <w:t xml:space="preserve"> </w:t>
      </w:r>
      <w:r w:rsidRPr="004A5029">
        <w:rPr>
          <w:rFonts w:ascii="Times New Roman" w:eastAsia="Times New Roman" w:hAnsi="Times New Roman" w:cs="Times New Roman"/>
          <w:color w:val="000000" w:themeColor="text1"/>
        </w:rPr>
        <w:t>con specifica valorizzazione, in sede di attribuzione dei punti o dei pesi, delle caratteristiche qualitative che connotano il servizio sostitutivo di mensa offerto dalla rete di esercizi selezionata</w:t>
      </w:r>
      <w:r w:rsidRPr="004A5029">
        <w:rPr>
          <w:rFonts w:ascii="Times New Roman" w:eastAsia="Calibri" w:hAnsi="Times New Roman" w:cs="Times New Roman"/>
          <w:color w:val="000000" w:themeColor="text1"/>
        </w:rPr>
        <w:t xml:space="preserve">; </w:t>
      </w:r>
    </w:p>
    <w:p w14:paraId="7FDE3F12"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c) lo sconto incondizionato verso gli esercenti, in misura non superiore al 5 per cento del valore nominale del buono pasto. Tale sconto incondizionato remunera altresì ogni eventuale servizio aggiuntivo offerto agli esercenti; </w:t>
      </w:r>
    </w:p>
    <w:p w14:paraId="02B06459"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d) i termini di pagamento agli esercizi convenzionati; </w:t>
      </w:r>
    </w:p>
    <w:p w14:paraId="7279D7B7"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e) il progetto tecnico.</w:t>
      </w:r>
    </w:p>
    <w:p w14:paraId="1F4C1612" w14:textId="5348C8DE" w:rsidR="00446F27" w:rsidRPr="004A5029" w:rsidRDefault="00446F27" w:rsidP="00446F27">
      <w:pPr>
        <w:jc w:val="both"/>
        <w:textAlignment w:val="baseline"/>
        <w:rPr>
          <w:rFonts w:ascii="Times New Roman" w:hAnsi="Times New Roman" w:cs="Times New Roman"/>
          <w:color w:val="000000" w:themeColor="text1"/>
        </w:rPr>
      </w:pPr>
      <w:r w:rsidRPr="004A5029">
        <w:rPr>
          <w:rFonts w:ascii="Times New Roman" w:eastAsia="Calibri" w:hAnsi="Times New Roman" w:cs="Times New Roman"/>
          <w:color w:val="000000" w:themeColor="text1"/>
        </w:rPr>
        <w:t>6. L’a</w:t>
      </w:r>
      <w:r w:rsidRPr="004A5029">
        <w:rPr>
          <w:rFonts w:ascii="Times New Roman" w:eastAsia="Calibri" w:hAnsi="Times New Roman" w:cs="Times New Roman"/>
          <w:bCs/>
          <w:color w:val="000000" w:themeColor="text1"/>
        </w:rPr>
        <w:t>llegato II.17</w:t>
      </w:r>
      <w:r w:rsidRPr="004A5029">
        <w:rPr>
          <w:rFonts w:ascii="Times New Roman" w:eastAsia="Calibri" w:hAnsi="Times New Roman" w:cs="Times New Roman"/>
          <w:i/>
          <w:iCs/>
          <w:color w:val="000000" w:themeColor="text1"/>
        </w:rPr>
        <w:t xml:space="preserve"> </w:t>
      </w:r>
      <w:r w:rsidRPr="004A5029">
        <w:rPr>
          <w:rFonts w:ascii="Times New Roman" w:eastAsia="Calibri" w:hAnsi="Times New Roman" w:cs="Times New Roman"/>
          <w:color w:val="000000" w:themeColor="text1"/>
        </w:rPr>
        <w:t>individua</w:t>
      </w:r>
      <w:r w:rsidRPr="004A5029">
        <w:rPr>
          <w:rFonts w:ascii="Times New Roman" w:eastAsia="Calibri" w:hAnsi="Times New Roman" w:cs="Times New Roman"/>
          <w:i/>
          <w:iCs/>
          <w:color w:val="000000" w:themeColor="text1"/>
        </w:rPr>
        <w:t xml:space="preserve"> </w:t>
      </w:r>
      <w:r w:rsidRPr="004A5029">
        <w:rPr>
          <w:rFonts w:ascii="Times New Roman" w:eastAsia="Calibri" w:hAnsi="Times New Roman" w:cs="Times New Roman"/>
          <w:color w:val="000000" w:themeColor="text1"/>
        </w:rPr>
        <w:t xml:space="preserve">gli esercizi presso cui può essere erogato il servizio sostitutivo di mensa, le caratteristiche dei buoni pasto e il contenuto degli accordi stipulati tra le società di emissione dei buoni e i titolari degli esercizi convenzionabili. Nel caso di buoni pasto in forma elettronica è garantito agli esercizi convenzionati un unico terminale di pagamento. </w:t>
      </w:r>
      <w:r w:rsidRPr="004A5029">
        <w:rPr>
          <w:rFonts w:ascii="Times New Roman" w:eastAsia="Calibri" w:hAnsi="Times New Roman" w:cs="Times New Roman"/>
          <w:bCs/>
          <w:color w:val="000000" w:themeColor="text1"/>
        </w:rPr>
        <w:t xml:space="preserve">In sede di prima applicazione del codice, l’allegato </w:t>
      </w:r>
      <w:r w:rsidR="002C470F" w:rsidRPr="004A5029">
        <w:rPr>
          <w:rFonts w:ascii="Times New Roman" w:eastAsia="Calibri" w:hAnsi="Times New Roman" w:cs="Times New Roman"/>
          <w:b/>
          <w:color w:val="000000" w:themeColor="text1"/>
        </w:rPr>
        <w:t xml:space="preserve">II.17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w:t>
      </w:r>
      <w:r w:rsidRPr="004A5029">
        <w:rPr>
          <w:rFonts w:ascii="Times New Roman" w:eastAsia="Calibri" w:hAnsi="Times New Roman" w:cs="Times New Roman"/>
          <w:color w:val="000000" w:themeColor="text1"/>
        </w:rPr>
        <w:t>del Ministro delle imprese e del made in Italy, di concerto con il Ministro delle infrastrutture e dei trasporti</w:t>
      </w:r>
      <w:r w:rsidRPr="004A5029">
        <w:rPr>
          <w:rFonts w:ascii="Times New Roman" w:eastAsia="Calibri" w:hAnsi="Times New Roman" w:cs="Times New Roman"/>
          <w:bCs/>
          <w:color w:val="000000" w:themeColor="text1"/>
        </w:rPr>
        <w:t>, che lo sostituisce integralmente anche in qualità di allegato al codice</w:t>
      </w:r>
      <w:r w:rsidRPr="004A5029">
        <w:rPr>
          <w:rFonts w:ascii="Times New Roman" w:hAnsi="Times New Roman" w:cs="Times New Roman"/>
          <w:color w:val="000000" w:themeColor="text1"/>
        </w:rPr>
        <w:t>.</w:t>
      </w:r>
    </w:p>
    <w:p w14:paraId="00B7713F" w14:textId="77777777" w:rsidR="00446F27" w:rsidRPr="004A5029" w:rsidRDefault="00446F27" w:rsidP="00446F27">
      <w:pPr>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7. Ai fini del possesso della rete di esercizi attraverso cui si espleta il servizio sostitutivo di mensa, eventualmente richiesto come criterio di partecipazione o di aggiudicazione, è sufficiente l'assunzione, da parte dell’operatore economico, dell'impegno all'attivazione della rete stessa entro un congruo termine dal momento dell'aggiudicazione, fissato in sede di bando. La mancata attivazione della rete richiesta entro il termine indicato comporta la decadenza dell'aggiudicazione.</w:t>
      </w:r>
    </w:p>
    <w:p w14:paraId="61C48B59" w14:textId="77777777" w:rsidR="00446F27" w:rsidRPr="004A5029" w:rsidRDefault="00446F27" w:rsidP="00446F27">
      <w:pPr>
        <w:spacing w:line="276" w:lineRule="auto"/>
        <w:jc w:val="both"/>
        <w:textAlignment w:val="baseline"/>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8. Le stazioni appaltanti che acquistano i buoni pasto, le società di emissione e gli esercizi convenzionati consentono, ciascuno nell'esercizio della rispettiva attività contrattuale e delle obbligazioni di propria pertinenza, la utilizzabilità del buono pasto per l'intero valore nominale.</w:t>
      </w:r>
    </w:p>
    <w:p w14:paraId="34959D4B" w14:textId="77777777" w:rsidR="00446F27" w:rsidRPr="004A5029" w:rsidRDefault="00446F27" w:rsidP="00446F27">
      <w:pPr>
        <w:jc w:val="both"/>
        <w:textAlignment w:val="baseline"/>
        <w:rPr>
          <w:rFonts w:ascii="Times New Roman" w:eastAsia="Times New Roman" w:hAnsi="Times New Roman" w:cs="Times New Roman"/>
          <w:b/>
          <w:bCs/>
          <w:color w:val="000000" w:themeColor="text1"/>
          <w:lang w:eastAsia="it-IT"/>
        </w:rPr>
      </w:pPr>
    </w:p>
    <w:p w14:paraId="17B5D3FE" w14:textId="77777777" w:rsidR="00B922F7" w:rsidRPr="004A5029" w:rsidRDefault="00446F27" w:rsidP="00446F27">
      <w:pPr>
        <w:shd w:val="clear" w:color="auto" w:fill="FFFFFF" w:themeFill="background1"/>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 xml:space="preserve">Titolo III </w:t>
      </w:r>
    </w:p>
    <w:p w14:paraId="55F5090A" w14:textId="148D9C67" w:rsidR="00446F27" w:rsidRPr="004A5029" w:rsidRDefault="00446F27" w:rsidP="00446F27">
      <w:pPr>
        <w:shd w:val="clear" w:color="auto" w:fill="FFFFFF" w:themeFill="background1"/>
        <w:jc w:val="center"/>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I Contratti nel settore dei beni culturali</w:t>
      </w:r>
    </w:p>
    <w:p w14:paraId="7BD58BA2" w14:textId="77777777" w:rsidR="00446F27" w:rsidRPr="004A5029" w:rsidRDefault="00446F27" w:rsidP="00446F27">
      <w:pPr>
        <w:rPr>
          <w:rFonts w:ascii="Times New Roman" w:hAnsi="Times New Roman" w:cs="Times New Roman"/>
          <w:color w:val="000000" w:themeColor="text1"/>
        </w:rPr>
      </w:pPr>
    </w:p>
    <w:p w14:paraId="2864A042"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132.</w:t>
      </w:r>
    </w:p>
    <w:p w14:paraId="347A2CBC"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bCs/>
          <w:i/>
          <w:color w:val="000000" w:themeColor="text1"/>
          <w:lang w:eastAsia="it-IT"/>
        </w:rPr>
        <w:t>Disciplina comune applicabile ai contratti nel settore dei beni culturali.</w:t>
      </w:r>
    </w:p>
    <w:p w14:paraId="0E212F5C" w14:textId="47353DAB"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disposizioni del presente Titolo dettano la disciplina relativa a contratti concernenti i beni culturali tutelati ai sensi del </w:t>
      </w:r>
      <w:r w:rsidR="00D80B5B" w:rsidRPr="004A5029">
        <w:rPr>
          <w:rFonts w:ascii="Times New Roman" w:hAnsi="Times New Roman" w:cs="Times New Roman"/>
          <w:color w:val="000000" w:themeColor="text1"/>
        </w:rPr>
        <w:t xml:space="preserve">codice dei beni culturali e del paesaggio di cui al </w:t>
      </w:r>
      <w:r w:rsidRPr="004A5029">
        <w:rPr>
          <w:rFonts w:ascii="Times New Roman" w:hAnsi="Times New Roman" w:cs="Times New Roman"/>
          <w:color w:val="000000" w:themeColor="text1"/>
        </w:rPr>
        <w:t>decreto legislativo 22 gennaio 2004, n. 42, nonché relativi all'esecuzione di scavi archeologici, anche subacquei. Per quanto non diversamente disposto, trovano applicazione le pertinenti disposizioni del codice.</w:t>
      </w:r>
    </w:p>
    <w:p w14:paraId="3F3407BB" w14:textId="44D64DFA"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Ai contratti concernenti i beni culturali, in considerazione della specificità del settore ai sensi dell'articolo 36 del </w:t>
      </w:r>
      <w:r w:rsidRPr="004A5029">
        <w:rPr>
          <w:rFonts w:ascii="Times New Roman" w:hAnsi="Times New Roman" w:cs="Times New Roman"/>
          <w:b/>
          <w:bCs/>
          <w:strike/>
          <w:color w:val="000000" w:themeColor="text1"/>
        </w:rPr>
        <w:t>t</w:t>
      </w:r>
      <w:r w:rsidR="006671FC" w:rsidRPr="004A5029">
        <w:rPr>
          <w:rFonts w:ascii="Times New Roman" w:hAnsi="Times New Roman" w:cs="Times New Roman"/>
          <w:b/>
          <w:bCs/>
          <w:color w:val="000000" w:themeColor="text1"/>
        </w:rPr>
        <w:t>T</w:t>
      </w:r>
      <w:r w:rsidRPr="004A5029">
        <w:rPr>
          <w:rFonts w:ascii="Times New Roman" w:hAnsi="Times New Roman" w:cs="Times New Roman"/>
          <w:color w:val="000000" w:themeColor="text1"/>
        </w:rPr>
        <w:t>rattato sul funzionamento dell'Unione europea, non si applica l'istituto dell'avvalimento, di cui all'articolo 104.</w:t>
      </w:r>
    </w:p>
    <w:p w14:paraId="4357A966" w14:textId="77777777" w:rsidR="00446F27" w:rsidRPr="004A5029" w:rsidRDefault="00446F27" w:rsidP="00446F27">
      <w:pPr>
        <w:rPr>
          <w:rFonts w:ascii="Times New Roman" w:hAnsi="Times New Roman" w:cs="Times New Roman"/>
          <w:color w:val="000000" w:themeColor="text1"/>
        </w:rPr>
      </w:pPr>
    </w:p>
    <w:p w14:paraId="7726022F"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133.</w:t>
      </w:r>
    </w:p>
    <w:p w14:paraId="5D4D4798"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i/>
          <w:iCs/>
          <w:color w:val="000000" w:themeColor="text1"/>
          <w:lang w:eastAsia="it-IT"/>
        </w:rPr>
        <w:t>Requisiti di qualificazione.</w:t>
      </w:r>
    </w:p>
    <w:p w14:paraId="3AC9C935" w14:textId="24B02506" w:rsidR="00446F27" w:rsidRPr="004A5029" w:rsidRDefault="00446F27" w:rsidP="00446F27">
      <w:pPr>
        <w:jc w:val="both"/>
        <w:rPr>
          <w:rFonts w:ascii="Times New Roman" w:hAnsi="Times New Roman" w:cs="Times New Roman"/>
          <w:i/>
          <w:iCs/>
          <w:color w:val="000000" w:themeColor="text1"/>
        </w:rPr>
        <w:sectPr w:rsidR="00446F27" w:rsidRPr="004A5029">
          <w:headerReference w:type="default" r:id="rId32"/>
          <w:pgSz w:w="11906" w:h="16838"/>
          <w:pgMar w:top="1417" w:right="1134" w:bottom="1134" w:left="1134" w:header="708" w:footer="708" w:gutter="0"/>
          <w:cols w:space="708"/>
          <w:docGrid w:linePitch="360"/>
        </w:sectPr>
      </w:pPr>
      <w:r w:rsidRPr="004A5029">
        <w:rPr>
          <w:rFonts w:ascii="Times New Roman" w:hAnsi="Times New Roman" w:cs="Times New Roman"/>
          <w:color w:val="000000" w:themeColor="text1"/>
        </w:rPr>
        <w:t>1. Per i lavori di cui al presente Titolo, i requisiti di qualificazione dei soggetti esecutori e dei direttori tecnici, nonché i livelli e i contenuti della progettazione e le modalità del collaudo sono individuati nell’allegato</w:t>
      </w:r>
      <w:r w:rsidRPr="004A5029">
        <w:rPr>
          <w:rFonts w:ascii="Times New Roman" w:hAnsi="Times New Roman" w:cs="Times New Roman"/>
          <w:bCs/>
          <w:color w:val="000000" w:themeColor="text1"/>
        </w:rPr>
        <w:t xml:space="preserve"> II.18</w:t>
      </w:r>
      <w:r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In sede di prima applicazione del codice, l’allegato </w:t>
      </w:r>
      <w:r w:rsidR="002C470F" w:rsidRPr="004A5029">
        <w:rPr>
          <w:rFonts w:ascii="Times New Roman" w:eastAsia="Calibri" w:hAnsi="Times New Roman" w:cs="Times New Roman"/>
          <w:b/>
          <w:color w:val="000000" w:themeColor="text1"/>
        </w:rPr>
        <w:t xml:space="preserve">II.18 </w:t>
      </w:r>
      <w:r w:rsidRPr="004A5029">
        <w:rPr>
          <w:rFonts w:ascii="Times New Roman" w:eastAsia="Calibri" w:hAnsi="Times New Roman" w:cs="Times New Roman"/>
          <w:bCs/>
          <w:color w:val="000000" w:themeColor="text1"/>
        </w:rPr>
        <w:t xml:space="preserve">è abrogato a decorrere dalla data di entrata in vigore di un corrispondente regolamento </w:t>
      </w:r>
      <w:r w:rsidR="00364325" w:rsidRPr="004A5029">
        <w:rPr>
          <w:rFonts w:ascii="Times New Roman" w:eastAsia="Calibri" w:hAnsi="Times New Roman" w:cs="Times New Roman"/>
          <w:bCs/>
          <w:color w:val="000000" w:themeColor="text1"/>
        </w:rPr>
        <w:t>adottato</w:t>
      </w:r>
      <w:r w:rsidRPr="004A5029">
        <w:rPr>
          <w:rFonts w:ascii="Times New Roman" w:eastAsia="Calibri" w:hAnsi="Times New Roman" w:cs="Times New Roman"/>
          <w:bCs/>
          <w:color w:val="000000" w:themeColor="text1"/>
        </w:rPr>
        <w:t xml:space="preserve"> ai sensi dell’articolo 17, comma 3, della legge 23 agosto 1988, n. 400, con decreto </w:t>
      </w:r>
      <w:r w:rsidRPr="004A5029">
        <w:rPr>
          <w:rFonts w:ascii="Times New Roman" w:hAnsi="Times New Roman" w:cs="Times New Roman"/>
          <w:color w:val="000000" w:themeColor="text1"/>
        </w:rPr>
        <w:t xml:space="preserve">del Ministro della cultura, di concerto con il Ministro delle infrastrutture </w:t>
      </w:r>
      <w:r w:rsidRPr="004A5029">
        <w:rPr>
          <w:rFonts w:ascii="Times New Roman" w:eastAsia="Times New Roman" w:hAnsi="Times New Roman" w:cs="Times New Roman"/>
          <w:color w:val="000000" w:themeColor="text1"/>
        </w:rPr>
        <w:t>e dei trasporti</w:t>
      </w:r>
      <w:r w:rsidRPr="004A5029">
        <w:rPr>
          <w:rFonts w:ascii="Times New Roman" w:eastAsia="Calibri" w:hAnsi="Times New Roman" w:cs="Times New Roman"/>
          <w:bCs/>
          <w:color w:val="000000" w:themeColor="text1"/>
        </w:rPr>
        <w:t>, che lo sostituisce integralmente anche in qualità di allegato al codice</w:t>
      </w:r>
      <w:r w:rsidRPr="004A5029">
        <w:rPr>
          <w:rFonts w:ascii="Times New Roman" w:hAnsi="Times New Roman" w:cs="Times New Roman"/>
          <w:color w:val="000000" w:themeColor="text1"/>
        </w:rPr>
        <w:t>.</w:t>
      </w:r>
    </w:p>
    <w:p w14:paraId="47EB1FE8" w14:textId="77777777" w:rsidR="00446F27" w:rsidRPr="004A5029" w:rsidRDefault="00446F27" w:rsidP="00446F27">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134.</w:t>
      </w:r>
    </w:p>
    <w:p w14:paraId="50F0642E" w14:textId="77777777" w:rsidR="00446F27" w:rsidRPr="004A5029" w:rsidRDefault="00446F27" w:rsidP="00446F27">
      <w:pPr>
        <w:keepNext/>
        <w:keepLines/>
        <w:jc w:val="both"/>
        <w:outlineLvl w:val="0"/>
        <w:rPr>
          <w:rFonts w:ascii="Times New Roman" w:eastAsia="Times New Roman" w:hAnsi="Times New Roman" w:cs="Times New Roman"/>
          <w:i/>
          <w:iCs/>
          <w:color w:val="000000" w:themeColor="text1"/>
        </w:rPr>
      </w:pPr>
      <w:r w:rsidRPr="004A5029">
        <w:rPr>
          <w:rFonts w:ascii="Times New Roman" w:eastAsia="Times New Roman" w:hAnsi="Times New Roman" w:cs="Times New Roman"/>
          <w:i/>
          <w:iCs/>
          <w:color w:val="000000" w:themeColor="text1"/>
          <w:lang w:eastAsia="it-IT"/>
        </w:rPr>
        <w:t xml:space="preserve">Contratti gratuiti </w:t>
      </w:r>
      <w:r w:rsidRPr="004A5029">
        <w:rPr>
          <w:rFonts w:ascii="Times New Roman" w:eastAsia="Times New Roman" w:hAnsi="Times New Roman" w:cs="Times New Roman"/>
          <w:i/>
          <w:iCs/>
          <w:color w:val="000000" w:themeColor="text1"/>
        </w:rPr>
        <w:t>e forme speciali di partenariato.</w:t>
      </w:r>
    </w:p>
    <w:p w14:paraId="666EBEA5" w14:textId="77777777" w:rsidR="00446F27" w:rsidRPr="004A5029" w:rsidRDefault="00446F27" w:rsidP="00446F27">
      <w:pPr>
        <w:jc w:val="both"/>
        <w:rPr>
          <w:rFonts w:ascii="Times New Roman" w:eastAsia="Times New Roman" w:hAnsi="Times New Roman" w:cs="Times New Roman"/>
          <w:color w:val="000000" w:themeColor="text1"/>
        </w:rPr>
      </w:pPr>
      <w:r w:rsidRPr="004A5029">
        <w:rPr>
          <w:rFonts w:ascii="Times New Roman" w:eastAsia="Calibri" w:hAnsi="Times New Roman" w:cs="Times New Roman"/>
          <w:bCs/>
          <w:color w:val="000000" w:themeColor="text1"/>
        </w:rPr>
        <w:t>1. Per tutte le attività finalizzate alla tutela e alla valorizzazione dei beni culturali, l'amministrazione può stipulare contratti gratuiti, ai sensi dell'articolo 8, comma 1, del codice, ferme restando le prescrizioni dell’amministrazione preposta alla loro tutela in ordine alla progettazione e all’esecuzione delle opere e delle forniture e alla direzione dei lavori e al loro collaudo.</w:t>
      </w:r>
    </w:p>
    <w:p w14:paraId="61EA1DFE"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assicurare la fruizione del patrimonio culturale della nazione e favorire altresì la ricerca scientifica applicata alla sua tutela o alla sua valorizzazione, lo Stato, le regioni e gli enti territoriali possono, con le risorse umane, finanziarie e strumentali disponibili a legislazione vigente, attivare forme speciali di partenariato con enti e organismi pubblici e con soggetti privati, dirette a consentire il recupero, il restauro, la manutenzione programmata, la gestione, l'apertura alla pubblica fruizione e la valorizzazione di beni culturali, attraverso procedure semplificate di individuazione del partner privato analoghe o ulteriori rispetto a quelle previste </w:t>
      </w:r>
      <w:r w:rsidRPr="004A5029">
        <w:rPr>
          <w:rFonts w:ascii="Times New Roman" w:hAnsi="Times New Roman" w:cs="Times New Roman"/>
          <w:bCs/>
          <w:color w:val="000000" w:themeColor="text1"/>
        </w:rPr>
        <w:t>dall’articolo 8</w:t>
      </w:r>
      <w:r w:rsidRPr="004A5029">
        <w:rPr>
          <w:rFonts w:ascii="Times New Roman" w:hAnsi="Times New Roman" w:cs="Times New Roman"/>
          <w:color w:val="000000" w:themeColor="text1"/>
        </w:rPr>
        <w:t>.</w:t>
      </w:r>
    </w:p>
    <w:p w14:paraId="44F2224F" w14:textId="16E1960A" w:rsidR="00446F27" w:rsidRPr="004A5029" w:rsidRDefault="00446F27" w:rsidP="00446F27">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Resta fermo quanto previsto ai sensi dell’articolo 106, comma 2-</w:t>
      </w:r>
      <w:r w:rsidRPr="004A5029">
        <w:rPr>
          <w:rFonts w:ascii="Times New Roman" w:hAnsi="Times New Roman" w:cs="Times New Roman"/>
          <w:bCs/>
          <w:i/>
          <w:color w:val="000000" w:themeColor="text1"/>
        </w:rPr>
        <w:t>bis</w:t>
      </w:r>
      <w:r w:rsidRPr="004A5029">
        <w:rPr>
          <w:rFonts w:ascii="Times New Roman" w:hAnsi="Times New Roman" w:cs="Times New Roman"/>
          <w:bCs/>
          <w:color w:val="000000" w:themeColor="text1"/>
        </w:rPr>
        <w:t>, del codice dei beni culturali e del paesaggio, di cui al decreto legislativo 22 gennaio 2004, n. 42.</w:t>
      </w:r>
    </w:p>
    <w:p w14:paraId="77DB45C9" w14:textId="7C17DD83" w:rsidR="00234B2F" w:rsidRPr="00D076E1" w:rsidRDefault="006C37A8" w:rsidP="00446F27">
      <w:pPr>
        <w:jc w:val="both"/>
        <w:rPr>
          <w:rFonts w:ascii="Times New Roman" w:eastAsia="Calibri" w:hAnsi="Times New Roman" w:cs="Times New Roman"/>
          <w:b/>
          <w:bCs/>
          <w:color w:val="000000" w:themeColor="text1"/>
          <w:kern w:val="2"/>
          <w:shd w:val="clear" w:color="auto" w:fill="FFFFFF"/>
          <w14:ligatures w14:val="standardContextual"/>
        </w:rPr>
      </w:pPr>
      <w:r w:rsidRPr="00BD54D8">
        <w:rPr>
          <w:rFonts w:ascii="Times New Roman" w:eastAsia="Calibri" w:hAnsi="Times New Roman" w:cs="Times New Roman"/>
          <w:b/>
          <w:bCs/>
          <w:color w:val="000000" w:themeColor="text1"/>
          <w:kern w:val="2"/>
          <w:sz w:val="20"/>
          <w:szCs w:val="20"/>
          <w14:ligatures w14:val="standardContextual"/>
        </w:rPr>
        <w:t xml:space="preserve">4. </w:t>
      </w:r>
      <w:r w:rsidRPr="00BD54D8">
        <w:rPr>
          <w:rFonts w:ascii="Times New Roman" w:eastAsia="Calibri" w:hAnsi="Times New Roman" w:cs="Times New Roman"/>
          <w:b/>
          <w:bCs/>
          <w:color w:val="000000" w:themeColor="text1"/>
          <w:kern w:val="2"/>
          <w14:ligatures w14:val="standardContextual"/>
        </w:rPr>
        <w:t xml:space="preserve">L'affidamento di contratti di sponsorizzazione di lavori, servizi o forniture per importi superiori a </w:t>
      </w:r>
      <w:r w:rsidRPr="00BD54D8">
        <w:rPr>
          <w:rFonts w:ascii="Times New Roman" w:eastAsia="Calibri" w:hAnsi="Times New Roman" w:cs="Times New Roman"/>
          <w:b/>
          <w:bCs/>
          <w:strike/>
          <w:color w:val="000000" w:themeColor="text1"/>
          <w:kern w:val="2"/>
          <w14:ligatures w14:val="standardContextual"/>
        </w:rPr>
        <w:t>quarantamila</w:t>
      </w:r>
      <w:r w:rsidRPr="00BD54D8">
        <w:rPr>
          <w:rFonts w:ascii="Times New Roman" w:eastAsia="Calibri" w:hAnsi="Times New Roman" w:cs="Times New Roman"/>
          <w:b/>
          <w:bCs/>
          <w:color w:val="000000" w:themeColor="text1"/>
          <w:kern w:val="2"/>
          <w14:ligatures w14:val="standardContextual"/>
        </w:rPr>
        <w:t xml:space="preserve"> </w:t>
      </w:r>
      <w:r w:rsidR="000B7948" w:rsidRPr="00BD54D8">
        <w:rPr>
          <w:rFonts w:ascii="Times New Roman" w:eastAsia="Calibri" w:hAnsi="Times New Roman" w:cs="Times New Roman"/>
          <w:b/>
          <w:bCs/>
          <w:color w:val="000000" w:themeColor="text1"/>
          <w:kern w:val="2"/>
          <w14:ligatures w14:val="standardContextual"/>
        </w:rPr>
        <w:t xml:space="preserve">40.000 </w:t>
      </w:r>
      <w:r w:rsidRPr="00BD54D8">
        <w:rPr>
          <w:rFonts w:ascii="Times New Roman" w:eastAsia="Calibri" w:hAnsi="Times New Roman" w:cs="Times New Roman"/>
          <w:b/>
          <w:bCs/>
          <w:color w:val="000000" w:themeColor="text1"/>
          <w:kern w:val="2"/>
          <w14:ligatures w14:val="standardContextual"/>
        </w:rPr>
        <w:t>euro, mediante dazione di danaro o accollo del debito, o altre modalità di assunzione del pagamento dei corrispettivi dovuti, ivi compresi quelli relativi a beni culturali nonché ai contratti di sponsorizzazione finalizzati al sostegno degli istituti e dei luoghi della cultura, di cui all'articolo </w:t>
      </w:r>
      <w:hyperlink r:id="rId33" w:anchor="id=10LX0000160228ART103,__m=document" w:history="1">
        <w:r w:rsidRPr="00BD54D8">
          <w:rPr>
            <w:rFonts w:ascii="Times New Roman" w:eastAsia="Calibri" w:hAnsi="Times New Roman" w:cs="Times New Roman"/>
            <w:b/>
            <w:bCs/>
            <w:color w:val="000000" w:themeColor="text1"/>
            <w:kern w:val="2"/>
            <w14:ligatures w14:val="standardContextual"/>
          </w:rPr>
          <w:t>101</w:t>
        </w:r>
      </w:hyperlink>
      <w:r w:rsidRPr="00BD54D8">
        <w:rPr>
          <w:rFonts w:ascii="Times New Roman" w:eastAsia="Calibri" w:hAnsi="Times New Roman" w:cs="Times New Roman"/>
          <w:b/>
          <w:bCs/>
          <w:color w:val="000000" w:themeColor="text1"/>
          <w:kern w:val="2"/>
          <w14:ligatures w14:val="standardContextual"/>
        </w:rPr>
        <w:t> </w:t>
      </w:r>
      <w:r w:rsidRPr="00BD54D8">
        <w:rPr>
          <w:rFonts w:ascii="Times New Roman" w:eastAsia="Calibri" w:hAnsi="Times New Roman" w:cs="Times New Roman"/>
          <w:b/>
          <w:bCs/>
          <w:kern w:val="2"/>
          <w14:ligatures w14:val="standardContextual"/>
        </w:rPr>
        <w:t>del </w:t>
      </w:r>
      <w:r w:rsidR="000B7948" w:rsidRPr="00BD54D8">
        <w:rPr>
          <w:rFonts w:ascii="Times New Roman" w:eastAsia="Calibri" w:hAnsi="Times New Roman" w:cs="Times New Roman"/>
          <w:b/>
          <w:bCs/>
        </w:rPr>
        <w:t xml:space="preserve">codice dei beni culturali e del paesaggio, di cui al </w:t>
      </w:r>
      <w:r w:rsidRPr="00BD54D8">
        <w:rPr>
          <w:rFonts w:ascii="Times New Roman" w:eastAsia="Calibri" w:hAnsi="Times New Roman" w:cs="Times New Roman"/>
          <w:b/>
          <w:bCs/>
          <w:kern w:val="2"/>
          <w14:ligatures w14:val="standardContextual"/>
        </w:rPr>
        <w:t>d</w:t>
      </w:r>
      <w:r w:rsidRPr="00BD54D8">
        <w:rPr>
          <w:rFonts w:ascii="Times New Roman" w:eastAsia="Calibri" w:hAnsi="Times New Roman" w:cs="Times New Roman"/>
          <w:b/>
          <w:bCs/>
          <w:color w:val="000000" w:themeColor="text1"/>
          <w:kern w:val="2"/>
          <w14:ligatures w14:val="standardContextual"/>
        </w:rPr>
        <w:t>ecreto legislativo</w:t>
      </w:r>
      <w:r w:rsidRPr="000B7948">
        <w:rPr>
          <w:rFonts w:ascii="Times New Roman" w:eastAsia="Calibri" w:hAnsi="Times New Roman" w:cs="Times New Roman"/>
          <w:b/>
          <w:bCs/>
          <w:color w:val="000000" w:themeColor="text1"/>
          <w:kern w:val="2"/>
          <w14:ligatures w14:val="standardContextual"/>
        </w:rPr>
        <w:t xml:space="preserve"> 22 gennaio 2004, n. 42</w:t>
      </w:r>
      <w:r w:rsidRPr="004A5029">
        <w:rPr>
          <w:rFonts w:ascii="Times New Roman" w:eastAsia="Calibri" w:hAnsi="Times New Roman" w:cs="Times New Roman"/>
          <w:b/>
          <w:bCs/>
          <w:color w:val="000000" w:themeColor="text1"/>
          <w:kern w:val="2"/>
          <w14:ligatures w14:val="standardContextual"/>
        </w:rPr>
        <w:t>, delle fondazioni lirico-sinfoniche e dei teatri di tradizione, è soggetto esclusivamente alla previa pubblicazione sul sito internet della stazione appaltante, per almeno trenta giorni, di apposito avviso, con il quale si rende nota la ricerca di sponsor per specifici interventi, ovvero si comunica l'avvenuto ricevimento di una proposta di sponsorizzazione, indicando sinteticamente il contenuto del contratto proposto. Trascorso il periodo di pubblicazione dell'avviso, il contratto può essere liberamente negoziato, purché nel rispetto dei principi di imparzialità e di parità di trattamento fra gli operatori che abbiano manifestato interesse, fermo restando il rispetto degli articoli 66, 94, 95, 97 e 100 in ordine alla verifica dei requisiti degli esecutori e della qualificazione degli operatori economici. Nel caso in cui lo sponsor intenda realizzare i lavori, prestare i servizi o le forniture direttamente a sua cura e spese, resta ferma la necessità di verificare il possesso dei requisiti degli esecutori, nel rispetto dei principi e dei limiti europei in materia e non trovano applicazione le disposizioni nazionali e regionali in materia di contratti pubblici di lavori, servizi e forniture, ad eccezione di quelle sulla qualificazione dei progettisti e degli esecutori. La stazione appaltante e l’amministrazione preposta alla tutela dei beni culturali impartiscono opportune prescrizioni in ordine alla progettazione, all'esecuzione delle opere o forniture e alla direzione dei lavori e collaudo degli stessi</w:t>
      </w:r>
      <w:r w:rsidRPr="004A5029">
        <w:rPr>
          <w:rFonts w:ascii="Times New Roman" w:eastAsia="Calibri" w:hAnsi="Times New Roman" w:cs="Times New Roman"/>
          <w:b/>
          <w:bCs/>
          <w:color w:val="000000" w:themeColor="text1"/>
          <w:kern w:val="2"/>
          <w:sz w:val="20"/>
          <w:szCs w:val="20"/>
          <w14:ligatures w14:val="standardContextual"/>
        </w:rPr>
        <w:t>.</w:t>
      </w:r>
    </w:p>
    <w:p w14:paraId="44690661" w14:textId="77777777" w:rsidR="00446F27" w:rsidRPr="004A5029" w:rsidRDefault="00446F27" w:rsidP="00446F27">
      <w:pPr>
        <w:jc w:val="both"/>
        <w:rPr>
          <w:rFonts w:ascii="Times New Roman" w:hAnsi="Times New Roman" w:cs="Times New Roman"/>
          <w:color w:val="000000" w:themeColor="text1"/>
        </w:rPr>
      </w:pPr>
    </w:p>
    <w:p w14:paraId="4C69A17E" w14:textId="77777777"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IV </w:t>
      </w:r>
    </w:p>
    <w:p w14:paraId="66E1E35C" w14:textId="57755C7A"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I servizi di ricerca e sviluppo</w:t>
      </w:r>
    </w:p>
    <w:p w14:paraId="74539910" w14:textId="77777777" w:rsidR="00446F27" w:rsidRPr="004A5029" w:rsidRDefault="00446F27" w:rsidP="00446F27">
      <w:pPr>
        <w:jc w:val="center"/>
        <w:rPr>
          <w:rFonts w:ascii="Times New Roman" w:hAnsi="Times New Roman" w:cs="Times New Roman"/>
          <w:b/>
          <w:color w:val="000000" w:themeColor="text1"/>
        </w:rPr>
      </w:pPr>
    </w:p>
    <w:p w14:paraId="6A9E73AF" w14:textId="77777777" w:rsidR="00446F27" w:rsidRPr="004A5029" w:rsidRDefault="00446F27" w:rsidP="00446F27">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135.</w:t>
      </w:r>
    </w:p>
    <w:p w14:paraId="0EDE4F43" w14:textId="77777777" w:rsidR="00446F27" w:rsidRPr="004A5029" w:rsidRDefault="00446F27" w:rsidP="00446F27">
      <w:pPr>
        <w:keepNext/>
        <w:keepLines/>
        <w:jc w:val="both"/>
        <w:outlineLvl w:val="0"/>
        <w:rPr>
          <w:rFonts w:ascii="Times New Roman" w:eastAsiaTheme="majorEastAsia" w:hAnsi="Times New Roman" w:cs="Times New Roman"/>
          <w:i/>
          <w:color w:val="000000" w:themeColor="text1"/>
        </w:rPr>
      </w:pPr>
      <w:r w:rsidRPr="004A5029">
        <w:rPr>
          <w:rFonts w:ascii="Times New Roman" w:eastAsia="Times New Roman" w:hAnsi="Times New Roman" w:cs="Times New Roman"/>
          <w:bCs/>
          <w:i/>
          <w:color w:val="000000" w:themeColor="text1"/>
          <w:lang w:eastAsia="it-IT"/>
        </w:rPr>
        <w:t>Servizi di ricerca e sviluppo.</w:t>
      </w:r>
    </w:p>
    <w:p w14:paraId="39F2EC43"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 Relativamente ai servizi di ricerca e sviluppo, le disposizioni del codice si applicano esclusivamente ai contratti </w:t>
      </w:r>
      <w:r w:rsidRPr="004A5029">
        <w:rPr>
          <w:rFonts w:ascii="Times New Roman" w:eastAsia="Times New Roman" w:hAnsi="Times New Roman" w:cs="Times New Roman"/>
          <w:bCs/>
          <w:color w:val="000000" w:themeColor="text1"/>
          <w:lang w:eastAsia="it-IT"/>
        </w:rPr>
        <w:t>relativi ai</w:t>
      </w:r>
      <w:r w:rsidRPr="004A5029">
        <w:rPr>
          <w:rFonts w:ascii="Times New Roman" w:eastAsia="Times New Roman" w:hAnsi="Times New Roman" w:cs="Times New Roman"/>
          <w:color w:val="000000" w:themeColor="text1"/>
          <w:lang w:eastAsia="it-IT"/>
        </w:rPr>
        <w:t xml:space="preserve"> servizi </w:t>
      </w:r>
      <w:r w:rsidRPr="004A5029">
        <w:rPr>
          <w:rFonts w:ascii="Times New Roman" w:eastAsia="Times New Roman" w:hAnsi="Times New Roman" w:cs="Times New Roman"/>
          <w:bCs/>
          <w:color w:val="000000" w:themeColor="text1"/>
          <w:lang w:eastAsia="it-IT"/>
        </w:rPr>
        <w:t xml:space="preserve">di cui all’allegato II.19, a condizione che: </w:t>
      </w:r>
    </w:p>
    <w:p w14:paraId="78D84256"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
          <w:iCs/>
          <w:color w:val="000000" w:themeColor="text1"/>
          <w:lang w:eastAsia="it-IT"/>
        </w:rPr>
        <w:t>a</w:t>
      </w:r>
      <w:r w:rsidRPr="004A5029">
        <w:rPr>
          <w:rFonts w:ascii="Times New Roman" w:eastAsia="Times New Roman" w:hAnsi="Times New Roman" w:cs="Times New Roman"/>
          <w:color w:val="000000" w:themeColor="text1"/>
          <w:lang w:eastAsia="it-IT"/>
        </w:rPr>
        <w:t>) i risultati appartengano esclusivamente alla stazione appaltante, per essere destinati all’esercizio della propria attività;</w:t>
      </w:r>
    </w:p>
    <w:p w14:paraId="707135CA" w14:textId="77777777" w:rsidR="00446F27" w:rsidRPr="004A5029" w:rsidRDefault="00446F27" w:rsidP="00446F27">
      <w:pPr>
        <w:jc w:val="both"/>
        <w:textAlignment w:val="baseline"/>
        <w:rPr>
          <w:rFonts w:ascii="Times New Roman" w:eastAsia="Times New Roman" w:hAnsi="Times New Roman" w:cs="Times New Roman"/>
          <w:bCs/>
          <w:color w:val="000000" w:themeColor="text1"/>
          <w:lang w:eastAsia="it-IT"/>
        </w:rPr>
      </w:pPr>
      <w:r w:rsidRPr="004A5029">
        <w:rPr>
          <w:rFonts w:ascii="Times New Roman" w:eastAsia="Times New Roman" w:hAnsi="Times New Roman" w:cs="Times New Roman"/>
          <w:i/>
          <w:iCs/>
          <w:color w:val="000000" w:themeColor="text1"/>
          <w:lang w:eastAsia="it-IT"/>
        </w:rPr>
        <w:t>b</w:t>
      </w:r>
      <w:r w:rsidRPr="004A5029">
        <w:rPr>
          <w:rFonts w:ascii="Times New Roman" w:eastAsia="Times New Roman" w:hAnsi="Times New Roman" w:cs="Times New Roman"/>
          <w:color w:val="000000" w:themeColor="text1"/>
          <w:lang w:eastAsia="it-IT"/>
        </w:rPr>
        <w:t>) la prestazione del servizio sia interamente retribuita dalla stazione appaltante.</w:t>
      </w:r>
    </w:p>
    <w:p w14:paraId="478A5FDB"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2. Le stazioni appaltanti possono ricorrere, in applicazione dei principi di cui </w:t>
      </w:r>
      <w:r w:rsidRPr="004A5029">
        <w:rPr>
          <w:rFonts w:ascii="Times New Roman" w:eastAsia="Calibri" w:hAnsi="Times New Roman" w:cs="Times New Roman"/>
          <w:bCs/>
          <w:color w:val="000000" w:themeColor="text1"/>
        </w:rPr>
        <w:t>agli articoli 1, 2 e 3</w:t>
      </w:r>
      <w:r w:rsidRPr="004A5029">
        <w:rPr>
          <w:rFonts w:ascii="Times New Roman" w:eastAsia="Calibri" w:hAnsi="Times New Roman" w:cs="Times New Roman"/>
          <w:color w:val="000000" w:themeColor="text1"/>
        </w:rPr>
        <w:t xml:space="preserve">, agli appalti pubblici pre-commerciali, che rispettino le condizioni delle lettere a) e b) del comma 1, quando: </w:t>
      </w:r>
    </w:p>
    <w:p w14:paraId="62D4D5BF"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a) siano destinati al conseguimento di risultati non appartenenti in via esclusiva alla stazione appaltante, che li usi nell'esercizio della propria attività; </w:t>
      </w:r>
    </w:p>
    <w:p w14:paraId="77117D45" w14:textId="77777777"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b) la prestazione del servizio non sia interamente retribuita dalla stazione appaltante; </w:t>
      </w:r>
    </w:p>
    <w:p w14:paraId="43888DF8" w14:textId="77777777" w:rsidR="00446F27" w:rsidRPr="004A5029" w:rsidRDefault="00446F27" w:rsidP="00446F27">
      <w:pPr>
        <w:jc w:val="both"/>
        <w:rPr>
          <w:rFonts w:ascii="Times New Roman" w:eastAsia="Times New Roman" w:hAnsi="Times New Roman" w:cs="Times New Roman"/>
          <w:bCs/>
          <w:color w:val="000000" w:themeColor="text1"/>
          <w:lang w:eastAsia="it-IT"/>
        </w:rPr>
      </w:pPr>
      <w:r w:rsidRPr="004A5029">
        <w:rPr>
          <w:rFonts w:ascii="Times New Roman" w:eastAsia="Calibri" w:hAnsi="Times New Roman" w:cs="Times New Roman"/>
          <w:color w:val="000000" w:themeColor="text1"/>
        </w:rPr>
        <w:t>c) l'esigenza non possa essere soddisfatta ricorrendo a soluzioni già disponibili sul mercato.</w:t>
      </w:r>
    </w:p>
    <w:p w14:paraId="434F379B" w14:textId="201C7675" w:rsidR="00446F27" w:rsidRPr="004A5029" w:rsidRDefault="00446F27" w:rsidP="00446F27">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3. In sede di prima applicazione del codice, l’allegato di cui al comma 1 è abrogato a decorrere dalla data di entrata in vigore di un corrispondente regolamento </w:t>
      </w:r>
      <w:r w:rsidR="00364325" w:rsidRPr="004A5029">
        <w:rPr>
          <w:rFonts w:ascii="Times New Roman" w:eastAsia="Calibri" w:hAnsi="Times New Roman" w:cs="Times New Roman"/>
          <w:color w:val="000000" w:themeColor="text1"/>
        </w:rPr>
        <w:t>adottato</w:t>
      </w:r>
      <w:r w:rsidRPr="004A5029">
        <w:rPr>
          <w:rFonts w:ascii="Times New Roman" w:eastAsia="Calibri" w:hAnsi="Times New Roman" w:cs="Times New Roman"/>
          <w:color w:val="000000" w:themeColor="text1"/>
        </w:rPr>
        <w:t xml:space="preserve"> ai sensi dell’articolo 17, comma 3, della legge 23 agosto 1988, n. 400, con decreto del Ministro </w:t>
      </w:r>
      <w:r w:rsidR="00DE26E9" w:rsidRPr="004A5029">
        <w:rPr>
          <w:rFonts w:ascii="Times New Roman" w:eastAsia="Calibri" w:hAnsi="Times New Roman" w:cs="Times New Roman"/>
          <w:color w:val="000000" w:themeColor="text1"/>
        </w:rPr>
        <w:t>dell’università e della ricerca</w:t>
      </w:r>
      <w:r w:rsidR="00DE26E9"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color w:val="000000" w:themeColor="text1"/>
        </w:rPr>
        <w:t>di concerto con il Ministro delle imprese e del made in Italy, che lo sostituisce integralmente anche in qualità di allegato al codice</w:t>
      </w:r>
      <w:r w:rsidRPr="004A5029">
        <w:rPr>
          <w:rFonts w:ascii="Times New Roman" w:hAnsi="Times New Roman" w:cs="Times New Roman"/>
          <w:color w:val="000000" w:themeColor="text1"/>
        </w:rPr>
        <w:t>.</w:t>
      </w:r>
    </w:p>
    <w:p w14:paraId="5A7E0CF2" w14:textId="77777777" w:rsidR="00446F27" w:rsidRPr="004A5029" w:rsidRDefault="00446F27" w:rsidP="00446F27">
      <w:pPr>
        <w:jc w:val="both"/>
        <w:rPr>
          <w:rFonts w:ascii="Times New Roman" w:hAnsi="Times New Roman" w:cs="Times New Roman"/>
          <w:color w:val="000000" w:themeColor="text1"/>
        </w:rPr>
      </w:pPr>
    </w:p>
    <w:p w14:paraId="5A6CEA5F" w14:textId="77777777" w:rsidR="00B922F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V </w:t>
      </w:r>
    </w:p>
    <w:p w14:paraId="476E2ECB" w14:textId="3600DEB7" w:rsidR="00446F27" w:rsidRPr="004A5029" w:rsidRDefault="00446F27" w:rsidP="00446F27">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I contratti nel settore della difesa e sicurezza; i contratti secretati</w:t>
      </w:r>
    </w:p>
    <w:p w14:paraId="60FA6563" w14:textId="77777777" w:rsidR="00446F27" w:rsidRPr="004A5029" w:rsidRDefault="00446F27" w:rsidP="00446F27">
      <w:pPr>
        <w:jc w:val="center"/>
        <w:rPr>
          <w:rFonts w:ascii="Times New Roman" w:hAnsi="Times New Roman" w:cs="Times New Roman"/>
          <w:b/>
          <w:color w:val="000000" w:themeColor="text1"/>
        </w:rPr>
      </w:pPr>
    </w:p>
    <w:p w14:paraId="4ACA2C39"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136.</w:t>
      </w:r>
    </w:p>
    <w:p w14:paraId="647AC84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Difesa e sicurezza.</w:t>
      </w:r>
    </w:p>
    <w:p w14:paraId="64EDA2B9"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Le disposizioni del codice si applicano ai contratti aggiudicati nei settori della difesa e della sicurezza, ad eccezione dei contratti: </w:t>
      </w:r>
    </w:p>
    <w:p w14:paraId="737927C3"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a</w:t>
      </w:r>
      <w:r w:rsidRPr="004A5029">
        <w:rPr>
          <w:rFonts w:ascii="Times New Roman" w:eastAsia="Times New Roman" w:hAnsi="Times New Roman" w:cs="Times New Roman"/>
          <w:color w:val="000000" w:themeColor="text1"/>
          <w:lang w:eastAsia="it-IT"/>
        </w:rPr>
        <w:t>) che rientrano nell’ambito di applicazione del decreto legislativo 15 novembre 2011, n. 208;</w:t>
      </w:r>
    </w:p>
    <w:p w14:paraId="69EF91D5" w14:textId="71695DAB"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bCs/>
          <w:iCs/>
          <w:color w:val="000000" w:themeColor="text1"/>
          <w:lang w:eastAsia="it-IT"/>
        </w:rPr>
        <w:t>b</w:t>
      </w:r>
      <w:r w:rsidRPr="004A5029">
        <w:rPr>
          <w:rFonts w:ascii="Times New Roman" w:eastAsia="Times New Roman" w:hAnsi="Times New Roman" w:cs="Times New Roman"/>
          <w:bCs/>
          <w:color w:val="000000" w:themeColor="text1"/>
          <w:lang w:eastAsia="it-IT"/>
        </w:rPr>
        <w:t xml:space="preserve">) ai quali non si applica neanche il decreto legislativo </w:t>
      </w:r>
      <w:r w:rsidRPr="004A5029">
        <w:rPr>
          <w:rFonts w:ascii="Times New Roman" w:eastAsia="Times New Roman" w:hAnsi="Times New Roman" w:cs="Times New Roman"/>
          <w:b/>
          <w:strike/>
          <w:color w:val="000000" w:themeColor="text1"/>
          <w:lang w:eastAsia="it-IT"/>
        </w:rPr>
        <w:t>15 novembre 2011,</w:t>
      </w:r>
      <w:r w:rsidRPr="004A5029">
        <w:rPr>
          <w:rFonts w:ascii="Times New Roman" w:eastAsia="Times New Roman" w:hAnsi="Times New Roman" w:cs="Times New Roman"/>
          <w:bCs/>
          <w:strike/>
          <w:color w:val="000000" w:themeColor="text1"/>
          <w:lang w:eastAsia="it-IT"/>
        </w:rPr>
        <w:t xml:space="preserve"> </w:t>
      </w:r>
      <w:r w:rsidRPr="004A5029">
        <w:rPr>
          <w:rFonts w:ascii="Times New Roman" w:eastAsia="Times New Roman" w:hAnsi="Times New Roman" w:cs="Times New Roman"/>
          <w:bCs/>
          <w:color w:val="000000" w:themeColor="text1"/>
          <w:lang w:eastAsia="it-IT"/>
        </w:rPr>
        <w:t>n. 208</w:t>
      </w:r>
      <w:r w:rsidR="00955B24" w:rsidRPr="004A5029">
        <w:rPr>
          <w:rFonts w:ascii="Times New Roman" w:eastAsia="Times New Roman" w:hAnsi="Times New Roman" w:cs="Times New Roman"/>
          <w:bCs/>
          <w:color w:val="000000" w:themeColor="text1"/>
          <w:lang w:eastAsia="it-IT"/>
        </w:rPr>
        <w:t xml:space="preserve">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bCs/>
          <w:color w:val="000000" w:themeColor="text1"/>
          <w:lang w:eastAsia="it-IT"/>
        </w:rPr>
        <w:t>, in virtù dell’articolo 6 del medesimo decreto.</w:t>
      </w:r>
    </w:p>
    <w:p w14:paraId="2FA6A849"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w:t>
      </w:r>
      <w:r w:rsidRPr="004A5029">
        <w:rPr>
          <w:rFonts w:ascii="Times New Roman" w:eastAsia="Times" w:hAnsi="Times New Roman" w:cs="Times New Roman"/>
          <w:color w:val="000000" w:themeColor="text1"/>
          <w:lang w:eastAsia="it-IT"/>
        </w:rPr>
        <w:t xml:space="preserve">. </w:t>
      </w:r>
      <w:r w:rsidRPr="004A5029">
        <w:rPr>
          <w:rFonts w:ascii="Times New Roman" w:eastAsia="Times" w:hAnsi="Times New Roman" w:cs="Times New Roman"/>
          <w:bCs/>
          <w:color w:val="000000" w:themeColor="text1"/>
          <w:lang w:eastAsia="it-IT"/>
        </w:rPr>
        <w:t>L'applicazione</w:t>
      </w:r>
      <w:r w:rsidRPr="004A5029">
        <w:rPr>
          <w:rFonts w:ascii="Times New Roman" w:eastAsia="Times" w:hAnsi="Times New Roman" w:cs="Times New Roman"/>
          <w:color w:val="000000" w:themeColor="text1"/>
          <w:lang w:eastAsia="it-IT"/>
        </w:rPr>
        <w:t xml:space="preserve"> del codice</w:t>
      </w:r>
      <w:r w:rsidRPr="004A5029">
        <w:rPr>
          <w:rFonts w:ascii="Times New Roman" w:eastAsia="Times" w:hAnsi="Times New Roman" w:cs="Times New Roman"/>
          <w:bCs/>
          <w:color w:val="000000" w:themeColor="text1"/>
          <w:lang w:eastAsia="it-IT"/>
        </w:rPr>
        <w:t xml:space="preserve"> è in ogni caso esclusa per gli</w:t>
      </w:r>
      <w:r w:rsidRPr="004A5029">
        <w:rPr>
          <w:rFonts w:ascii="Times New Roman" w:eastAsia="Times" w:hAnsi="Times New Roman" w:cs="Times New Roman"/>
          <w:color w:val="000000" w:themeColor="text1"/>
          <w:lang w:eastAsia="it-IT"/>
        </w:rPr>
        <w:t xml:space="preserve"> appalti pubblici e </w:t>
      </w:r>
      <w:r w:rsidRPr="004A5029">
        <w:rPr>
          <w:rFonts w:ascii="Times New Roman" w:eastAsia="Times" w:hAnsi="Times New Roman" w:cs="Times New Roman"/>
          <w:bCs/>
          <w:color w:val="000000" w:themeColor="text1"/>
          <w:lang w:eastAsia="it-IT"/>
        </w:rPr>
        <w:t>per i</w:t>
      </w:r>
      <w:r w:rsidRPr="004A5029">
        <w:rPr>
          <w:rFonts w:ascii="Times New Roman" w:eastAsia="Times" w:hAnsi="Times New Roman" w:cs="Times New Roman"/>
          <w:color w:val="000000" w:themeColor="text1"/>
          <w:lang w:eastAsia="it-IT"/>
        </w:rPr>
        <w:t xml:space="preserve"> concorsi di progettazione, quando la tutela degli interessi essenziali di sicurezza dello Stato non possa essere garantita mediante misure idonee e volte anche a proteggere la riservatezza delle informazioni che le amministrazioni aggiudicatrici rendono disponibili in una procedura di aggiudicazione dell’appalto. </w:t>
      </w:r>
    </w:p>
    <w:p w14:paraId="189EDE2C" w14:textId="3D28FE48"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3. All'aggiudicazione di concessioni nei settori della difesa e della sicurezza, di cui al decreto </w:t>
      </w:r>
      <w:r w:rsidRPr="004A5029">
        <w:rPr>
          <w:rFonts w:ascii="Times New Roman" w:eastAsia="Times New Roman" w:hAnsi="Times New Roman" w:cs="Times New Roman"/>
          <w:b/>
          <w:bCs/>
          <w:color w:val="000000" w:themeColor="text1"/>
          <w:lang w:eastAsia="it-IT"/>
        </w:rPr>
        <w:t xml:space="preserve">legislativo </w:t>
      </w:r>
      <w:r w:rsidR="00955B24" w:rsidRPr="004A5029">
        <w:rPr>
          <w:rFonts w:ascii="Times New Roman" w:eastAsia="Times New Roman" w:hAnsi="Times New Roman" w:cs="Times New Roman"/>
          <w:b/>
          <w:bCs/>
          <w:strike/>
          <w:color w:val="000000" w:themeColor="text1"/>
          <w:lang w:eastAsia="it-IT"/>
        </w:rPr>
        <w:t xml:space="preserve">15 novembre 2011,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color w:val="000000" w:themeColor="text1"/>
          <w:lang w:eastAsia="it-IT"/>
        </w:rPr>
        <w:t xml:space="preserve">, si applica il Libro IV del codice fatta eccezione per le concessioni relative alle ipotesi alle quali non si applica neanche il decreto legislativo </w:t>
      </w:r>
      <w:r w:rsidR="00955B24" w:rsidRPr="004A5029">
        <w:rPr>
          <w:rFonts w:ascii="Times New Roman" w:eastAsia="Times New Roman" w:hAnsi="Times New Roman" w:cs="Times New Roman"/>
          <w:b/>
          <w:strike/>
          <w:color w:val="000000" w:themeColor="text1"/>
          <w:lang w:eastAsia="it-IT"/>
        </w:rPr>
        <w:t>15 novembre 2011,</w:t>
      </w:r>
      <w:r w:rsidR="00955B24" w:rsidRPr="004A5029">
        <w:rPr>
          <w:rFonts w:ascii="Times New Roman" w:eastAsia="Times New Roman" w:hAnsi="Times New Roman" w:cs="Times New Roman"/>
          <w:bCs/>
          <w:strike/>
          <w:color w:val="000000" w:themeColor="text1"/>
          <w:lang w:eastAsia="it-IT"/>
        </w:rPr>
        <w:t xml:space="preserve">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color w:val="000000" w:themeColor="text1"/>
          <w:lang w:eastAsia="it-IT"/>
        </w:rPr>
        <w:t xml:space="preserve"> in virtù dell'articolo 6 del medesimo decreto.</w:t>
      </w:r>
    </w:p>
    <w:p w14:paraId="087F6DCF" w14:textId="1184DC9A" w:rsidR="00446F27" w:rsidRPr="004A5029" w:rsidRDefault="00446F27" w:rsidP="00446F27">
      <w:pPr>
        <w:jc w:val="both"/>
        <w:textAlignment w:val="baseline"/>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4. Per i contratti di cui al presente articolo nonché per gli interventi da eseguire in Italia e all'estero per effetto di accordi internazionali, multilaterali o bilaterali, e </w:t>
      </w:r>
      <w:r w:rsidR="00E9136F" w:rsidRPr="004A5029">
        <w:rPr>
          <w:rFonts w:ascii="Times New Roman" w:eastAsia="Times New Roman" w:hAnsi="Times New Roman" w:cs="Times New Roman"/>
          <w:color w:val="000000" w:themeColor="text1"/>
        </w:rPr>
        <w:t>58</w:t>
      </w:r>
      <w:r w:rsidRPr="004A5029">
        <w:rPr>
          <w:rFonts w:ascii="Times New Roman" w:eastAsia="Times New Roman" w:hAnsi="Times New Roman" w:cs="Times New Roman"/>
          <w:color w:val="000000" w:themeColor="text1"/>
        </w:rPr>
        <w:t xml:space="preserve">anche per i lavori in economia eseguiti a mezzo delle truppe e dei reparti del Genio militare per i quali non si applicano i limiti di importo di cui all'articolo 14, </w:t>
      </w:r>
      <w:r w:rsidRPr="004A5029">
        <w:rPr>
          <w:rFonts w:ascii="Times New Roman" w:eastAsia="Times New Roman" w:hAnsi="Times New Roman" w:cs="Times New Roman"/>
          <w:bCs/>
          <w:color w:val="000000" w:themeColor="text1"/>
        </w:rPr>
        <w:t>si applica</w:t>
      </w:r>
      <w:r w:rsidR="003F5E18" w:rsidRPr="004A5029">
        <w:rPr>
          <w:rFonts w:ascii="Times New Roman" w:eastAsia="Times New Roman" w:hAnsi="Times New Roman" w:cs="Times New Roman"/>
          <w:bCs/>
          <w:color w:val="000000" w:themeColor="text1"/>
        </w:rPr>
        <w:t xml:space="preserve"> l’</w:t>
      </w:r>
      <w:r w:rsidRPr="004A5029">
        <w:rPr>
          <w:rFonts w:ascii="Times New Roman" w:eastAsia="Times New Roman" w:hAnsi="Times New Roman" w:cs="Times New Roman"/>
          <w:bCs/>
          <w:color w:val="000000" w:themeColor="text1"/>
        </w:rPr>
        <w:t>allegato II.20</w:t>
      </w:r>
      <w:r w:rsidRPr="004A5029">
        <w:rPr>
          <w:rFonts w:ascii="Times New Roman" w:eastAsia="Times New Roman" w:hAnsi="Times New Roman" w:cs="Times New Roman"/>
          <w:color w:val="000000" w:themeColor="text1"/>
        </w:rPr>
        <w:t>. In sede di prima applicazione del codice, l’</w:t>
      </w:r>
      <w:r w:rsidRPr="004A5029">
        <w:rPr>
          <w:rFonts w:ascii="Times New Roman" w:eastAsia="Times New Roman" w:hAnsi="Times New Roman" w:cs="Times New Roman"/>
          <w:bCs/>
          <w:color w:val="000000" w:themeColor="text1"/>
        </w:rPr>
        <w:t>allegato II.20</w:t>
      </w:r>
      <w:r w:rsidRPr="004A5029">
        <w:rPr>
          <w:rFonts w:ascii="Times New Roman" w:eastAsia="Times New Roman" w:hAnsi="Times New Roman" w:cs="Times New Roman"/>
          <w:color w:val="000000" w:themeColor="text1"/>
        </w:rPr>
        <w:t xml:space="preserve"> 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decreto del Ministro della difesa, adottato di concerto con il Ministro delle infrastrutture e dei trasporti, che lo sostituisce integralmente anche in qualità di allegato al codice</w:t>
      </w:r>
      <w:r w:rsidRPr="004A5029">
        <w:rPr>
          <w:rFonts w:ascii="Times New Roman" w:eastAsia="Calibri" w:hAnsi="Times New Roman" w:cs="Times New Roman"/>
          <w:color w:val="000000" w:themeColor="text1"/>
        </w:rPr>
        <w:t>.</w:t>
      </w:r>
    </w:p>
    <w:p w14:paraId="5F2B4CDC" w14:textId="77777777" w:rsidR="00446F27" w:rsidRPr="004A5029" w:rsidRDefault="00446F27" w:rsidP="00446F27">
      <w:pPr>
        <w:jc w:val="both"/>
        <w:textAlignment w:val="baseline"/>
        <w:rPr>
          <w:rFonts w:ascii="Times New Roman" w:eastAsia="Times New Roman" w:hAnsi="Times New Roman" w:cs="Times New Roman"/>
          <w:i/>
          <w:color w:val="000000" w:themeColor="text1"/>
          <w:lang w:eastAsia="it-IT"/>
        </w:rPr>
      </w:pPr>
      <w:r w:rsidRPr="004A5029">
        <w:rPr>
          <w:rFonts w:ascii="Times New Roman" w:hAnsi="Times New Roman" w:cs="Times New Roman"/>
          <w:color w:val="000000" w:themeColor="text1"/>
        </w:rPr>
        <w:t>5. Per gli acquisti eseguiti all'estero dall'amministrazione della difesa, relativi a macchinari, strumenti e oggetti di precisione, che possono essere forniti, con i requisiti tecnici e il grado di perfezione richiesti, soltanto da operatori economici stranieri, possono essere concesse anticipazioni di importo non superiore ad un terzo dell'importo complessivo del prezzo contrattuale, previa costituzione di idonea garanzia. </w:t>
      </w:r>
    </w:p>
    <w:p w14:paraId="1AC5CDBE" w14:textId="77777777" w:rsidR="00446F27" w:rsidRPr="004A5029" w:rsidRDefault="00446F27" w:rsidP="00446F27">
      <w:pPr>
        <w:rPr>
          <w:rFonts w:ascii="Times New Roman" w:hAnsi="Times New Roman" w:cs="Times New Roman"/>
          <w:color w:val="000000" w:themeColor="text1"/>
        </w:rPr>
      </w:pPr>
    </w:p>
    <w:p w14:paraId="5ED64BA4" w14:textId="77777777" w:rsidR="00446F27" w:rsidRPr="004A5029" w:rsidRDefault="00446F27" w:rsidP="00446F27">
      <w:pPr>
        <w:rPr>
          <w:rFonts w:ascii="Times New Roman" w:eastAsia="Times New Roman" w:hAnsi="Times New Roman" w:cs="Times New Roman"/>
          <w:b/>
          <w:bCs/>
          <w:color w:val="000000" w:themeColor="text1"/>
          <w:shd w:val="clear" w:color="auto" w:fill="FFFFFF"/>
          <w:lang w:eastAsia="it-IT"/>
        </w:rPr>
      </w:pPr>
      <w:r w:rsidRPr="004A5029">
        <w:rPr>
          <w:rFonts w:ascii="Times New Roman" w:hAnsi="Times New Roman" w:cs="Times New Roman"/>
          <w:b/>
          <w:color w:val="000000" w:themeColor="text1"/>
        </w:rPr>
        <w:t xml:space="preserve">Articolo </w:t>
      </w:r>
      <w:r w:rsidRPr="004A5029">
        <w:rPr>
          <w:rFonts w:ascii="Times New Roman" w:eastAsia="Times New Roman" w:hAnsi="Times New Roman" w:cs="Times New Roman"/>
          <w:b/>
          <w:bCs/>
          <w:color w:val="000000" w:themeColor="text1"/>
          <w:shd w:val="clear" w:color="auto" w:fill="FFFFFF"/>
          <w:lang w:eastAsia="it-IT"/>
        </w:rPr>
        <w:t>137.</w:t>
      </w:r>
    </w:p>
    <w:p w14:paraId="336A2E95" w14:textId="77777777" w:rsidR="00446F27" w:rsidRPr="004A5029" w:rsidRDefault="00446F27" w:rsidP="00446F27">
      <w:pPr>
        <w:rPr>
          <w:rFonts w:ascii="Times New Roman" w:hAnsi="Times New Roman" w:cs="Times New Roman"/>
          <w:color w:val="000000" w:themeColor="text1"/>
        </w:rPr>
      </w:pPr>
      <w:r w:rsidRPr="004A5029">
        <w:rPr>
          <w:rFonts w:ascii="Times New Roman" w:eastAsia="Times New Roman" w:hAnsi="Times New Roman" w:cs="Times New Roman"/>
          <w:bCs/>
          <w:i/>
          <w:color w:val="000000" w:themeColor="text1"/>
          <w:shd w:val="clear" w:color="auto" w:fill="FFFFFF"/>
          <w:lang w:eastAsia="it-IT"/>
        </w:rPr>
        <w:t>Contratti misti concernenti aspetti di difesa e sicurezza.</w:t>
      </w:r>
    </w:p>
    <w:p w14:paraId="2C99AD62" w14:textId="1E506849"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 Ai contratti misti aventi per oggetto appalti o concessioni rientranti nell'ambito di applicazione del codice nonché appalti disciplinati dall'articolo 346 </w:t>
      </w:r>
      <w:r w:rsidR="004B7F60" w:rsidRPr="004A5029">
        <w:rPr>
          <w:rFonts w:ascii="Times New Roman" w:eastAsia="Times New Roman" w:hAnsi="Times New Roman" w:cs="Times New Roman"/>
          <w:color w:val="000000" w:themeColor="text1"/>
          <w:lang w:eastAsia="it-IT"/>
        </w:rPr>
        <w:t xml:space="preserve">del </w:t>
      </w:r>
      <w:r w:rsidR="004B7F60" w:rsidRPr="004A5029">
        <w:rPr>
          <w:rFonts w:ascii="Times New Roman" w:hAnsi="Times New Roman" w:cs="Times New Roman"/>
          <w:color w:val="000000" w:themeColor="text1"/>
        </w:rPr>
        <w:t>Trattato sul funzionamento dell'Unione europea</w:t>
      </w:r>
      <w:r w:rsidRPr="004A5029">
        <w:rPr>
          <w:rFonts w:ascii="Times New Roman" w:eastAsia="Times New Roman" w:hAnsi="Times New Roman" w:cs="Times New Roman"/>
          <w:color w:val="000000" w:themeColor="text1"/>
          <w:lang w:eastAsia="it-IT"/>
        </w:rPr>
        <w:t xml:space="preserve"> o dal decreto legislativo 15 novembre 2011, n. 208, si applicano le seguenti disposizioni.</w:t>
      </w:r>
    </w:p>
    <w:p w14:paraId="0A27468A"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Se le diverse parti di un determinato appalto o di una concessione sono oggettivamente separabili, si applicano i commi da 3 a 5. Se non sono separabili, si applica il comma 6.</w:t>
      </w:r>
    </w:p>
    <w:p w14:paraId="6B206336"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Se le stazioni appaltanti scelgono di aggiudicare un appalto o una concessione distinti per le parti separate, il regime giuridico applicabile a ciascuno di tali contratti distinti è determinato in base alle caratteristiche della parte separata.</w:t>
      </w:r>
    </w:p>
    <w:p w14:paraId="74A1B34B" w14:textId="77777777" w:rsidR="00446F27" w:rsidRPr="004A5029" w:rsidRDefault="00446F27" w:rsidP="00446F27">
      <w:pPr>
        <w:shd w:val="clear" w:color="auto" w:fill="FFFFFF"/>
        <w:jc w:val="both"/>
        <w:rPr>
          <w:rFonts w:ascii="Times New Roman" w:eastAsia="Times New Roman" w:hAnsi="Times New Roman" w:cs="Times New Roman"/>
          <w:color w:val="000000" w:themeColor="text1"/>
          <w:shd w:val="clear" w:color="auto" w:fill="FFFFFF"/>
          <w:lang w:eastAsia="it-IT"/>
        </w:rPr>
      </w:pPr>
      <w:r w:rsidRPr="004A5029">
        <w:rPr>
          <w:rFonts w:ascii="Times New Roman" w:eastAsia="Times New Roman" w:hAnsi="Times New Roman" w:cs="Times New Roman"/>
          <w:color w:val="000000" w:themeColor="text1"/>
          <w:shd w:val="clear" w:color="auto" w:fill="FFFFFF"/>
          <w:lang w:eastAsia="it-IT"/>
        </w:rPr>
        <w:t>4. Se le stazioni appaltanti scelgono di aggiudicare un appalto unico o una concessione unica, il relativo regime giuridico si determina sulla base dei seguenti criteri:</w:t>
      </w:r>
    </w:p>
    <w:p w14:paraId="7621671B" w14:textId="3D71C72D" w:rsidR="00446F27" w:rsidRPr="004A5029" w:rsidRDefault="00446F27" w:rsidP="00446F27">
      <w:pPr>
        <w:shd w:val="clear" w:color="auto" w:fill="FFFFFF" w:themeFill="background1"/>
        <w:jc w:val="both"/>
        <w:rPr>
          <w:rFonts w:ascii="Times New Roman" w:eastAsia="Times New Roman" w:hAnsi="Times New Roman" w:cs="Times New Roman"/>
          <w:color w:val="000000" w:themeColor="text1"/>
          <w:shd w:val="clear" w:color="auto" w:fill="FFFFFF"/>
          <w:lang w:eastAsia="it-IT"/>
        </w:rPr>
      </w:pPr>
      <w:r w:rsidRPr="004A5029">
        <w:rPr>
          <w:rFonts w:ascii="Times New Roman" w:eastAsia="Times New Roman" w:hAnsi="Times New Roman" w:cs="Times New Roman"/>
          <w:color w:val="000000" w:themeColor="text1"/>
          <w:shd w:val="clear" w:color="auto" w:fill="FFFFFF"/>
          <w:lang w:eastAsia="it-IT"/>
        </w:rPr>
        <w:t xml:space="preserve">a) se una parte dell'appalto o della concessione è disciplinata dall'articolo 346 </w:t>
      </w:r>
      <w:r w:rsidR="004B7F60" w:rsidRPr="004A5029">
        <w:rPr>
          <w:rFonts w:ascii="Times New Roman" w:eastAsia="Times New Roman" w:hAnsi="Times New Roman" w:cs="Times New Roman"/>
          <w:color w:val="000000" w:themeColor="text1"/>
          <w:shd w:val="clear" w:color="auto" w:fill="FFFFFF"/>
          <w:lang w:eastAsia="it-IT"/>
        </w:rPr>
        <w:t xml:space="preserve">del </w:t>
      </w:r>
      <w:r w:rsidR="004B7F60" w:rsidRPr="004A5029">
        <w:rPr>
          <w:rFonts w:ascii="Times New Roman" w:hAnsi="Times New Roman" w:cs="Times New Roman"/>
          <w:color w:val="000000" w:themeColor="text1"/>
        </w:rPr>
        <w:t>Trattato sul funzionamento dell'Unione europea</w:t>
      </w:r>
      <w:r w:rsidRPr="004A5029">
        <w:rPr>
          <w:rFonts w:ascii="Times New Roman" w:eastAsia="Times New Roman" w:hAnsi="Times New Roman" w:cs="Times New Roman"/>
          <w:color w:val="000000" w:themeColor="text1"/>
          <w:shd w:val="clear" w:color="auto" w:fill="FFFFFF"/>
          <w:lang w:eastAsia="it-IT"/>
        </w:rPr>
        <w:t xml:space="preserve">, l’appalto unico o la concessione unica possono essere aggiudicati senza applicare il </w:t>
      </w:r>
      <w:r w:rsidRPr="004A5029">
        <w:rPr>
          <w:rFonts w:ascii="Times New Roman" w:eastAsia="Times New Roman" w:hAnsi="Times New Roman" w:cs="Times New Roman"/>
          <w:bCs/>
          <w:color w:val="000000" w:themeColor="text1"/>
          <w:shd w:val="clear" w:color="auto" w:fill="FFFFFF"/>
          <w:lang w:eastAsia="it-IT"/>
        </w:rPr>
        <w:t>codice</w:t>
      </w:r>
      <w:r w:rsidRPr="004A5029">
        <w:rPr>
          <w:rFonts w:ascii="Times New Roman" w:eastAsia="Times New Roman" w:hAnsi="Times New Roman" w:cs="Times New Roman"/>
          <w:color w:val="000000" w:themeColor="text1"/>
          <w:shd w:val="clear" w:color="auto" w:fill="FFFFFF"/>
          <w:lang w:eastAsia="it-IT"/>
        </w:rPr>
        <w:t xml:space="preserve"> né il decreto legislativo </w:t>
      </w:r>
      <w:r w:rsidR="00955B24" w:rsidRPr="004A5029">
        <w:rPr>
          <w:rFonts w:ascii="Times New Roman" w:eastAsia="Times New Roman" w:hAnsi="Times New Roman" w:cs="Times New Roman"/>
          <w:b/>
          <w:strike/>
          <w:color w:val="000000" w:themeColor="text1"/>
          <w:lang w:eastAsia="it-IT"/>
        </w:rPr>
        <w:t>15 novembre 2011,</w:t>
      </w:r>
      <w:r w:rsidR="00955B24" w:rsidRPr="004A5029">
        <w:rPr>
          <w:rFonts w:ascii="Times New Roman" w:eastAsia="Times New Roman" w:hAnsi="Times New Roman" w:cs="Times New Roman"/>
          <w:bCs/>
          <w:strike/>
          <w:color w:val="000000" w:themeColor="text1"/>
          <w:lang w:eastAsia="it-IT"/>
        </w:rPr>
        <w:t xml:space="preserve">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color w:val="000000" w:themeColor="text1"/>
          <w:shd w:val="clear" w:color="auto" w:fill="FFFFFF"/>
          <w:lang w:eastAsia="it-IT"/>
        </w:rPr>
        <w:t>, purché le rispettive aggiudicazioni siano giustificate da ragioni oggettive;</w:t>
      </w:r>
    </w:p>
    <w:p w14:paraId="37FE78FE" w14:textId="5F2084A4" w:rsidR="00446F27" w:rsidRPr="004A5029" w:rsidRDefault="00446F27" w:rsidP="00446F27">
      <w:pPr>
        <w:shd w:val="clear" w:color="auto" w:fill="FFFFFF"/>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shd w:val="clear" w:color="auto" w:fill="FFFFFF"/>
          <w:lang w:eastAsia="it-IT"/>
        </w:rPr>
        <w:t xml:space="preserve">b) se una parte di un appalto o una concessione è disciplinata dal decreto legislativo </w:t>
      </w:r>
      <w:r w:rsidR="00955B24" w:rsidRPr="004A5029">
        <w:rPr>
          <w:rFonts w:ascii="Times New Roman" w:eastAsia="Times New Roman" w:hAnsi="Times New Roman" w:cs="Times New Roman"/>
          <w:b/>
          <w:strike/>
          <w:color w:val="000000" w:themeColor="text1"/>
          <w:lang w:eastAsia="it-IT"/>
        </w:rPr>
        <w:t>15 novembre 2011,</w:t>
      </w:r>
      <w:r w:rsidR="00955B24" w:rsidRPr="004A5029">
        <w:rPr>
          <w:rFonts w:ascii="Times New Roman" w:eastAsia="Times New Roman" w:hAnsi="Times New Roman" w:cs="Times New Roman"/>
          <w:bCs/>
          <w:strike/>
          <w:color w:val="000000" w:themeColor="text1"/>
          <w:lang w:eastAsia="it-IT"/>
        </w:rPr>
        <w:t xml:space="preserve">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hAnsi="Times New Roman" w:cs="Times New Roman"/>
          <w:b/>
          <w:bCs/>
          <w:color w:val="000000" w:themeColor="text1"/>
        </w:rPr>
        <w:t>del 2011</w:t>
      </w:r>
      <w:r w:rsidRPr="004A5029">
        <w:rPr>
          <w:rFonts w:ascii="Times New Roman" w:eastAsia="Times New Roman" w:hAnsi="Times New Roman" w:cs="Times New Roman"/>
          <w:color w:val="000000" w:themeColor="text1"/>
          <w:shd w:val="clear" w:color="auto" w:fill="FFFFFF"/>
          <w:lang w:eastAsia="it-IT"/>
        </w:rPr>
        <w:t>, l'appalto unico o la concessione unica possono essere aggiudicati conformemente a tale decreto, purché le rispettive aggiudicazioni siano giustificate da ragioni oggettive. Sono fatte salve le soglie e le esclusioni previste dallo stesso decreto legislativo</w:t>
      </w:r>
      <w:r w:rsidR="00955B24" w:rsidRPr="004A5029">
        <w:rPr>
          <w:rFonts w:ascii="Times New Roman" w:eastAsia="Times New Roman" w:hAnsi="Times New Roman" w:cs="Times New Roman"/>
          <w:color w:val="000000" w:themeColor="text1"/>
          <w:shd w:val="clear" w:color="auto" w:fill="FFFFFF"/>
          <w:lang w:eastAsia="it-IT"/>
        </w:rPr>
        <w:t xml:space="preserve"> </w:t>
      </w:r>
      <w:r w:rsidR="00955B24" w:rsidRPr="004A5029">
        <w:rPr>
          <w:rFonts w:ascii="Times New Roman" w:eastAsia="Times New Roman" w:hAnsi="Times New Roman" w:cs="Times New Roman"/>
          <w:b/>
          <w:color w:val="000000" w:themeColor="text1"/>
          <w:lang w:eastAsia="it-IT"/>
        </w:rPr>
        <w:t>n. 208 del 2011</w:t>
      </w:r>
      <w:r w:rsidRPr="004A5029">
        <w:rPr>
          <w:rFonts w:ascii="Times New Roman" w:eastAsia="Times New Roman" w:hAnsi="Times New Roman" w:cs="Times New Roman"/>
          <w:color w:val="000000" w:themeColor="text1"/>
          <w:shd w:val="clear" w:color="auto" w:fill="FFFFFF"/>
          <w:lang w:eastAsia="it-IT"/>
        </w:rPr>
        <w:t>.</w:t>
      </w:r>
    </w:p>
    <w:p w14:paraId="2D8C0EBC" w14:textId="327C94CB"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shd w:val="clear" w:color="auto" w:fill="FFFFFF"/>
          <w:lang w:eastAsia="it-IT"/>
        </w:rPr>
        <w:t xml:space="preserve">5. La decisione di aggiudicare un appalto unico o una concessione unica non può essere adottata allo scopo di escludere l'applicazione del codice o del decreto legislativo </w:t>
      </w:r>
      <w:r w:rsidR="00955B24" w:rsidRPr="004A5029">
        <w:rPr>
          <w:rFonts w:ascii="Times New Roman" w:eastAsia="Times New Roman" w:hAnsi="Times New Roman" w:cs="Times New Roman"/>
          <w:b/>
          <w:strike/>
          <w:color w:val="000000" w:themeColor="text1"/>
          <w:lang w:eastAsia="it-IT"/>
        </w:rPr>
        <w:t>15 novembre 2011,</w:t>
      </w:r>
      <w:r w:rsidR="00955B24" w:rsidRPr="004A5029">
        <w:rPr>
          <w:rFonts w:ascii="Times New Roman" w:eastAsia="Times New Roman" w:hAnsi="Times New Roman" w:cs="Times New Roman"/>
          <w:bCs/>
          <w:strike/>
          <w:color w:val="000000" w:themeColor="text1"/>
          <w:lang w:eastAsia="it-IT"/>
        </w:rPr>
        <w:t xml:space="preserve">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color w:val="000000" w:themeColor="text1"/>
          <w:shd w:val="clear" w:color="auto" w:fill="FFFFFF"/>
          <w:lang w:eastAsia="it-IT"/>
        </w:rPr>
        <w:t>.</w:t>
      </w:r>
    </w:p>
    <w:p w14:paraId="7A6D7215" w14:textId="6BD4F7B3"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shd w:val="clear" w:color="auto" w:fill="FFFFFF"/>
          <w:lang w:eastAsia="it-IT"/>
        </w:rPr>
        <w:t xml:space="preserve">6. Se le diverse parti di un appalto o di una concessione sono oggettivamente non separabili, l'appalto o la concessione possono essere aggiudicati senza applicare il codice ove includa elementi cui si applica l'articolo 346 </w:t>
      </w:r>
      <w:r w:rsidR="004B7F60" w:rsidRPr="004A5029">
        <w:rPr>
          <w:rFonts w:ascii="Times New Roman" w:eastAsia="Times New Roman" w:hAnsi="Times New Roman" w:cs="Times New Roman"/>
          <w:color w:val="000000" w:themeColor="text1"/>
          <w:shd w:val="clear" w:color="auto" w:fill="FFFFFF"/>
          <w:lang w:eastAsia="it-IT"/>
        </w:rPr>
        <w:t xml:space="preserve">del </w:t>
      </w:r>
      <w:r w:rsidR="004B7F60" w:rsidRPr="004A5029">
        <w:rPr>
          <w:rFonts w:ascii="Times New Roman" w:hAnsi="Times New Roman" w:cs="Times New Roman"/>
          <w:color w:val="000000" w:themeColor="text1"/>
        </w:rPr>
        <w:t>Trattato sul funzionamento dell'Unione europea</w:t>
      </w:r>
      <w:r w:rsidRPr="004A5029">
        <w:rPr>
          <w:rFonts w:ascii="Times New Roman" w:eastAsia="Times New Roman" w:hAnsi="Times New Roman" w:cs="Times New Roman"/>
          <w:color w:val="000000" w:themeColor="text1"/>
          <w:shd w:val="clear" w:color="auto" w:fill="FFFFFF"/>
          <w:lang w:eastAsia="it-IT"/>
        </w:rPr>
        <w:t xml:space="preserve">; altrimenti può essere aggiudicato conformemente al decreto legislativo </w:t>
      </w:r>
      <w:r w:rsidR="00955B24" w:rsidRPr="004A5029">
        <w:rPr>
          <w:rFonts w:ascii="Times New Roman" w:eastAsia="Times New Roman" w:hAnsi="Times New Roman" w:cs="Times New Roman"/>
          <w:b/>
          <w:strike/>
          <w:color w:val="000000" w:themeColor="text1"/>
          <w:lang w:eastAsia="it-IT"/>
        </w:rPr>
        <w:t>15 novembre 2011,</w:t>
      </w:r>
      <w:r w:rsidR="00955B24" w:rsidRPr="004A5029">
        <w:rPr>
          <w:rFonts w:ascii="Times New Roman" w:eastAsia="Times New Roman" w:hAnsi="Times New Roman" w:cs="Times New Roman"/>
          <w:bCs/>
          <w:strike/>
          <w:color w:val="000000" w:themeColor="text1"/>
          <w:lang w:eastAsia="it-IT"/>
        </w:rPr>
        <w:t xml:space="preserve"> </w:t>
      </w:r>
      <w:r w:rsidR="00955B24" w:rsidRPr="004A5029">
        <w:rPr>
          <w:rFonts w:ascii="Times New Roman" w:eastAsia="Times New Roman" w:hAnsi="Times New Roman" w:cs="Times New Roman"/>
          <w:bCs/>
          <w:color w:val="000000" w:themeColor="text1"/>
          <w:lang w:eastAsia="it-IT"/>
        </w:rPr>
        <w:t xml:space="preserve">n. 208 </w:t>
      </w:r>
      <w:r w:rsidR="00955B24" w:rsidRPr="004A5029">
        <w:rPr>
          <w:rFonts w:ascii="Times New Roman" w:eastAsia="Times New Roman" w:hAnsi="Times New Roman" w:cs="Times New Roman"/>
          <w:b/>
          <w:color w:val="000000" w:themeColor="text1"/>
          <w:lang w:eastAsia="it-IT"/>
        </w:rPr>
        <w:t>del 2011</w:t>
      </w:r>
      <w:r w:rsidRPr="004A5029">
        <w:rPr>
          <w:rFonts w:ascii="Times New Roman" w:eastAsia="Times New Roman" w:hAnsi="Times New Roman" w:cs="Times New Roman"/>
          <w:color w:val="000000" w:themeColor="text1"/>
          <w:shd w:val="clear" w:color="auto" w:fill="FFFFFF"/>
          <w:lang w:eastAsia="it-IT"/>
        </w:rPr>
        <w:t>.</w:t>
      </w:r>
    </w:p>
    <w:p w14:paraId="342D4C27" w14:textId="77777777" w:rsidR="00446F27" w:rsidRPr="004A5029" w:rsidRDefault="00446F27" w:rsidP="00446F27">
      <w:pPr>
        <w:shd w:val="clear" w:color="auto" w:fill="FFFFFF"/>
        <w:rPr>
          <w:rFonts w:ascii="Times New Roman" w:eastAsia="Times New Roman" w:hAnsi="Times New Roman" w:cs="Times New Roman"/>
          <w:color w:val="000000" w:themeColor="text1"/>
          <w:lang w:eastAsia="it-IT"/>
        </w:rPr>
      </w:pPr>
    </w:p>
    <w:p w14:paraId="3A2BE033"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138.</w:t>
      </w:r>
    </w:p>
    <w:p w14:paraId="0AE17E9E" w14:textId="77777777" w:rsidR="00446F27" w:rsidRPr="004A5029" w:rsidRDefault="00446F27" w:rsidP="00446F27">
      <w:pPr>
        <w:jc w:val="both"/>
        <w:textAlignment w:val="baseline"/>
        <w:rPr>
          <w:rFonts w:ascii="Times New Roman" w:hAnsi="Times New Roman" w:cs="Times New Roman"/>
          <w:color w:val="000000" w:themeColor="text1"/>
        </w:rPr>
      </w:pPr>
      <w:r w:rsidRPr="004A5029">
        <w:rPr>
          <w:rFonts w:ascii="Times New Roman" w:hAnsi="Times New Roman" w:cs="Times New Roman"/>
          <w:i/>
          <w:color w:val="000000" w:themeColor="text1"/>
        </w:rPr>
        <w:t>Contratti e concorsi di progettazione aggiudicati o organizzati in base a norme internazionali.</w:t>
      </w:r>
    </w:p>
    <w:p w14:paraId="0ECB0AEF"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Il codice non si applica agli appalti pubblici e ai concorsi di progettazione e alle concessioni in materia di difesa o di sicurezza di cui al decreto legislativo 15 novembre 2011, n. 208, qualora essi siano disciplinati da:</w:t>
      </w:r>
    </w:p>
    <w:p w14:paraId="29F26314"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a</w:t>
      </w:r>
      <w:r w:rsidRPr="004A5029">
        <w:rPr>
          <w:rFonts w:ascii="Times New Roman" w:eastAsia="Times New Roman" w:hAnsi="Times New Roman" w:cs="Times New Roman"/>
          <w:color w:val="000000" w:themeColor="text1"/>
          <w:lang w:eastAsia="it-IT"/>
        </w:rPr>
        <w:t>) norme procedurali specifiche in base a un accordo o un'intesa internazionale conclusi in conformità dei trattati dell'Unione europea, tra lo Stato e uno o più Paesi terzi o relative articolazioni e riguardante lavori, forniture o servizi destinati alla realizzazione comune o alla gestione comune di un progetto;</w:t>
      </w:r>
    </w:p>
    <w:p w14:paraId="6E979203"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b</w:t>
      </w:r>
      <w:r w:rsidRPr="004A5029">
        <w:rPr>
          <w:rFonts w:ascii="Times New Roman" w:eastAsia="Times New Roman" w:hAnsi="Times New Roman" w:cs="Times New Roman"/>
          <w:color w:val="000000" w:themeColor="text1"/>
          <w:lang w:eastAsia="it-IT"/>
        </w:rPr>
        <w:t>) norme procedurali specifiche in base a un accordo o un'intesa internazionale in relazione alla presenza di truppe di stanza e concernente imprese di uno Stato membro o di un Paese terzo;</w:t>
      </w:r>
    </w:p>
    <w:p w14:paraId="18B2B3D1"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c</w:t>
      </w:r>
      <w:r w:rsidRPr="004A5029">
        <w:rPr>
          <w:rFonts w:ascii="Times New Roman" w:eastAsia="Times New Roman" w:hAnsi="Times New Roman" w:cs="Times New Roman"/>
          <w:color w:val="000000" w:themeColor="text1"/>
          <w:lang w:eastAsia="it-IT"/>
        </w:rPr>
        <w:t>) norme procedurali specifiche di un'organizzazione internazionale nel caso di appalti;</w:t>
      </w:r>
    </w:p>
    <w:p w14:paraId="18E27FBC"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iCs/>
          <w:color w:val="000000" w:themeColor="text1"/>
          <w:lang w:eastAsia="it-IT"/>
        </w:rPr>
        <w:t>d</w:t>
      </w:r>
      <w:r w:rsidRPr="004A5029">
        <w:rPr>
          <w:rFonts w:ascii="Times New Roman" w:eastAsia="Times New Roman" w:hAnsi="Times New Roman" w:cs="Times New Roman"/>
          <w:color w:val="000000" w:themeColor="text1"/>
          <w:lang w:eastAsia="it-IT"/>
        </w:rPr>
        <w:t>) norme procedurali specifiche di un'organizzazione internazionale che si approvvigiona per le proprie finalità o a concessioni che devono essere aggiudicate da uno Stato membro in conformità di tali norme.</w:t>
      </w:r>
    </w:p>
    <w:p w14:paraId="7CDD8FBC"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color w:val="000000" w:themeColor="text1"/>
          <w:lang w:eastAsia="it-IT"/>
        </w:rPr>
        <w:t>2. Gli accordi o le intese di cui al comma 1, lettera a), relativi ad appalti sono comunicati alla Commissione europea.</w:t>
      </w:r>
    </w:p>
    <w:p w14:paraId="35964F35" w14:textId="77777777" w:rsidR="00446F27" w:rsidRPr="004A5029" w:rsidRDefault="00446F27" w:rsidP="00446F27">
      <w:pPr>
        <w:jc w:val="both"/>
        <w:textAlignment w:val="baseline"/>
        <w:rPr>
          <w:rFonts w:ascii="Times New Roman" w:eastAsia="Times New Roman" w:hAnsi="Times New Roman" w:cs="Times New Roman"/>
          <w:b/>
          <w:bCs/>
          <w:color w:val="000000" w:themeColor="text1"/>
          <w:shd w:val="clear" w:color="auto" w:fill="FFFFFF"/>
          <w:lang w:eastAsia="it-IT"/>
        </w:rPr>
      </w:pPr>
      <w:r w:rsidRPr="004A5029">
        <w:rPr>
          <w:rFonts w:ascii="Times New Roman" w:eastAsia="Times New Roman" w:hAnsi="Times New Roman" w:cs="Times New Roman"/>
          <w:color w:val="000000" w:themeColor="text1"/>
          <w:lang w:eastAsia="it-IT"/>
        </w:rPr>
        <w:t>3. Il codice non si applica agli appalti pubblici e ai concorsi di progettazione concernenti aspetti di difesa o di sicurezza che la stazione appaltante aggiudica in base a norme sugli appalti previste da un'organizzazione internazionale o da un'istituzione internazionale di finanziamento, quando gli appalti pubblici e i concorsi di progettazione in questione sono interamente finanziati da tale organizzazione o istituzione. Nel caso di appalti pubblici e concorsi di progettazione cofinanziati prevalentemente da un'organizzazione internazionale o da un'istituzione internazionale di finanziamento, le parti si accordano sulle procedure d'appalto applicabili.</w:t>
      </w:r>
    </w:p>
    <w:p w14:paraId="3572E399" w14:textId="77777777" w:rsidR="00446F27" w:rsidRPr="004A5029" w:rsidRDefault="00446F27" w:rsidP="00446F27">
      <w:pPr>
        <w:jc w:val="both"/>
        <w:rPr>
          <w:rFonts w:ascii="Times New Roman" w:hAnsi="Times New Roman" w:cs="Times New Roman"/>
          <w:color w:val="000000" w:themeColor="text1"/>
        </w:rPr>
      </w:pPr>
    </w:p>
    <w:p w14:paraId="5D22C994" w14:textId="77777777" w:rsidR="00446F27" w:rsidRPr="004A5029" w:rsidRDefault="00446F27" w:rsidP="00446F27">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139.</w:t>
      </w:r>
    </w:p>
    <w:p w14:paraId="262C91C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Contratti secretati</w:t>
      </w:r>
      <w:r w:rsidRPr="004A5029">
        <w:rPr>
          <w:rFonts w:ascii="Times New Roman" w:hAnsi="Times New Roman" w:cs="Times New Roman"/>
          <w:color w:val="000000" w:themeColor="text1"/>
        </w:rPr>
        <w:t>.</w:t>
      </w:r>
    </w:p>
    <w:p w14:paraId="330C2709"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1. Le disposizioni del codice relative alle procedure di affidamento possono essere derogate:</w:t>
      </w:r>
    </w:p>
    <w:p w14:paraId="75B8DAB0"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a) per i contratti al cui oggetto, atti o modalità di esecuzione è attribuita una classifica di segretezza; </w:t>
      </w:r>
    </w:p>
    <w:p w14:paraId="11060397" w14:textId="77777777" w:rsidR="00446F27" w:rsidRPr="004A5029" w:rsidRDefault="00446F27" w:rsidP="00446F27">
      <w:pPr>
        <w:jc w:val="both"/>
        <w:textAlignment w:val="baseline"/>
        <w:rPr>
          <w:rFonts w:ascii="Times New Roman" w:eastAsia="Times New Roman" w:hAnsi="Times New Roman" w:cs="Times New Roman"/>
          <w:bCs/>
          <w:color w:val="000000" w:themeColor="text1"/>
          <w:shd w:val="clear" w:color="auto" w:fill="FFFFFF"/>
          <w:lang w:eastAsia="it-IT"/>
        </w:rPr>
      </w:pPr>
      <w:r w:rsidRPr="004A5029">
        <w:rPr>
          <w:rFonts w:ascii="Times New Roman" w:eastAsia="Times New Roman" w:hAnsi="Times New Roman" w:cs="Times New Roman"/>
          <w:color w:val="000000" w:themeColor="text1"/>
          <w:lang w:eastAsia="it-IT"/>
        </w:rPr>
        <w:t>b) per i contratti la cui esecuzione deve essere accompagnata da speciali misure di sicurezza, in conformità a disposizioni legislative, regolamentari o amministrative.</w:t>
      </w:r>
    </w:p>
    <w:p w14:paraId="376F81B7"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Ai fini della deroga di cui al comma 1, lettera a), le stazioni appaltanti attribuiscono, con provvedimento motivato, le classifiche di segretezza ai sensi dell’</w:t>
      </w:r>
      <w:r w:rsidRPr="004A5029">
        <w:rPr>
          <w:rFonts w:ascii="Times New Roman" w:hAnsi="Times New Roman" w:cs="Times New Roman"/>
          <w:color w:val="000000" w:themeColor="text1"/>
        </w:rPr>
        <w:t>articolo 42 della legge 3 agosto 2007, n. 124</w:t>
      </w:r>
      <w:r w:rsidRPr="004A5029">
        <w:rPr>
          <w:rFonts w:ascii="Times New Roman" w:eastAsia="Times New Roman" w:hAnsi="Times New Roman" w:cs="Times New Roman"/>
          <w:color w:val="000000" w:themeColor="text1"/>
          <w:lang w:eastAsia="it-IT"/>
        </w:rPr>
        <w:t xml:space="preserve">, ovvero di altre norme vigenti, </w:t>
      </w:r>
      <w:r w:rsidRPr="004A5029">
        <w:rPr>
          <w:rFonts w:ascii="Times New Roman" w:eastAsia="Times New Roman" w:hAnsi="Times New Roman" w:cs="Times New Roman"/>
          <w:bCs/>
          <w:color w:val="000000" w:themeColor="text1"/>
          <w:lang w:eastAsia="it-IT"/>
        </w:rPr>
        <w:t>dando conto delle cause specifiche che giustificano la stipulazione di un contratto secretato, con particolare riguardo ai presupposti previsti per ciascuna classifica</w:t>
      </w:r>
      <w:r w:rsidRPr="004A5029">
        <w:rPr>
          <w:rFonts w:ascii="Times New Roman" w:eastAsia="Times New Roman" w:hAnsi="Times New Roman" w:cs="Times New Roman"/>
          <w:color w:val="000000" w:themeColor="text1"/>
          <w:lang w:eastAsia="it-IT"/>
        </w:rPr>
        <w:t xml:space="preserve">. Ai fini della deroga di cui al comma 1, lettera b), le </w:t>
      </w:r>
      <w:r w:rsidRPr="004A5029">
        <w:rPr>
          <w:rFonts w:ascii="Times New Roman" w:eastAsia="Times New Roman" w:hAnsi="Times New Roman" w:cs="Times New Roman"/>
          <w:bCs/>
          <w:color w:val="000000" w:themeColor="text1"/>
          <w:lang w:eastAsia="it-IT"/>
        </w:rPr>
        <w:t>stazioni</w:t>
      </w:r>
      <w:r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bCs/>
          <w:color w:val="000000" w:themeColor="text1"/>
          <w:lang w:eastAsia="it-IT"/>
        </w:rPr>
        <w:t>appaltanti</w:t>
      </w:r>
      <w:r w:rsidRPr="004A5029">
        <w:rPr>
          <w:rFonts w:ascii="Times New Roman" w:eastAsia="Times New Roman" w:hAnsi="Times New Roman" w:cs="Times New Roman"/>
          <w:color w:val="000000" w:themeColor="text1"/>
          <w:lang w:eastAsia="it-IT"/>
        </w:rPr>
        <w:t xml:space="preserve"> dichiarano, con provvedimento motivato, i lavori, i servizi e le forniture eseguibili con speciali misure di sicurezza </w:t>
      </w:r>
      <w:r w:rsidRPr="004A5029">
        <w:rPr>
          <w:rFonts w:ascii="Times New Roman" w:eastAsia="Times New Roman" w:hAnsi="Times New Roman" w:cs="Times New Roman"/>
          <w:bCs/>
          <w:color w:val="000000" w:themeColor="text1"/>
          <w:lang w:eastAsia="it-IT"/>
        </w:rPr>
        <w:t>individuate</w:t>
      </w:r>
      <w:r w:rsidRPr="004A5029">
        <w:rPr>
          <w:rFonts w:ascii="Times New Roman" w:eastAsia="Times New Roman" w:hAnsi="Times New Roman" w:cs="Times New Roman"/>
          <w:color w:val="000000" w:themeColor="text1"/>
          <w:lang w:eastAsia="it-IT"/>
        </w:rPr>
        <w:t xml:space="preserve"> nel predetto provvedimento, </w:t>
      </w:r>
      <w:r w:rsidRPr="004A5029">
        <w:rPr>
          <w:rFonts w:ascii="Times New Roman" w:eastAsia="Times New Roman" w:hAnsi="Times New Roman" w:cs="Times New Roman"/>
          <w:bCs/>
          <w:color w:val="000000" w:themeColor="text1"/>
          <w:lang w:eastAsia="it-IT"/>
        </w:rPr>
        <w:t>precisando</w:t>
      </w:r>
      <w:r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bCs/>
          <w:color w:val="000000" w:themeColor="text1"/>
          <w:lang w:eastAsia="it-IT"/>
        </w:rPr>
        <w:t>le cause che esigono tali misure.</w:t>
      </w:r>
    </w:p>
    <w:p w14:paraId="6B4F7206"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3. I contratti di cui al comma 1 sono eseguiti da operatori economici in possesso dei requisiti previsti dal codice, nonché del nulla osta di sicurezza, ai sensi e nei limiti di cui all'articolo 42, comma 1-</w:t>
      </w:r>
      <w:r w:rsidRPr="004A5029">
        <w:rPr>
          <w:rFonts w:ascii="Times New Roman" w:eastAsia="Times New Roman" w:hAnsi="Times New Roman" w:cs="Times New Roman"/>
          <w:i/>
          <w:iCs/>
          <w:color w:val="000000" w:themeColor="text1"/>
          <w:lang w:eastAsia="it-IT"/>
        </w:rPr>
        <w:t>bis</w:t>
      </w:r>
      <w:r w:rsidRPr="004A5029">
        <w:rPr>
          <w:rFonts w:ascii="Times New Roman" w:eastAsia="Times New Roman" w:hAnsi="Times New Roman" w:cs="Times New Roman"/>
          <w:color w:val="000000" w:themeColor="text1"/>
          <w:lang w:eastAsia="it-IT"/>
        </w:rPr>
        <w:t>, della legge 3 agosto 2007, n. 124.</w:t>
      </w:r>
    </w:p>
    <w:p w14:paraId="68EA77E6" w14:textId="77777777" w:rsidR="00446F27" w:rsidRPr="004A5029" w:rsidRDefault="00446F27" w:rsidP="00446F27">
      <w:pPr>
        <w:jc w:val="both"/>
        <w:textAlignment w:val="baseline"/>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4. L'affidamento dei contratti di cui al presente articolo avviene previo esperimento di gara informale a cui sono invitati almeno cinque operatori economici, se sussistono in tale numero soggetti qualificati in relazione all'oggetto del contratto e sempre che la negoziazione con più di un operatore economico sia compatibile con le esigenze di segretezza e sicurezza.</w:t>
      </w:r>
    </w:p>
    <w:p w14:paraId="481A71C7"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hAnsi="Times New Roman" w:cs="Times New Roman"/>
          <w:color w:val="000000" w:themeColor="text1"/>
          <w:lang w:eastAsia="it-IT"/>
        </w:rPr>
        <w:t>5. La Corte dei conti, tramite la Sezione centrale per il controllo dei contratti secretati, esercita il controllo preventivo sui provvedimenti motivati di cui al comma 2, il controllo preventivo sulla legittimità e sulla regolarità dei contratti di cui al presente articolo, nonché il controllo sulla regolarità, correttezza ed efficacia della gestione. Dell'attività di cui al presente comma è dato conto entro il 30 giugno di ciascun anno in una relazione al Comitato parlamentare per la sicurezza della Repubblica.</w:t>
      </w:r>
    </w:p>
    <w:p w14:paraId="6CEB15CE" w14:textId="77777777" w:rsidR="00446F27" w:rsidRPr="004A5029" w:rsidRDefault="00446F27" w:rsidP="00446F27">
      <w:pPr>
        <w:jc w:val="both"/>
        <w:rPr>
          <w:rFonts w:ascii="Times New Roman" w:hAnsi="Times New Roman" w:cs="Times New Roman"/>
          <w:color w:val="000000" w:themeColor="text1"/>
        </w:rPr>
      </w:pPr>
    </w:p>
    <w:p w14:paraId="7D405C32" w14:textId="77777777" w:rsidR="00B922F7" w:rsidRPr="004A5029" w:rsidRDefault="00446F27" w:rsidP="00446F27">
      <w:pPr>
        <w:jc w:val="center"/>
        <w:rPr>
          <w:rFonts w:ascii="Times New Roman" w:eastAsia="Times New Roman" w:hAnsi="Times New Roman" w:cs="Times New Roman"/>
          <w:b/>
          <w:bCs/>
          <w:color w:val="000000" w:themeColor="text1"/>
          <w:shd w:val="clear" w:color="auto" w:fill="FFFFFF"/>
          <w:lang w:eastAsia="it-IT"/>
        </w:rPr>
      </w:pPr>
      <w:r w:rsidRPr="004A5029">
        <w:rPr>
          <w:rFonts w:ascii="Times New Roman" w:eastAsia="Times New Roman" w:hAnsi="Times New Roman" w:cs="Times New Roman"/>
          <w:b/>
          <w:bCs/>
          <w:color w:val="000000" w:themeColor="text1"/>
          <w:shd w:val="clear" w:color="auto" w:fill="FFFFFF"/>
          <w:lang w:eastAsia="it-IT"/>
        </w:rPr>
        <w:t xml:space="preserve">Titolo VI </w:t>
      </w:r>
    </w:p>
    <w:p w14:paraId="34B907BB" w14:textId="7CC3C3ED" w:rsidR="00446F27" w:rsidRPr="004A5029" w:rsidRDefault="00446F27" w:rsidP="00446F27">
      <w:pPr>
        <w:jc w:val="center"/>
        <w:rPr>
          <w:rFonts w:ascii="Times New Roman" w:eastAsia="Times New Roman" w:hAnsi="Times New Roman" w:cs="Times New Roman"/>
          <w:b/>
          <w:bCs/>
          <w:color w:val="000000" w:themeColor="text1"/>
          <w:shd w:val="clear" w:color="auto" w:fill="FFFFFF"/>
          <w:lang w:eastAsia="it-IT"/>
        </w:rPr>
      </w:pPr>
      <w:r w:rsidRPr="004A5029">
        <w:rPr>
          <w:rFonts w:ascii="Times New Roman" w:eastAsia="Times New Roman" w:hAnsi="Times New Roman" w:cs="Times New Roman"/>
          <w:b/>
          <w:bCs/>
          <w:color w:val="000000" w:themeColor="text1"/>
          <w:shd w:val="clear" w:color="auto" w:fill="FFFFFF"/>
          <w:lang w:eastAsia="it-IT"/>
        </w:rPr>
        <w:t xml:space="preserve">Le </w:t>
      </w:r>
      <w:r w:rsidRPr="004A5029">
        <w:rPr>
          <w:rFonts w:ascii="Times New Roman" w:eastAsia="Times New Roman" w:hAnsi="Times New Roman" w:cs="Times New Roman"/>
          <w:b/>
          <w:bCs/>
          <w:color w:val="000000" w:themeColor="text1"/>
          <w:lang w:eastAsia="it-IT"/>
        </w:rPr>
        <w:t>procedure in caso di somma urgenza e di protezione civile</w:t>
      </w:r>
    </w:p>
    <w:p w14:paraId="66518E39" w14:textId="77777777" w:rsidR="00446F27" w:rsidRPr="004A5029" w:rsidRDefault="00446F27" w:rsidP="00446F27">
      <w:pPr>
        <w:jc w:val="both"/>
        <w:rPr>
          <w:rFonts w:ascii="Times New Roman" w:eastAsia="Times New Roman" w:hAnsi="Times New Roman" w:cs="Times New Roman"/>
          <w:b/>
          <w:bCs/>
          <w:color w:val="000000" w:themeColor="text1"/>
          <w:lang w:eastAsia="it-IT"/>
        </w:rPr>
      </w:pPr>
    </w:p>
    <w:p w14:paraId="531ACA8D"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b/>
          <w:bCs/>
          <w:color w:val="000000" w:themeColor="text1"/>
          <w:shd w:val="clear" w:color="auto" w:fill="FFFFFF"/>
          <w:lang w:eastAsia="it-IT"/>
        </w:rPr>
        <w:t>Articolo 140</w:t>
      </w:r>
      <w:r w:rsidRPr="004A5029">
        <w:rPr>
          <w:rFonts w:ascii="Times New Roman" w:eastAsia="Times New Roman" w:hAnsi="Times New Roman" w:cs="Times New Roman"/>
          <w:color w:val="000000" w:themeColor="text1"/>
          <w:lang w:eastAsia="it-IT"/>
        </w:rPr>
        <w:t>.</w:t>
      </w:r>
    </w:p>
    <w:p w14:paraId="067D898A"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bCs/>
          <w:i/>
          <w:color w:val="000000" w:themeColor="text1"/>
          <w:lang w:eastAsia="it-IT"/>
        </w:rPr>
        <w:t>Procedure in caso di somma urgenza e di protezione civile</w:t>
      </w:r>
      <w:r w:rsidRPr="004A5029">
        <w:rPr>
          <w:rFonts w:ascii="Times New Roman" w:eastAsia="Times New Roman" w:hAnsi="Times New Roman" w:cs="Times New Roman"/>
          <w:bCs/>
          <w:color w:val="000000" w:themeColor="text1"/>
          <w:lang w:eastAsia="it-IT"/>
        </w:rPr>
        <w:t>.</w:t>
      </w:r>
    </w:p>
    <w:p w14:paraId="0406D77D" w14:textId="193FF880"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1. In circostanze di somma urgenza che non consentono alcun indugio, chi fra il RUP o altro tecnico dell'amministrazione competente si reca prima sul luogo può disporre la immediata esecuzione dei lavori entro il limite di </w:t>
      </w:r>
      <w:r w:rsidRPr="004A5029">
        <w:rPr>
          <w:rFonts w:ascii="Times New Roman" w:eastAsia="Times New Roman" w:hAnsi="Times New Roman" w:cs="Times New Roman"/>
          <w:b/>
          <w:bCs/>
          <w:strike/>
          <w:color w:val="000000" w:themeColor="text1"/>
          <w:lang w:eastAsia="it-IT"/>
        </w:rPr>
        <w:t>200.000</w:t>
      </w:r>
      <w:r w:rsidRPr="004A5029">
        <w:rPr>
          <w:rFonts w:ascii="Times New Roman" w:eastAsia="Times New Roman" w:hAnsi="Times New Roman" w:cs="Times New Roman"/>
          <w:color w:val="000000" w:themeColor="text1"/>
          <w:lang w:eastAsia="it-IT"/>
        </w:rPr>
        <w:t xml:space="preserve"> </w:t>
      </w:r>
      <w:r w:rsidR="0088335C" w:rsidRPr="004A5029">
        <w:rPr>
          <w:rFonts w:ascii="Times New Roman" w:eastAsia="Times New Roman" w:hAnsi="Times New Roman" w:cs="Times New Roman"/>
          <w:b/>
          <w:bCs/>
          <w:color w:val="000000" w:themeColor="text1"/>
          <w:lang w:eastAsia="it-IT"/>
        </w:rPr>
        <w:t>500.000</w:t>
      </w:r>
      <w:r w:rsidR="0088335C"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euro o di quanto indispensabile per rimuovere lo stato di pregiudizio alla pubblica e privata incolumità; contemporaneamente redige il verbale in cui sono indicati i motivi dello stato di urgenza, le cause che lo hanno provocato e i lavori necessari per rimuoverlo.</w:t>
      </w:r>
    </w:p>
    <w:p w14:paraId="4D4B51EE" w14:textId="7777777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2. L'esecuzione dei lavori di somma urgenza può essere affidata in forma diretta a uno o più operatori economici individuati dal RUP o da altro tecnico dell'amministrazione competente.</w:t>
      </w:r>
    </w:p>
    <w:p w14:paraId="0BDE55A1"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3. Il corrispettivo delle prestazioni ordinate è definito consensualmente con l'affidatario; in difetto di preventivo accordo il RUP può ingiungere all'affidatario l'esecuzione delle lavorazioni o la somministrazione dei materiali sulla base di prezzi definiti mediante l'utilizzo di prezzari ufficiali di riferimento, ridotti del 20 per cento, comunque ammessi nella contabilità; ove l'esecutore non iscriva riserva negli atti contabili, i prezzi si intendono definitivamente accettati.</w:t>
      </w:r>
    </w:p>
    <w:p w14:paraId="1FC37799" w14:textId="426D23B1"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4. Il RUP o altro tecnico dell'amministrazione competente compila una perizia giustificativa dei lavori entro </w:t>
      </w:r>
      <w:r w:rsidRPr="004A5029">
        <w:rPr>
          <w:rFonts w:ascii="Times New Roman" w:eastAsia="Times New Roman" w:hAnsi="Times New Roman" w:cs="Times New Roman"/>
          <w:b/>
          <w:bCs/>
          <w:strike/>
          <w:color w:val="000000" w:themeColor="text1"/>
          <w:lang w:eastAsia="it-IT"/>
        </w:rPr>
        <w:t>10</w:t>
      </w:r>
      <w:r w:rsidRPr="004A5029">
        <w:rPr>
          <w:rFonts w:ascii="Times New Roman" w:eastAsia="Times New Roman" w:hAnsi="Times New Roman" w:cs="Times New Roman"/>
          <w:b/>
          <w:bCs/>
          <w:color w:val="000000" w:themeColor="text1"/>
          <w:lang w:eastAsia="it-IT"/>
        </w:rPr>
        <w:t xml:space="preserve"> </w:t>
      </w:r>
      <w:r w:rsidR="00EF254E" w:rsidRPr="004A5029">
        <w:rPr>
          <w:rFonts w:ascii="Times New Roman" w:eastAsia="Times New Roman" w:hAnsi="Times New Roman" w:cs="Times New Roman"/>
          <w:b/>
          <w:bCs/>
          <w:color w:val="000000" w:themeColor="text1"/>
          <w:lang w:eastAsia="it-IT"/>
        </w:rPr>
        <w:t xml:space="preserve">dieci </w:t>
      </w:r>
      <w:r w:rsidRPr="004A5029">
        <w:rPr>
          <w:rFonts w:ascii="Times New Roman" w:eastAsia="Times New Roman" w:hAnsi="Times New Roman" w:cs="Times New Roman"/>
          <w:color w:val="000000" w:themeColor="text1"/>
          <w:lang w:eastAsia="it-IT"/>
        </w:rPr>
        <w:t xml:space="preserve">giorni dall'ordine di esecuzione e la trasmette, unitamente al verbale di somma urgenza, alla stazione appaltante che provvede alla copertura della spesa e alla approvazione dei lavori. Qualora l'amministrazione competente sia un ente locale, la copertura della spesa </w:t>
      </w:r>
      <w:r w:rsidR="00E07A23" w:rsidRPr="004A5029">
        <w:rPr>
          <w:rFonts w:ascii="Times New Roman" w:eastAsia="Times New Roman" w:hAnsi="Times New Roman" w:cs="Times New Roman"/>
          <w:color w:val="000000" w:themeColor="text1"/>
          <w:lang w:eastAsia="it-IT"/>
        </w:rPr>
        <w:t>è</w:t>
      </w:r>
      <w:r w:rsidRPr="004A5029">
        <w:rPr>
          <w:rFonts w:ascii="Times New Roman" w:eastAsia="Times New Roman" w:hAnsi="Times New Roman" w:cs="Times New Roman"/>
          <w:color w:val="000000" w:themeColor="text1"/>
          <w:lang w:eastAsia="it-IT"/>
        </w:rPr>
        <w:t xml:space="preserve"> assicurata con le modalità previste dagli articoli 191, comma 3, e 194 comma 1, lettera e), del </w:t>
      </w:r>
      <w:r w:rsidR="00E9136F" w:rsidRPr="004A5029">
        <w:rPr>
          <w:rFonts w:ascii="Times New Roman" w:hAnsi="Times New Roman" w:cs="Times New Roman"/>
          <w:b/>
          <w:bCs/>
          <w:color w:val="000000" w:themeColor="text1"/>
        </w:rPr>
        <w:t>testo unico delle leggi sull'ordinamento degli enti locali</w:t>
      </w:r>
      <w:r w:rsidR="001006C5" w:rsidRPr="004A5029">
        <w:rPr>
          <w:rFonts w:ascii="Times New Roman" w:hAnsi="Times New Roman" w:cs="Times New Roman"/>
          <w:b/>
          <w:bCs/>
          <w:color w:val="000000" w:themeColor="text1"/>
        </w:rPr>
        <w:t>,</w:t>
      </w:r>
      <w:r w:rsidR="00E9136F" w:rsidRPr="004A5029">
        <w:rPr>
          <w:rFonts w:ascii="Times New Roman" w:hAnsi="Times New Roman" w:cs="Times New Roman"/>
          <w:b/>
          <w:bCs/>
          <w:color w:val="000000" w:themeColor="text1"/>
        </w:rPr>
        <w:t xml:space="preserve"> di cui al</w:t>
      </w:r>
      <w:r w:rsidR="00E9136F" w:rsidRPr="004A5029">
        <w:rPr>
          <w:rFonts w:ascii="Verdana" w:hAnsi="Verdana"/>
          <w:color w:val="000000" w:themeColor="text1"/>
          <w:sz w:val="18"/>
          <w:szCs w:val="18"/>
          <w:shd w:val="clear" w:color="auto" w:fill="FFFFFF"/>
        </w:rPr>
        <w:t xml:space="preserve"> </w:t>
      </w:r>
      <w:r w:rsidRPr="004A5029">
        <w:rPr>
          <w:rFonts w:ascii="Times New Roman" w:eastAsia="Times New Roman" w:hAnsi="Times New Roman" w:cs="Times New Roman"/>
          <w:color w:val="000000" w:themeColor="text1"/>
          <w:lang w:eastAsia="it-IT"/>
        </w:rPr>
        <w:t>decreto legislativo 18 agosto 2000, n. 267.</w:t>
      </w:r>
    </w:p>
    <w:p w14:paraId="02593114" w14:textId="77777777" w:rsidR="00446F27" w:rsidRPr="004A5029" w:rsidRDefault="00446F27" w:rsidP="00446F27">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5. Qualora un'opera o un lavoro, ordinato per motivi di somma urgenza, non ottenga l'approvazione del competente organo dell'amministrazione, la relativa realizzazione è sospesa immediatamente e si procede, previa messa in sicurezza del cantiere, alla sospensione dei lavori e alla liquidazione dei corrispettivi dovuti per la parte realizzata.</w:t>
      </w:r>
    </w:p>
    <w:p w14:paraId="313EA227" w14:textId="0E86DB02"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6. Costituisce circostanza di somma urgenza, ai fini del presente articolo, anche il verificarsi degli eventi di cui </w:t>
      </w:r>
      <w:r w:rsidRPr="004A5029">
        <w:rPr>
          <w:rFonts w:ascii="Times New Roman" w:eastAsia="Times New Roman" w:hAnsi="Times New Roman" w:cs="Times New Roman"/>
          <w:bCs/>
          <w:color w:val="000000" w:themeColor="text1"/>
          <w:lang w:eastAsia="it-IT"/>
        </w:rPr>
        <w:t xml:space="preserve">all'articolo 7 del </w:t>
      </w:r>
      <w:r w:rsidR="00955B24" w:rsidRPr="004A5029">
        <w:rPr>
          <w:rFonts w:ascii="Times New Roman" w:hAnsi="Times New Roman" w:cs="Times New Roman"/>
          <w:b/>
          <w:bCs/>
          <w:color w:val="000000" w:themeColor="text1"/>
        </w:rPr>
        <w:t>codice della protezione civile</w:t>
      </w:r>
      <w:r w:rsidR="00422AFC" w:rsidRPr="004A5029">
        <w:rPr>
          <w:rFonts w:ascii="Times New Roman" w:eastAsia="Calibri" w:hAnsi="Times New Roman" w:cs="Times New Roman"/>
          <w:b/>
          <w:bCs/>
          <w:color w:val="000000" w:themeColor="text1"/>
        </w:rPr>
        <w:t>,</w:t>
      </w:r>
      <w:r w:rsidR="00955B24" w:rsidRPr="004A5029">
        <w:rPr>
          <w:rFonts w:ascii="Times New Roman" w:hAnsi="Times New Roman" w:cs="Times New Roman"/>
          <w:b/>
          <w:bCs/>
          <w:color w:val="000000" w:themeColor="text1"/>
        </w:rPr>
        <w:t xml:space="preserve"> di cui al</w:t>
      </w:r>
      <w:r w:rsidR="00955B24" w:rsidRPr="004A5029">
        <w:rPr>
          <w:rFonts w:ascii="Verdana" w:hAnsi="Verdana"/>
          <w:color w:val="000000" w:themeColor="text1"/>
          <w:sz w:val="18"/>
          <w:szCs w:val="18"/>
          <w:shd w:val="clear" w:color="auto" w:fill="FFFFFF"/>
        </w:rPr>
        <w:t xml:space="preserve"> </w:t>
      </w:r>
      <w:r w:rsidRPr="004A5029">
        <w:rPr>
          <w:rFonts w:ascii="Times New Roman" w:eastAsia="Times New Roman" w:hAnsi="Times New Roman" w:cs="Times New Roman"/>
          <w:bCs/>
          <w:color w:val="000000" w:themeColor="text1"/>
          <w:lang w:eastAsia="it-IT"/>
        </w:rPr>
        <w:t xml:space="preserve">decreto legislativo 2 gennaio 2018, n. 1, </w:t>
      </w:r>
      <w:r w:rsidRPr="004A5029">
        <w:rPr>
          <w:rFonts w:ascii="Times New Roman" w:eastAsia="Times New Roman" w:hAnsi="Times New Roman" w:cs="Times New Roman"/>
          <w:color w:val="000000" w:themeColor="text1"/>
          <w:lang w:eastAsia="it-IT"/>
        </w:rPr>
        <w:t xml:space="preserve">ovvero la ragionevole previsione dell'imminente verificarsi degli stessi, che richiede l'adozione di misure indilazionabili, nei limiti dello stretto necessario. La circostanza di somma urgenza, in tali casi, è ritenuta persistente finché non risultino eliminate le situazioni dannose o pericolose per la pubblica o privata incolumità derivanti dall'evento, e comunque per un termine non superiore a </w:t>
      </w:r>
      <w:r w:rsidRPr="004A5029">
        <w:rPr>
          <w:rFonts w:ascii="Times New Roman" w:eastAsia="Times New Roman" w:hAnsi="Times New Roman" w:cs="Times New Roman"/>
          <w:b/>
          <w:bCs/>
          <w:strike/>
          <w:color w:val="000000" w:themeColor="text1"/>
          <w:lang w:eastAsia="it-IT"/>
        </w:rPr>
        <w:t>15</w:t>
      </w:r>
      <w:r w:rsidRPr="004A5029">
        <w:rPr>
          <w:rFonts w:ascii="Times New Roman" w:eastAsia="Times New Roman" w:hAnsi="Times New Roman" w:cs="Times New Roman"/>
          <w:b/>
          <w:bCs/>
          <w:color w:val="000000" w:themeColor="text1"/>
          <w:lang w:eastAsia="it-IT"/>
        </w:rPr>
        <w:t xml:space="preserve"> </w:t>
      </w:r>
      <w:r w:rsidR="00EF254E" w:rsidRPr="004A5029">
        <w:rPr>
          <w:rFonts w:ascii="Times New Roman" w:eastAsia="Times New Roman" w:hAnsi="Times New Roman" w:cs="Times New Roman"/>
          <w:b/>
          <w:bCs/>
          <w:color w:val="000000" w:themeColor="text1"/>
          <w:lang w:eastAsia="it-IT"/>
        </w:rPr>
        <w:t xml:space="preserve">quindici </w:t>
      </w:r>
      <w:r w:rsidRPr="004A5029">
        <w:rPr>
          <w:rFonts w:ascii="Times New Roman" w:eastAsia="Times New Roman" w:hAnsi="Times New Roman" w:cs="Times New Roman"/>
          <w:color w:val="000000" w:themeColor="text1"/>
          <w:lang w:eastAsia="it-IT"/>
        </w:rPr>
        <w:t xml:space="preserve">giorni dall’insorgere dell’evento, oppure entro il termine stabilito dalla eventuale declaratoria dello stato di emergenza di cui </w:t>
      </w:r>
      <w:r w:rsidRPr="004A5029">
        <w:rPr>
          <w:rFonts w:ascii="Times New Roman" w:eastAsia="Times New Roman" w:hAnsi="Times New Roman" w:cs="Times New Roman"/>
          <w:bCs/>
          <w:color w:val="000000" w:themeColor="text1"/>
          <w:lang w:eastAsia="it-IT"/>
        </w:rPr>
        <w:t xml:space="preserve">all'articolo 24 del </w:t>
      </w:r>
      <w:r w:rsidR="00955B24" w:rsidRPr="004A5029">
        <w:rPr>
          <w:rFonts w:ascii="Times New Roman" w:hAnsi="Times New Roman" w:cs="Times New Roman"/>
          <w:b/>
          <w:bCs/>
          <w:color w:val="000000" w:themeColor="text1"/>
        </w:rPr>
        <w:t>codice di cui al</w:t>
      </w:r>
      <w:r w:rsidR="00955B24" w:rsidRPr="004A5029">
        <w:rPr>
          <w:rFonts w:ascii="Times New Roman" w:eastAsia="Times New Roman" w:hAnsi="Times New Roman" w:cs="Times New Roman"/>
          <w:bCs/>
          <w:color w:val="000000" w:themeColor="text1"/>
          <w:lang w:eastAsia="it-IT"/>
        </w:rPr>
        <w:t xml:space="preserve"> </w:t>
      </w:r>
      <w:r w:rsidRPr="004A5029">
        <w:rPr>
          <w:rFonts w:ascii="Times New Roman" w:eastAsia="Times New Roman" w:hAnsi="Times New Roman" w:cs="Times New Roman"/>
          <w:bCs/>
          <w:color w:val="000000" w:themeColor="text1"/>
          <w:lang w:eastAsia="it-IT"/>
        </w:rPr>
        <w:t xml:space="preserve">decreto legislativo </w:t>
      </w:r>
      <w:r w:rsidRPr="004A5029">
        <w:rPr>
          <w:rFonts w:ascii="Times New Roman" w:eastAsia="Times New Roman" w:hAnsi="Times New Roman" w:cs="Times New Roman"/>
          <w:b/>
          <w:strike/>
          <w:color w:val="000000" w:themeColor="text1"/>
          <w:lang w:eastAsia="it-IT"/>
        </w:rPr>
        <w:t>2 gennaio 2018,</w:t>
      </w:r>
      <w:r w:rsidRPr="004A5029">
        <w:rPr>
          <w:rFonts w:ascii="Times New Roman" w:eastAsia="Times New Roman" w:hAnsi="Times New Roman" w:cs="Times New Roman"/>
          <w:bCs/>
          <w:color w:val="000000" w:themeColor="text1"/>
          <w:lang w:eastAsia="it-IT"/>
        </w:rPr>
        <w:t xml:space="preserve"> n. 1</w:t>
      </w:r>
      <w:r w:rsidR="00955B24" w:rsidRPr="004A5029">
        <w:rPr>
          <w:rFonts w:ascii="Times New Roman" w:eastAsia="Times New Roman" w:hAnsi="Times New Roman" w:cs="Times New Roman"/>
          <w:bCs/>
          <w:color w:val="000000" w:themeColor="text1"/>
          <w:lang w:eastAsia="it-IT"/>
        </w:rPr>
        <w:t xml:space="preserve"> </w:t>
      </w:r>
      <w:r w:rsidR="00955B24" w:rsidRPr="004A5029">
        <w:rPr>
          <w:rFonts w:ascii="Times New Roman" w:hAnsi="Times New Roman" w:cs="Times New Roman"/>
          <w:b/>
          <w:bCs/>
          <w:color w:val="000000" w:themeColor="text1"/>
        </w:rPr>
        <w:t>del 2018</w:t>
      </w:r>
      <w:r w:rsidRPr="004A5029">
        <w:rPr>
          <w:rFonts w:ascii="Times New Roman" w:eastAsia="Times New Roman" w:hAnsi="Times New Roman" w:cs="Times New Roman"/>
          <w:color w:val="000000" w:themeColor="text1"/>
          <w:lang w:eastAsia="it-IT"/>
        </w:rPr>
        <w:t xml:space="preserve">; in tali circostanze ed entro i medesimi limiti temporali le stazioni appaltanti possono affidare appalti pubblici di lavori, servizi e forniture con le procedure previste </w:t>
      </w:r>
      <w:r w:rsidR="00D80B5B" w:rsidRPr="004A5029">
        <w:rPr>
          <w:rFonts w:ascii="Times New Roman" w:eastAsia="Times New Roman" w:hAnsi="Times New Roman" w:cs="Times New Roman"/>
          <w:color w:val="000000" w:themeColor="text1"/>
          <w:lang w:eastAsia="it-IT"/>
        </w:rPr>
        <w:t>da</w:t>
      </w:r>
      <w:r w:rsidRPr="004A5029">
        <w:rPr>
          <w:rFonts w:ascii="Times New Roman" w:eastAsia="Times New Roman" w:hAnsi="Times New Roman" w:cs="Times New Roman"/>
          <w:color w:val="000000" w:themeColor="text1"/>
          <w:lang w:eastAsia="it-IT"/>
        </w:rPr>
        <w:t>l presente articolo.</w:t>
      </w:r>
    </w:p>
    <w:p w14:paraId="77AFA3EB" w14:textId="6FFF0A40"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7. Qualora si adottino le procedure di affidamento in condizioni di somma urgenza previste dal presente articolo, nonché, limitatamente ad emergenze di protezione civile, le procedure di cui all’articolo 76, comma 2, lettera c), e vi sia l’esigenza impellente di assicurare la tempestiva esecuzione del contratto, gli affidatari dichiarano, mediante autocertificazione, resa ai sensi del </w:t>
      </w:r>
      <w:r w:rsidR="00C33955" w:rsidRPr="004A5029">
        <w:rPr>
          <w:rFonts w:ascii="Times New Roman" w:hAnsi="Times New Roman" w:cs="Times New Roman"/>
          <w:b/>
          <w:bCs/>
          <w:color w:val="000000" w:themeColor="text1"/>
        </w:rPr>
        <w:t>testo unico delle disposizioni legislative e regolamentari in materia di documentazione amministrativa</w:t>
      </w:r>
      <w:r w:rsidR="001006C5" w:rsidRPr="004A5029">
        <w:rPr>
          <w:rFonts w:ascii="Times New Roman" w:hAnsi="Times New Roman" w:cs="Times New Roman"/>
          <w:b/>
          <w:bCs/>
          <w:color w:val="000000" w:themeColor="text1"/>
        </w:rPr>
        <w:t>,</w:t>
      </w:r>
      <w:r w:rsidR="00C33955" w:rsidRPr="004A5029">
        <w:rPr>
          <w:rFonts w:ascii="Times New Roman" w:hAnsi="Times New Roman" w:cs="Times New Roman"/>
          <w:b/>
          <w:bCs/>
          <w:color w:val="000000" w:themeColor="text1"/>
        </w:rPr>
        <w:t xml:space="preserve"> di cui al</w:t>
      </w:r>
      <w:r w:rsidR="00C33955" w:rsidRPr="004A5029">
        <w:rPr>
          <w:rFonts w:ascii="Times New Roman" w:hAnsi="Times New Roman" w:cs="Times New Roman"/>
          <w:color w:val="000000" w:themeColor="text1"/>
        </w:rPr>
        <w:t xml:space="preserve"> </w:t>
      </w:r>
      <w:hyperlink r:id="rId34">
        <w:r w:rsidRPr="004A5029">
          <w:rPr>
            <w:rFonts w:ascii="Times New Roman" w:eastAsia="Times New Roman" w:hAnsi="Times New Roman" w:cs="Times New Roman"/>
            <w:color w:val="000000" w:themeColor="text1"/>
            <w:lang w:eastAsia="it-IT"/>
          </w:rPr>
          <w:t>decreto del Presidente della Repubblica 28 dicembre 2000, n. 445</w:t>
        </w:r>
      </w:hyperlink>
      <w:r w:rsidRPr="004A5029">
        <w:rPr>
          <w:rFonts w:ascii="Times New Roman" w:eastAsia="Times New Roman" w:hAnsi="Times New Roman" w:cs="Times New Roman"/>
          <w:color w:val="000000" w:themeColor="text1"/>
          <w:lang w:eastAsia="it-IT"/>
        </w:rPr>
        <w:t xml:space="preserve">, il possesso dei requisiti di partecipazione previsti per l’affidamento di contratti di uguale importo mediante procedura ordinaria. La </w:t>
      </w:r>
      <w:r w:rsidRPr="004A5029">
        <w:rPr>
          <w:rFonts w:ascii="Times New Roman" w:eastAsia="Times New Roman" w:hAnsi="Times New Roman" w:cs="Times New Roman"/>
          <w:bCs/>
          <w:color w:val="000000" w:themeColor="text1"/>
          <w:lang w:eastAsia="it-IT"/>
        </w:rPr>
        <w:t>stazione appaltante</w:t>
      </w:r>
      <w:r w:rsidRPr="004A5029">
        <w:rPr>
          <w:rFonts w:ascii="Times New Roman" w:eastAsia="Times New Roman" w:hAnsi="Times New Roman" w:cs="Times New Roman"/>
          <w:color w:val="000000" w:themeColor="text1"/>
          <w:lang w:eastAsia="it-IT"/>
        </w:rPr>
        <w:t xml:space="preserve"> controlla il possesso dei requisiti in un termine congruo, compatibile con la gestione della situazione di emergenza in atto e comunque non superiore a </w:t>
      </w:r>
      <w:r w:rsidRPr="004A5029">
        <w:rPr>
          <w:rFonts w:ascii="Times New Roman" w:eastAsia="Times New Roman" w:hAnsi="Times New Roman" w:cs="Times New Roman"/>
          <w:b/>
          <w:bCs/>
          <w:strike/>
          <w:color w:val="000000" w:themeColor="text1"/>
          <w:lang w:eastAsia="it-IT"/>
        </w:rPr>
        <w:t>60</w:t>
      </w:r>
      <w:r w:rsidRPr="004A5029">
        <w:rPr>
          <w:rFonts w:ascii="Times New Roman" w:eastAsia="Times New Roman" w:hAnsi="Times New Roman" w:cs="Times New Roman"/>
          <w:b/>
          <w:bCs/>
          <w:color w:val="000000" w:themeColor="text1"/>
          <w:lang w:eastAsia="it-IT"/>
        </w:rPr>
        <w:t xml:space="preserve"> </w:t>
      </w:r>
      <w:r w:rsidR="00EF254E" w:rsidRPr="004A5029">
        <w:rPr>
          <w:rFonts w:ascii="Times New Roman" w:eastAsia="Times New Roman" w:hAnsi="Times New Roman" w:cs="Times New Roman"/>
          <w:b/>
          <w:bCs/>
          <w:color w:val="000000" w:themeColor="text1"/>
          <w:lang w:eastAsia="it-IT"/>
        </w:rPr>
        <w:t xml:space="preserve">sessanta </w:t>
      </w:r>
      <w:r w:rsidRPr="004A5029">
        <w:rPr>
          <w:rFonts w:ascii="Times New Roman" w:eastAsia="Times New Roman" w:hAnsi="Times New Roman" w:cs="Times New Roman"/>
          <w:color w:val="000000" w:themeColor="text1"/>
          <w:lang w:eastAsia="it-IT"/>
        </w:rPr>
        <w:t xml:space="preserve">giorni dall’affidamento. La </w:t>
      </w:r>
      <w:r w:rsidRPr="004A5029">
        <w:rPr>
          <w:rFonts w:ascii="Times New Roman" w:eastAsia="Times New Roman" w:hAnsi="Times New Roman" w:cs="Times New Roman"/>
          <w:bCs/>
          <w:color w:val="000000" w:themeColor="text1"/>
          <w:lang w:eastAsia="it-IT"/>
        </w:rPr>
        <w:t>stazione appaltante</w:t>
      </w:r>
      <w:r w:rsidRPr="004A5029">
        <w:rPr>
          <w:rFonts w:ascii="Times New Roman" w:eastAsia="Times New Roman" w:hAnsi="Times New Roman" w:cs="Times New Roman"/>
          <w:color w:val="000000" w:themeColor="text1"/>
          <w:lang w:eastAsia="it-IT"/>
        </w:rPr>
        <w:t xml:space="preserve"> dà conto, con adeguata motivazione, nel primo atto successivo alle verifiche effettuate, della sussistenza dei relativi presupposti; in ogni caso non è possibile procedere al pagamento, anche parziale, in assenza delle relative verifiche con esito positivo. Qualora, a seguito del controllo, </w:t>
      </w:r>
      <w:r w:rsidRPr="004A5029">
        <w:rPr>
          <w:rFonts w:ascii="Times New Roman" w:eastAsia="Times New Roman" w:hAnsi="Times New Roman" w:cs="Times New Roman"/>
          <w:b/>
          <w:bCs/>
          <w:strike/>
          <w:color w:val="000000" w:themeColor="text1"/>
          <w:lang w:eastAsia="it-IT"/>
        </w:rPr>
        <w:t>venga</w:t>
      </w:r>
      <w:r w:rsidRPr="004A5029">
        <w:rPr>
          <w:rFonts w:ascii="Times New Roman" w:eastAsia="Times New Roman" w:hAnsi="Times New Roman" w:cs="Times New Roman"/>
          <w:b/>
          <w:bCs/>
          <w:color w:val="000000" w:themeColor="text1"/>
          <w:lang w:eastAsia="it-IT"/>
        </w:rPr>
        <w:t xml:space="preserve"> </w:t>
      </w:r>
      <w:r w:rsidR="00091A99" w:rsidRPr="004A5029">
        <w:rPr>
          <w:rFonts w:ascii="Times New Roman" w:eastAsia="Times New Roman" w:hAnsi="Times New Roman" w:cs="Times New Roman"/>
          <w:b/>
          <w:bCs/>
          <w:color w:val="000000" w:themeColor="text1"/>
          <w:lang w:eastAsia="it-IT"/>
        </w:rPr>
        <w:t xml:space="preserve">sia </w:t>
      </w:r>
      <w:r w:rsidRPr="004A5029">
        <w:rPr>
          <w:rFonts w:ascii="Times New Roman" w:eastAsia="Times New Roman" w:hAnsi="Times New Roman" w:cs="Times New Roman"/>
          <w:color w:val="000000" w:themeColor="text1"/>
          <w:lang w:eastAsia="it-IT"/>
        </w:rPr>
        <w:t>accertato l’affidamento a un operatore privo dei predetti requisiti, la stazione appaltante recede dal contratto, fatto salvo il pagamento del valore delle opere eseguite e il rimborso delle spese eventualmente sostenute per l’esecuzione della parte rimanente, nei limiti delle utilità conseguite, e proced</w:t>
      </w:r>
      <w:r w:rsidR="00D80B5B" w:rsidRPr="004A5029">
        <w:rPr>
          <w:rFonts w:ascii="Times New Roman" w:eastAsia="Times New Roman" w:hAnsi="Times New Roman" w:cs="Times New Roman"/>
          <w:color w:val="000000" w:themeColor="text1"/>
          <w:lang w:eastAsia="it-IT"/>
        </w:rPr>
        <w:t>e</w:t>
      </w:r>
      <w:r w:rsidRPr="004A5029">
        <w:rPr>
          <w:rFonts w:ascii="Times New Roman" w:eastAsia="Times New Roman" w:hAnsi="Times New Roman" w:cs="Times New Roman"/>
          <w:color w:val="000000" w:themeColor="text1"/>
          <w:lang w:eastAsia="it-IT"/>
        </w:rPr>
        <w:t xml:space="preserve"> alle segnalazioni alle competenti autorità.</w:t>
      </w:r>
    </w:p>
    <w:p w14:paraId="414F1539" w14:textId="18B9DD21" w:rsidR="00446F27" w:rsidRPr="004A5029" w:rsidRDefault="00446F27" w:rsidP="00446F27">
      <w:pPr>
        <w:jc w:val="both"/>
        <w:rPr>
          <w:rFonts w:ascii="Times New Roman" w:hAnsi="Times New Roman" w:cs="Times New Roman"/>
          <w:b/>
          <w:bCs/>
          <w:color w:val="000000" w:themeColor="text1"/>
        </w:rPr>
      </w:pPr>
      <w:r w:rsidRPr="004A5029">
        <w:rPr>
          <w:rFonts w:ascii="Times New Roman" w:eastAsia="Times New Roman" w:hAnsi="Times New Roman" w:cs="Times New Roman"/>
          <w:color w:val="000000" w:themeColor="text1"/>
          <w:lang w:eastAsia="it-IT"/>
        </w:rPr>
        <w:t xml:space="preserve">8. In via eccezionale, nella misura strettamente necessaria, l'affidamento diretto può essere autorizzato anche al di sopra dei limiti di cui al comma 1, per un arco temporale limitato, comunque non superiore a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eastAsia="Times New Roman" w:hAnsi="Times New Roman" w:cs="Times New Roman"/>
          <w:color w:val="000000" w:themeColor="text1"/>
          <w:lang w:eastAsia="it-IT"/>
        </w:rPr>
        <w:t xml:space="preserve"> giorni e solo per singole specifiche fattispecie indilazionabili e nei limiti massimi di importo stabiliti nei provvedimenti di cui al comma 2, </w:t>
      </w:r>
      <w:r w:rsidRPr="004A5029">
        <w:rPr>
          <w:rFonts w:ascii="Times New Roman" w:eastAsia="Times New Roman" w:hAnsi="Times New Roman" w:cs="Times New Roman"/>
          <w:bCs/>
          <w:color w:val="000000" w:themeColor="text1"/>
          <w:lang w:eastAsia="it-IT"/>
        </w:rPr>
        <w:t xml:space="preserve">dell'articolo 24 del </w:t>
      </w:r>
      <w:r w:rsidR="00955B24" w:rsidRPr="004A5029">
        <w:rPr>
          <w:rFonts w:ascii="Times New Roman" w:hAnsi="Times New Roman" w:cs="Times New Roman"/>
          <w:b/>
          <w:bCs/>
          <w:color w:val="000000" w:themeColor="text1"/>
        </w:rPr>
        <w:t>codice di cui al</w:t>
      </w:r>
      <w:r w:rsidR="00955B24" w:rsidRPr="004A5029">
        <w:rPr>
          <w:rFonts w:ascii="Times New Roman" w:eastAsia="Times New Roman" w:hAnsi="Times New Roman" w:cs="Times New Roman"/>
          <w:bCs/>
          <w:color w:val="000000" w:themeColor="text1"/>
          <w:lang w:eastAsia="it-IT"/>
        </w:rPr>
        <w:t xml:space="preserve"> </w:t>
      </w:r>
      <w:r w:rsidRPr="004A5029">
        <w:rPr>
          <w:rFonts w:ascii="Times New Roman" w:eastAsia="Times New Roman" w:hAnsi="Times New Roman" w:cs="Times New Roman"/>
          <w:bCs/>
          <w:color w:val="000000" w:themeColor="text1"/>
          <w:lang w:eastAsia="it-IT"/>
        </w:rPr>
        <w:t xml:space="preserve">decreto legislativo </w:t>
      </w:r>
      <w:r w:rsidRPr="004A5029">
        <w:rPr>
          <w:rFonts w:ascii="Times New Roman" w:eastAsia="Times New Roman" w:hAnsi="Times New Roman" w:cs="Times New Roman"/>
          <w:b/>
          <w:strike/>
          <w:color w:val="000000" w:themeColor="text1"/>
          <w:lang w:eastAsia="it-IT"/>
        </w:rPr>
        <w:t>2 gennaio 201</w:t>
      </w:r>
      <w:r w:rsidRPr="004A5029">
        <w:rPr>
          <w:rFonts w:ascii="Times New Roman" w:eastAsia="Times New Roman" w:hAnsi="Times New Roman" w:cs="Times New Roman"/>
          <w:bCs/>
          <w:strike/>
          <w:color w:val="000000" w:themeColor="text1"/>
          <w:lang w:eastAsia="it-IT"/>
        </w:rPr>
        <w:t>8,</w:t>
      </w:r>
      <w:r w:rsidRPr="004A5029">
        <w:rPr>
          <w:rFonts w:ascii="Times New Roman" w:eastAsia="Times New Roman" w:hAnsi="Times New Roman" w:cs="Times New Roman"/>
          <w:bCs/>
          <w:color w:val="000000" w:themeColor="text1"/>
          <w:lang w:eastAsia="it-IT"/>
        </w:rPr>
        <w:t xml:space="preserve"> n. 1</w:t>
      </w:r>
      <w:r w:rsidR="00955B24" w:rsidRPr="004A5029">
        <w:rPr>
          <w:rFonts w:ascii="Times New Roman" w:eastAsia="Times New Roman" w:hAnsi="Times New Roman" w:cs="Times New Roman"/>
          <w:bCs/>
          <w:color w:val="000000" w:themeColor="text1"/>
          <w:lang w:eastAsia="it-IT"/>
        </w:rPr>
        <w:t xml:space="preserve"> </w:t>
      </w:r>
      <w:r w:rsidR="00955B24" w:rsidRPr="004A5029">
        <w:rPr>
          <w:rFonts w:ascii="Times New Roman" w:hAnsi="Times New Roman" w:cs="Times New Roman"/>
          <w:b/>
          <w:bCs/>
          <w:color w:val="000000" w:themeColor="text1"/>
        </w:rPr>
        <w:t>del 2018</w:t>
      </w:r>
      <w:r w:rsidRPr="004A5029">
        <w:rPr>
          <w:rFonts w:ascii="Times New Roman" w:eastAsia="Times New Roman" w:hAnsi="Times New Roman" w:cs="Times New Roman"/>
          <w:color w:val="000000" w:themeColor="text1"/>
          <w:lang w:eastAsia="it-IT"/>
        </w:rPr>
        <w:t xml:space="preserve">. L'affidamento diretto per i motivi di cui al presente articolo non è comunque ammesso per appalti di </w:t>
      </w:r>
      <w:r w:rsidR="0088335C" w:rsidRPr="004A5029">
        <w:rPr>
          <w:rFonts w:ascii="Times New Roman" w:eastAsia="Times New Roman" w:hAnsi="Times New Roman" w:cs="Times New Roman"/>
          <w:b/>
          <w:bCs/>
          <w:color w:val="000000" w:themeColor="text1"/>
          <w:lang w:eastAsia="it-IT"/>
        </w:rPr>
        <w:t xml:space="preserve">lavori di </w:t>
      </w:r>
      <w:r w:rsidR="0088335C" w:rsidRPr="004A5029">
        <w:rPr>
          <w:rFonts w:ascii="Times New Roman" w:eastAsia="Times New Roman" w:hAnsi="Times New Roman" w:cs="Times New Roman"/>
          <w:color w:val="000000" w:themeColor="text1"/>
          <w:lang w:eastAsia="it-IT"/>
        </w:rPr>
        <w:t>importo</w:t>
      </w:r>
      <w:r w:rsidRPr="004A5029">
        <w:rPr>
          <w:rFonts w:ascii="Times New Roman" w:eastAsia="Times New Roman" w:hAnsi="Times New Roman" w:cs="Times New Roman"/>
          <w:color w:val="000000" w:themeColor="text1"/>
          <w:lang w:eastAsia="it-IT"/>
        </w:rPr>
        <w:t xml:space="preserve"> pari o superiore alla soglia europea</w:t>
      </w:r>
      <w:r w:rsidR="0088335C" w:rsidRPr="004A5029">
        <w:rPr>
          <w:rFonts w:ascii="Times New Roman" w:eastAsia="Times New Roman" w:hAnsi="Times New Roman" w:cs="Times New Roman"/>
          <w:color w:val="000000" w:themeColor="text1"/>
          <w:lang w:eastAsia="it-IT"/>
        </w:rPr>
        <w:t xml:space="preserve"> </w:t>
      </w:r>
      <w:r w:rsidR="0088335C" w:rsidRPr="004A5029">
        <w:rPr>
          <w:rFonts w:ascii="Times New Roman" w:eastAsia="Times New Roman" w:hAnsi="Times New Roman" w:cs="Times New Roman"/>
          <w:b/>
          <w:bCs/>
          <w:color w:val="000000" w:themeColor="text1"/>
          <w:lang w:eastAsia="it-IT"/>
        </w:rPr>
        <w:t xml:space="preserve">e per appalti di servizi e forniture di importo pari o superiore al triplo della soglia europea. </w:t>
      </w:r>
    </w:p>
    <w:p w14:paraId="31D50A2E" w14:textId="36EB0E27" w:rsidR="00446F27" w:rsidRPr="004A5029" w:rsidRDefault="00446F27" w:rsidP="00446F27">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9. Limitatamente agli appalti pubblici di forniture e servizi di cui al comma 6, di importo pari o superiore a </w:t>
      </w:r>
      <w:r w:rsidRPr="004A5029">
        <w:rPr>
          <w:rFonts w:ascii="Times New Roman" w:eastAsia="Times New Roman" w:hAnsi="Times New Roman" w:cs="Times New Roman"/>
          <w:bCs/>
          <w:color w:val="000000" w:themeColor="text1"/>
          <w:lang w:eastAsia="it-IT"/>
        </w:rPr>
        <w:t>140.000</w:t>
      </w:r>
      <w:r w:rsidRPr="004A5029">
        <w:rPr>
          <w:rFonts w:ascii="Times New Roman" w:eastAsia="Times New Roman" w:hAnsi="Times New Roman" w:cs="Times New Roman"/>
          <w:color w:val="000000" w:themeColor="text1"/>
          <w:lang w:eastAsia="it-IT"/>
        </w:rPr>
        <w:t xml:space="preserve"> euro, per i quali non siano disponibili elenchi di prezzi definiti mediante l'utilizzo di prezzari ufficiali di riferimento, quando i tempi resi necessari dalla circostanza di somma urgenza non consentano il ricorso alle procedure ordinarie, gli affidatari si impegnano a fornire i servizi e le forniture richiesti ad un prezzo provvisorio stabilito consensualmente tra le parti e a</w:t>
      </w:r>
      <w:r w:rsidR="00D80B5B" w:rsidRPr="004A5029">
        <w:rPr>
          <w:rFonts w:ascii="Times New Roman" w:eastAsia="Times New Roman" w:hAnsi="Times New Roman" w:cs="Times New Roman"/>
          <w:color w:val="000000" w:themeColor="text1"/>
          <w:lang w:eastAsia="it-IT"/>
        </w:rPr>
        <w:t>d</w:t>
      </w:r>
      <w:r w:rsidRPr="004A5029">
        <w:rPr>
          <w:rFonts w:ascii="Times New Roman" w:eastAsia="Times New Roman" w:hAnsi="Times New Roman" w:cs="Times New Roman"/>
          <w:color w:val="000000" w:themeColor="text1"/>
          <w:lang w:eastAsia="it-IT"/>
        </w:rPr>
        <w:t xml:space="preserve"> accettare la determinazione definitiva del prezzo a seguito di apposita valutazione di congruità.</w:t>
      </w:r>
    </w:p>
    <w:p w14:paraId="10FDAA0E" w14:textId="2CA1CDCD" w:rsidR="00427A36" w:rsidRPr="004A5029" w:rsidRDefault="00446F27" w:rsidP="00214A56">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10. Sul sito istituzionale dell’ente sono pubblicati gli atti relativi agli affidamenti di cui al presente articolo, con specifica indicazione dell'affidatario, delle modalità della scelta e delle motivazioni che non hanno consentito il ricorso alle procedure ordinarie. Contestualmente, e comunque in un termine congruo compatibile con la gestione della situazione di emergenza, </w:t>
      </w:r>
      <w:r w:rsidR="00E07A23" w:rsidRPr="004A5029">
        <w:rPr>
          <w:rFonts w:ascii="Times New Roman" w:eastAsia="Times New Roman" w:hAnsi="Times New Roman" w:cs="Times New Roman"/>
          <w:color w:val="000000" w:themeColor="text1"/>
          <w:lang w:eastAsia="it-IT"/>
        </w:rPr>
        <w:t>sono</w:t>
      </w:r>
      <w:r w:rsidRPr="004A5029">
        <w:rPr>
          <w:rFonts w:ascii="Times New Roman" w:eastAsia="Times New Roman" w:hAnsi="Times New Roman" w:cs="Times New Roman"/>
          <w:color w:val="000000" w:themeColor="text1"/>
          <w:lang w:eastAsia="it-IT"/>
        </w:rPr>
        <w:t xml:space="preserve"> trasmessi all'ANAC per i controlli di competenza, fermi restando i controlli di legittimità sugli atti previsti dalle vigenti normative.</w:t>
      </w:r>
    </w:p>
    <w:p w14:paraId="44EE4241" w14:textId="65187E6E"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11. In occasione degli eventi per i quali è dichiarato lo stato di emergenza di rilievo nazionale ai sensi dell'articolo </w:t>
      </w:r>
      <w:r w:rsidRPr="00BD54D8">
        <w:rPr>
          <w:rFonts w:ascii="Times New Roman" w:eastAsia="Times New Roman" w:hAnsi="Times New Roman" w:cs="Times New Roman"/>
          <w:b/>
          <w:bCs/>
          <w:color w:val="000000" w:themeColor="text1"/>
          <w:kern w:val="2"/>
          <w:lang w:eastAsia="it-IT"/>
          <w14:ligatures w14:val="standardContextual"/>
        </w:rPr>
        <w:t>24 del</w:t>
      </w:r>
      <w:r w:rsidR="000B7948" w:rsidRPr="00BD54D8">
        <w:rPr>
          <w:rFonts w:ascii="Times New Roman" w:eastAsia="Times New Roman" w:hAnsi="Times New Roman" w:cs="Times New Roman"/>
          <w:b/>
          <w:bCs/>
          <w:color w:val="000000" w:themeColor="text1"/>
          <w:kern w:val="2"/>
          <w:lang w:eastAsia="it-IT"/>
          <w14:ligatures w14:val="standardContextual"/>
        </w:rPr>
        <w:t xml:space="preserve"> </w:t>
      </w:r>
      <w:r w:rsidR="000B7948" w:rsidRPr="00BD54D8">
        <w:rPr>
          <w:rFonts w:ascii="Times New Roman" w:eastAsia="Times New Roman" w:hAnsi="Times New Roman" w:cs="Times New Roman"/>
          <w:b/>
          <w:bCs/>
          <w:kern w:val="2"/>
          <w:lang w:eastAsia="it-IT"/>
          <w14:ligatures w14:val="standardContextual"/>
        </w:rPr>
        <w:t xml:space="preserve">codice di cui al </w:t>
      </w:r>
      <w:r w:rsidRPr="00BD54D8">
        <w:rPr>
          <w:rFonts w:ascii="Times New Roman" w:eastAsia="Times New Roman" w:hAnsi="Times New Roman" w:cs="Times New Roman"/>
          <w:b/>
          <w:bCs/>
          <w:color w:val="000000" w:themeColor="text1"/>
          <w:kern w:val="2"/>
          <w:lang w:eastAsia="it-IT"/>
          <w14:ligatures w14:val="standardContextual"/>
        </w:rPr>
        <w:t>decreto legislativo 2 gennaio 2018, n. 1, ferma restando la facoltà di prevedere</w:t>
      </w:r>
      <w:r w:rsidRPr="00BD54D8">
        <w:rPr>
          <w:rFonts w:ascii="Times New Roman" w:eastAsia="Times New Roman" w:hAnsi="Times New Roman" w:cs="Times New Roman"/>
          <w:b/>
          <w:bCs/>
          <w:strike/>
          <w:color w:val="000000" w:themeColor="text1"/>
          <w:kern w:val="2"/>
          <w:lang w:eastAsia="it-IT"/>
          <w14:ligatures w14:val="standardContextual"/>
        </w:rPr>
        <w:t xml:space="preserve"> </w:t>
      </w:r>
      <w:r w:rsidRPr="00BD54D8">
        <w:rPr>
          <w:rFonts w:ascii="Times New Roman" w:eastAsia="Times New Roman" w:hAnsi="Times New Roman" w:cs="Times New Roman"/>
          <w:b/>
          <w:bCs/>
          <w:color w:val="000000" w:themeColor="text1"/>
          <w:kern w:val="2"/>
          <w:lang w:eastAsia="it-IT"/>
          <w14:ligatures w14:val="standardContextual"/>
        </w:rPr>
        <w:t xml:space="preserve">ulteriori misure derogatorie consentite nell’ambito dei provvedimenti adottati ai sensi dell’articolo 25 del medesimo </w:t>
      </w:r>
      <w:r w:rsidR="000B7948" w:rsidRPr="00BD54D8">
        <w:rPr>
          <w:rFonts w:ascii="Times New Roman" w:eastAsia="Times New Roman" w:hAnsi="Times New Roman" w:cs="Times New Roman"/>
          <w:b/>
          <w:bCs/>
          <w:kern w:val="2"/>
          <w:lang w:eastAsia="it-IT"/>
          <w14:ligatures w14:val="standardContextual"/>
        </w:rPr>
        <w:t xml:space="preserve">codice di cui al </w:t>
      </w:r>
      <w:r w:rsidRPr="00BD54D8">
        <w:rPr>
          <w:rFonts w:ascii="Times New Roman" w:eastAsia="Times New Roman" w:hAnsi="Times New Roman" w:cs="Times New Roman"/>
          <w:b/>
          <w:bCs/>
          <w:color w:val="000000" w:themeColor="text1"/>
          <w:kern w:val="2"/>
          <w:lang w:eastAsia="it-IT"/>
          <w14:ligatures w14:val="standardContextual"/>
        </w:rPr>
        <w:t>decreto</w:t>
      </w:r>
      <w:r w:rsidRPr="004A5029">
        <w:rPr>
          <w:rFonts w:ascii="Times New Roman" w:eastAsia="Times New Roman" w:hAnsi="Times New Roman" w:cs="Times New Roman"/>
          <w:b/>
          <w:bCs/>
          <w:color w:val="000000" w:themeColor="text1"/>
          <w:kern w:val="2"/>
          <w:lang w:eastAsia="it-IT"/>
          <w14:ligatures w14:val="standardContextual"/>
        </w:rPr>
        <w:t xml:space="preserve"> legislativo n. 1 del 2018, gli appalti pubblici di lavori, forniture e servizi possono essere affidati in deroga alle seguenti disposizioni del presente codice: </w:t>
      </w:r>
    </w:p>
    <w:p w14:paraId="03708C5C" w14:textId="77777777"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a) articolo 14, comma 12, lettera a), per consentire l’autonoma determinazione del valore stimato degli appalti per l'acquisizione di beni e servizi omogenei e analoghi, caratterizzati da regolarità, da rinnovare periodicamente entro il periodo emergenziale; </w:t>
      </w:r>
    </w:p>
    <w:p w14:paraId="0FC5699C" w14:textId="77777777"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b) articolo 15, comma 2, primo periodo, relativamente alla necessaria individuazione del RUP tra i dipendenti della stazione appaltante o dell’ente concedente, per consentire alle stazioni appaltanti, ove strettamente necessario, di individuare il RUP tra soggetti idonei anche estranei alle stazioni appaltanti medesime, purché dipendenti di ruolo di altri soggetti o enti pubblici; </w:t>
      </w:r>
    </w:p>
    <w:p w14:paraId="23714464" w14:textId="77777777"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c) articolo 37, relativamente alla necessaria previa programmazione dei lavori e degli acquisiti di beni e servizi, per consentire alle stazioni appaltante di affidare l’appalto anche in assenza della previa programmazione del relativo intervento; </w:t>
      </w:r>
    </w:p>
    <w:p w14:paraId="4B596514" w14:textId="77777777"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d) articolo 49, per consentire alle stazioni appaltanti la semplificazione della procedura di affidamento e l'adeguamento della sua tempistica alle esigenze del contesto emergenziale, nel rispetto dei principi generali dell'ordinamento giuridico e delle norme dell'Unione europea; </w:t>
      </w:r>
    </w:p>
    <w:p w14:paraId="3F87854F" w14:textId="7BEC0BA1" w:rsidR="0051529A" w:rsidRPr="004A5029" w:rsidRDefault="0051529A" w:rsidP="0051529A">
      <w:pPr>
        <w:jc w:val="both"/>
        <w:rPr>
          <w:rFonts w:ascii="Times New Roman" w:eastAsia="Times New Roman" w:hAnsi="Times New Roman" w:cs="Times New Roman"/>
          <w:b/>
          <w:bCs/>
          <w:color w:val="000000" w:themeColor="text1"/>
          <w:kern w:val="2"/>
          <w:lang w:eastAsia="it-IT"/>
          <w14:ligatures w14:val="standardContextual"/>
        </w:rPr>
      </w:pPr>
      <w:r w:rsidRPr="004A5029">
        <w:rPr>
          <w:rFonts w:ascii="Times New Roman" w:eastAsia="Times New Roman" w:hAnsi="Times New Roman" w:cs="Times New Roman"/>
          <w:b/>
          <w:bCs/>
          <w:color w:val="000000" w:themeColor="text1"/>
          <w:kern w:val="2"/>
          <w:lang w:eastAsia="it-IT"/>
          <w14:ligatures w14:val="standardContextual"/>
        </w:rPr>
        <w:t xml:space="preserve">e) articolo 108, commi 1, 2, 3, 4, 6, 7, 8, 11, per consentire l’utilizzo generalizzato del criterio del minor prezzo. </w:t>
      </w:r>
    </w:p>
    <w:p w14:paraId="5661022B" w14:textId="77777777" w:rsidR="00216D05" w:rsidRPr="004A5029" w:rsidRDefault="00216D05" w:rsidP="00214A56">
      <w:pPr>
        <w:jc w:val="both"/>
        <w:rPr>
          <w:rFonts w:ascii="Times New Roman" w:eastAsia="Times New Roman" w:hAnsi="Times New Roman" w:cs="Times New Roman"/>
          <w:color w:val="000000" w:themeColor="text1"/>
          <w:lang w:eastAsia="it-IT"/>
        </w:rPr>
      </w:pPr>
    </w:p>
    <w:p w14:paraId="6174F8C8" w14:textId="77777777" w:rsidR="00216D05" w:rsidRPr="004A5029" w:rsidRDefault="00216D05" w:rsidP="00214A56">
      <w:pPr>
        <w:jc w:val="both"/>
        <w:rPr>
          <w:rFonts w:ascii="Times New Roman" w:hAnsi="Times New Roman" w:cs="Times New Roman"/>
          <w:color w:val="000000" w:themeColor="text1"/>
        </w:rPr>
      </w:pPr>
    </w:p>
    <w:p w14:paraId="753E928A" w14:textId="551D75BA" w:rsidR="00427A36" w:rsidRPr="004A5029" w:rsidRDefault="003D6C13" w:rsidP="00214A56">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br w:type="page"/>
      </w:r>
      <w:r w:rsidR="00427A36" w:rsidRPr="004A5029">
        <w:rPr>
          <w:rFonts w:ascii="Times New Roman" w:hAnsi="Times New Roman" w:cs="Times New Roman"/>
          <w:b/>
          <w:bCs/>
          <w:color w:val="000000" w:themeColor="text1"/>
        </w:rPr>
        <w:t>LIBRO III</w:t>
      </w:r>
    </w:p>
    <w:p w14:paraId="7E4BCCC2" w14:textId="77777777" w:rsidR="00427A36" w:rsidRPr="004A5029" w:rsidRDefault="00427A36" w:rsidP="00427A36">
      <w:pPr>
        <w:tabs>
          <w:tab w:val="left" w:pos="851"/>
        </w:tabs>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DELL’APPALTO NEI SETTORI SPECIALI</w:t>
      </w:r>
    </w:p>
    <w:p w14:paraId="7A292896" w14:textId="77777777" w:rsidR="00427A36" w:rsidRPr="004A5029" w:rsidRDefault="00427A36" w:rsidP="00427A36">
      <w:pPr>
        <w:jc w:val="center"/>
        <w:rPr>
          <w:rFonts w:ascii="Times New Roman" w:hAnsi="Times New Roman" w:cs="Times New Roman"/>
          <w:b/>
          <w:bCs/>
          <w:color w:val="000000" w:themeColor="text1"/>
        </w:rPr>
      </w:pPr>
    </w:p>
    <w:p w14:paraId="4FD7A63B" w14:textId="77777777" w:rsidR="00B922F7"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 </w:t>
      </w:r>
    </w:p>
    <w:p w14:paraId="461981EF" w14:textId="0217384D" w:rsidR="00427A36"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DISPOSIZIONI GENERALI</w:t>
      </w:r>
    </w:p>
    <w:p w14:paraId="2191599E" w14:textId="77777777" w:rsidR="00427A36" w:rsidRPr="004A5029" w:rsidRDefault="00427A36" w:rsidP="00427A36">
      <w:pPr>
        <w:rPr>
          <w:rFonts w:ascii="Times New Roman" w:hAnsi="Times New Roman" w:cs="Times New Roman"/>
          <w:color w:val="000000" w:themeColor="text1"/>
        </w:rPr>
      </w:pPr>
    </w:p>
    <w:p w14:paraId="4029837E"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141.</w:t>
      </w:r>
    </w:p>
    <w:p w14:paraId="2D24116E"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Ambito e norme applicabili.</w:t>
      </w:r>
    </w:p>
    <w:p w14:paraId="4F6C5BAB" w14:textId="600C6D02" w:rsidR="00427A36" w:rsidRPr="004A5029" w:rsidRDefault="00427A36" w:rsidP="00427A36">
      <w:pPr>
        <w:pStyle w:val="paragraph"/>
        <w:spacing w:before="0" w:beforeAutospacing="0" w:after="160" w:afterAutospacing="0" w:line="259" w:lineRule="auto"/>
        <w:jc w:val="both"/>
        <w:textAlignment w:val="baseline"/>
        <w:rPr>
          <w:rStyle w:val="normaltextrun"/>
          <w:bCs/>
          <w:color w:val="000000" w:themeColor="text1"/>
          <w:sz w:val="22"/>
          <w:szCs w:val="22"/>
        </w:rPr>
      </w:pPr>
      <w:r w:rsidRPr="004A5029">
        <w:rPr>
          <w:rStyle w:val="normaltextrun"/>
          <w:color w:val="000000" w:themeColor="text1"/>
          <w:sz w:val="22"/>
          <w:szCs w:val="22"/>
        </w:rPr>
        <w:t xml:space="preserve">1. Le disposizioni del presente </w:t>
      </w:r>
      <w:r w:rsidR="00D80B5B" w:rsidRPr="004A5029">
        <w:rPr>
          <w:rStyle w:val="normaltextrun"/>
          <w:color w:val="000000" w:themeColor="text1"/>
          <w:sz w:val="22"/>
          <w:szCs w:val="22"/>
        </w:rPr>
        <w:t>L</w:t>
      </w:r>
      <w:r w:rsidRPr="004A5029">
        <w:rPr>
          <w:rStyle w:val="normaltextrun"/>
          <w:color w:val="000000" w:themeColor="text1"/>
          <w:sz w:val="22"/>
          <w:szCs w:val="22"/>
        </w:rPr>
        <w:t>ibro si applicano a</w:t>
      </w:r>
      <w:r w:rsidRPr="004A5029">
        <w:rPr>
          <w:rStyle w:val="normaltextrun"/>
          <w:bCs/>
          <w:color w:val="000000" w:themeColor="text1"/>
          <w:sz w:val="22"/>
          <w:szCs w:val="22"/>
        </w:rPr>
        <w:t xml:space="preserve">lle stazioni appaltanti o agli enti concedenti </w:t>
      </w:r>
      <w:r w:rsidRPr="004A5029">
        <w:rPr>
          <w:rStyle w:val="normaltextrun"/>
          <w:color w:val="000000" w:themeColor="text1"/>
          <w:sz w:val="22"/>
          <w:szCs w:val="22"/>
        </w:rPr>
        <w:t>che svolgono una delle attività previste dagli articoli da</w:t>
      </w:r>
      <w:r w:rsidRPr="004A5029">
        <w:rPr>
          <w:rStyle w:val="normaltextrun"/>
          <w:bCs/>
          <w:color w:val="000000" w:themeColor="text1"/>
          <w:sz w:val="22"/>
          <w:szCs w:val="22"/>
        </w:rPr>
        <w:t xml:space="preserve"> 146 a 152.</w:t>
      </w:r>
      <w:r w:rsidRPr="004A5029">
        <w:rPr>
          <w:rStyle w:val="normaltextrun"/>
          <w:color w:val="000000" w:themeColor="text1"/>
          <w:sz w:val="22"/>
          <w:szCs w:val="22"/>
        </w:rPr>
        <w:t xml:space="preserve"> </w:t>
      </w:r>
      <w:r w:rsidR="009B417A" w:rsidRPr="004A5029">
        <w:rPr>
          <w:rFonts w:eastAsiaTheme="minorHAnsi"/>
          <w:b/>
          <w:bCs/>
          <w:color w:val="000000" w:themeColor="text1"/>
          <w:lang w:eastAsia="en-US"/>
        </w:rPr>
        <w:t>Le disposizioni del presente Libro si</w:t>
      </w:r>
      <w:r w:rsidR="009B417A" w:rsidRPr="004A5029">
        <w:rPr>
          <w:rStyle w:val="normaltextrun"/>
          <w:b/>
          <w:bCs/>
          <w:color w:val="000000" w:themeColor="text1"/>
          <w:sz w:val="22"/>
          <w:szCs w:val="22"/>
        </w:rPr>
        <w:t xml:space="preserve"> </w:t>
      </w:r>
      <w:r w:rsidRPr="004A5029">
        <w:rPr>
          <w:rStyle w:val="normaltextrun"/>
          <w:b/>
          <w:bCs/>
          <w:strike/>
          <w:color w:val="000000" w:themeColor="text1"/>
          <w:sz w:val="22"/>
          <w:szCs w:val="22"/>
        </w:rPr>
        <w:t>Si</w:t>
      </w:r>
      <w:r w:rsidRPr="004A5029">
        <w:rPr>
          <w:rStyle w:val="normaltextrun"/>
          <w:bCs/>
          <w:color w:val="000000" w:themeColor="text1"/>
          <w:sz w:val="22"/>
          <w:szCs w:val="22"/>
        </w:rPr>
        <w:t xml:space="preserve"> </w:t>
      </w:r>
      <w:r w:rsidRPr="004A5029">
        <w:rPr>
          <w:rStyle w:val="normaltextrun"/>
          <w:color w:val="000000" w:themeColor="text1"/>
          <w:sz w:val="22"/>
          <w:szCs w:val="22"/>
        </w:rPr>
        <w:t>applicano</w:t>
      </w:r>
      <w:r w:rsidRPr="004A5029">
        <w:rPr>
          <w:rStyle w:val="normaltextrun"/>
          <w:bCs/>
          <w:color w:val="000000" w:themeColor="text1"/>
          <w:sz w:val="22"/>
          <w:szCs w:val="22"/>
        </w:rPr>
        <w:t xml:space="preserve">, </w:t>
      </w:r>
      <w:r w:rsidRPr="004A5029">
        <w:rPr>
          <w:rStyle w:val="normaltextrun"/>
          <w:color w:val="000000" w:themeColor="text1"/>
          <w:sz w:val="22"/>
          <w:szCs w:val="22"/>
        </w:rPr>
        <w:t>altresì</w:t>
      </w:r>
      <w:r w:rsidRPr="004A5029">
        <w:rPr>
          <w:rStyle w:val="normaltextrun"/>
          <w:bCs/>
          <w:color w:val="000000" w:themeColor="text1"/>
          <w:sz w:val="22"/>
          <w:szCs w:val="22"/>
        </w:rPr>
        <w:t xml:space="preserve">, agli altri </w:t>
      </w:r>
      <w:r w:rsidRPr="004A5029">
        <w:rPr>
          <w:rStyle w:val="normaltextrun"/>
          <w:color w:val="000000" w:themeColor="text1"/>
          <w:sz w:val="22"/>
          <w:szCs w:val="22"/>
        </w:rPr>
        <w:t>soggetti</w:t>
      </w:r>
      <w:r w:rsidRPr="004A5029">
        <w:rPr>
          <w:rStyle w:val="normaltextrun"/>
          <w:bCs/>
          <w:color w:val="000000" w:themeColor="text1"/>
          <w:sz w:val="22"/>
          <w:szCs w:val="22"/>
        </w:rPr>
        <w:t xml:space="preserve"> </w:t>
      </w:r>
      <w:r w:rsidRPr="004A5029">
        <w:rPr>
          <w:rStyle w:val="normaltextrun"/>
          <w:color w:val="000000" w:themeColor="text1"/>
          <w:sz w:val="22"/>
          <w:szCs w:val="22"/>
        </w:rPr>
        <w:t xml:space="preserve">che annoverano tra le loro attività una o più tra quelle previste dagli articoli </w:t>
      </w:r>
      <w:r w:rsidRPr="004A5029">
        <w:rPr>
          <w:rStyle w:val="normaltextrun"/>
          <w:bCs/>
          <w:color w:val="000000" w:themeColor="text1"/>
          <w:sz w:val="22"/>
          <w:szCs w:val="22"/>
        </w:rPr>
        <w:t xml:space="preserve">da 146 a 152 e </w:t>
      </w:r>
      <w:r w:rsidRPr="004A5029">
        <w:rPr>
          <w:rStyle w:val="normaltextrun"/>
          <w:color w:val="000000" w:themeColor="text1"/>
          <w:sz w:val="22"/>
          <w:szCs w:val="22"/>
        </w:rPr>
        <w:t>operano in virtù di diritti speciali o esclusivi.</w:t>
      </w:r>
    </w:p>
    <w:p w14:paraId="7584CFF3" w14:textId="77777777" w:rsidR="00427A36" w:rsidRPr="004A5029" w:rsidRDefault="00427A36" w:rsidP="00427A36">
      <w:pPr>
        <w:pStyle w:val="paragraph"/>
        <w:spacing w:before="0" w:beforeAutospacing="0" w:after="160" w:afterAutospacing="0" w:line="259" w:lineRule="auto"/>
        <w:jc w:val="both"/>
        <w:textAlignment w:val="baseline"/>
        <w:rPr>
          <w:rStyle w:val="normaltextrun"/>
          <w:bCs/>
          <w:color w:val="000000" w:themeColor="text1"/>
          <w:sz w:val="22"/>
          <w:szCs w:val="22"/>
        </w:rPr>
      </w:pPr>
      <w:r w:rsidRPr="004A5029">
        <w:rPr>
          <w:rStyle w:val="normaltextrun"/>
          <w:bCs/>
          <w:color w:val="000000" w:themeColor="text1"/>
          <w:sz w:val="22"/>
          <w:szCs w:val="22"/>
        </w:rPr>
        <w:t xml:space="preserve">2. Le imprese pubbliche e i soggetti titolari di diritti speciali o esclusivi applicano le </w:t>
      </w:r>
      <w:r w:rsidRPr="004A5029">
        <w:rPr>
          <w:color w:val="000000" w:themeColor="text1"/>
          <w:sz w:val="22"/>
          <w:szCs w:val="22"/>
        </w:rPr>
        <w:t xml:space="preserve">disposizioni </w:t>
      </w:r>
      <w:r w:rsidRPr="004A5029">
        <w:rPr>
          <w:rStyle w:val="normaltextrun"/>
          <w:bCs/>
          <w:color w:val="000000" w:themeColor="text1"/>
          <w:sz w:val="22"/>
          <w:szCs w:val="22"/>
        </w:rPr>
        <w:t>del presente Libro solo per i contratti strumentali da un punto di vista funzionale a una delle attività previste dagli articoli da 146 a 152.</w:t>
      </w:r>
    </w:p>
    <w:p w14:paraId="2D18A1E0" w14:textId="14B459BB" w:rsidR="00427A36" w:rsidRPr="004A5029" w:rsidRDefault="00427A36" w:rsidP="00427A36">
      <w:pPr>
        <w:pStyle w:val="paragraph"/>
        <w:spacing w:before="0" w:beforeAutospacing="0" w:after="160" w:afterAutospacing="0" w:line="259" w:lineRule="auto"/>
        <w:jc w:val="both"/>
        <w:textAlignment w:val="baseline"/>
        <w:rPr>
          <w:rStyle w:val="eop"/>
          <w:bCs/>
          <w:color w:val="000000" w:themeColor="text1"/>
          <w:sz w:val="22"/>
          <w:szCs w:val="22"/>
        </w:rPr>
      </w:pPr>
      <w:r w:rsidRPr="004A5029">
        <w:rPr>
          <w:rStyle w:val="normaltextrun"/>
          <w:bCs/>
          <w:color w:val="000000" w:themeColor="text1"/>
          <w:sz w:val="22"/>
          <w:szCs w:val="22"/>
        </w:rPr>
        <w:t xml:space="preserve">3. Ai contratti di cui al presente </w:t>
      </w:r>
      <w:r w:rsidR="00A9504B" w:rsidRPr="004A5029">
        <w:rPr>
          <w:rStyle w:val="normaltextrun"/>
          <w:b/>
          <w:color w:val="000000" w:themeColor="text1"/>
          <w:sz w:val="22"/>
          <w:szCs w:val="22"/>
        </w:rPr>
        <w:t>L</w:t>
      </w:r>
      <w:r w:rsidRPr="004A5029">
        <w:rPr>
          <w:rStyle w:val="normaltextrun"/>
          <w:bCs/>
          <w:color w:val="000000" w:themeColor="text1"/>
          <w:sz w:val="22"/>
          <w:szCs w:val="22"/>
        </w:rPr>
        <w:t>ibro si applicano, oltre alle sue disposizioni:</w:t>
      </w:r>
    </w:p>
    <w:p w14:paraId="684DBEB1" w14:textId="431F4121"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rStyle w:val="eop"/>
          <w:bCs/>
          <w:color w:val="000000" w:themeColor="text1"/>
          <w:sz w:val="22"/>
          <w:szCs w:val="22"/>
        </w:rPr>
        <w:t xml:space="preserve">a) </w:t>
      </w:r>
      <w:r w:rsidRPr="004A5029">
        <w:rPr>
          <w:bCs/>
          <w:color w:val="000000" w:themeColor="text1"/>
          <w:sz w:val="22"/>
          <w:szCs w:val="22"/>
        </w:rPr>
        <w:t xml:space="preserve">il </w:t>
      </w:r>
      <w:r w:rsidR="00A9504B" w:rsidRPr="004A5029">
        <w:rPr>
          <w:b/>
          <w:color w:val="000000" w:themeColor="text1"/>
          <w:sz w:val="22"/>
          <w:szCs w:val="22"/>
        </w:rPr>
        <w:t>L</w:t>
      </w:r>
      <w:r w:rsidRPr="004A5029">
        <w:rPr>
          <w:bCs/>
          <w:color w:val="000000" w:themeColor="text1"/>
          <w:sz w:val="22"/>
          <w:szCs w:val="22"/>
        </w:rPr>
        <w:t>ibro I, Parte I, Titolo I, eccetto l’articolo 6;</w:t>
      </w:r>
    </w:p>
    <w:p w14:paraId="2C7E2BFF" w14:textId="51F4AC18"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b) nell’ambito del </w:t>
      </w:r>
      <w:r w:rsidR="00A9504B" w:rsidRPr="004A5029">
        <w:rPr>
          <w:b/>
          <w:color w:val="000000" w:themeColor="text1"/>
          <w:sz w:val="22"/>
          <w:szCs w:val="22"/>
        </w:rPr>
        <w:t>L</w:t>
      </w:r>
      <w:r w:rsidRPr="004A5029">
        <w:rPr>
          <w:bCs/>
          <w:color w:val="000000" w:themeColor="text1"/>
          <w:sz w:val="22"/>
          <w:szCs w:val="22"/>
        </w:rPr>
        <w:t>ibro I, Parte I, Titolo II, gli articoli 13, 14, 16, 17 e 18. L’articolo 15 si applica solo alle stazioni appaltanti e agli enti concedenti che sono amministrazioni aggiudicatrici;</w:t>
      </w:r>
    </w:p>
    <w:p w14:paraId="316207E0" w14:textId="4E186A1E"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c) il </w:t>
      </w:r>
      <w:r w:rsidR="00A9504B" w:rsidRPr="004A5029">
        <w:rPr>
          <w:b/>
          <w:color w:val="000000" w:themeColor="text1"/>
          <w:sz w:val="22"/>
          <w:szCs w:val="22"/>
        </w:rPr>
        <w:t>L</w:t>
      </w:r>
      <w:r w:rsidRPr="004A5029">
        <w:rPr>
          <w:bCs/>
          <w:color w:val="000000" w:themeColor="text1"/>
          <w:sz w:val="22"/>
          <w:szCs w:val="22"/>
        </w:rPr>
        <w:t>ibro I, Parte II;</w:t>
      </w:r>
    </w:p>
    <w:p w14:paraId="789B7176" w14:textId="7299E351"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d) nell’ambito del </w:t>
      </w:r>
      <w:r w:rsidR="00A9504B" w:rsidRPr="004A5029">
        <w:rPr>
          <w:b/>
          <w:color w:val="000000" w:themeColor="text1"/>
          <w:sz w:val="22"/>
          <w:szCs w:val="22"/>
        </w:rPr>
        <w:t>L</w:t>
      </w:r>
      <w:r w:rsidRPr="004A5029">
        <w:rPr>
          <w:bCs/>
          <w:color w:val="000000" w:themeColor="text1"/>
          <w:sz w:val="22"/>
          <w:szCs w:val="22"/>
        </w:rPr>
        <w:t>ibro I, Parte IV, gli articoli 41, 42, 43, 44, 45 e 46;</w:t>
      </w:r>
    </w:p>
    <w:p w14:paraId="12522DFB" w14:textId="2405371A"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e) nell’ambito del </w:t>
      </w:r>
      <w:r w:rsidR="00A9504B" w:rsidRPr="004A5029">
        <w:rPr>
          <w:b/>
          <w:color w:val="000000" w:themeColor="text1"/>
          <w:sz w:val="22"/>
          <w:szCs w:val="22"/>
        </w:rPr>
        <w:t>L</w:t>
      </w:r>
      <w:r w:rsidRPr="004A5029">
        <w:rPr>
          <w:bCs/>
          <w:color w:val="000000" w:themeColor="text1"/>
          <w:sz w:val="22"/>
          <w:szCs w:val="22"/>
        </w:rPr>
        <w:t>ibro II, Parte II, gli articoli 57, 60 e 61;</w:t>
      </w:r>
    </w:p>
    <w:p w14:paraId="0D7847A1" w14:textId="49F2AE33"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f) nell’ambito del </w:t>
      </w:r>
      <w:r w:rsidR="00A9504B" w:rsidRPr="004A5029">
        <w:rPr>
          <w:b/>
          <w:color w:val="000000" w:themeColor="text1"/>
          <w:sz w:val="22"/>
          <w:szCs w:val="22"/>
        </w:rPr>
        <w:t>L</w:t>
      </w:r>
      <w:r w:rsidRPr="004A5029">
        <w:rPr>
          <w:bCs/>
          <w:color w:val="000000" w:themeColor="text1"/>
          <w:sz w:val="22"/>
          <w:szCs w:val="22"/>
        </w:rPr>
        <w:t>ibro II, Parte III, Titolo I, l’articolo 64;</w:t>
      </w:r>
    </w:p>
    <w:p w14:paraId="733CD08D" w14:textId="1246AD3A"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g) nell’ambito del </w:t>
      </w:r>
      <w:r w:rsidR="00A9504B" w:rsidRPr="004A5029">
        <w:rPr>
          <w:b/>
          <w:color w:val="000000" w:themeColor="text1"/>
          <w:sz w:val="22"/>
          <w:szCs w:val="22"/>
        </w:rPr>
        <w:t>L</w:t>
      </w:r>
      <w:r w:rsidRPr="004A5029">
        <w:rPr>
          <w:bCs/>
          <w:color w:val="000000" w:themeColor="text1"/>
          <w:sz w:val="22"/>
          <w:szCs w:val="22"/>
        </w:rPr>
        <w:t>ibro II, Parte III, il Titolo II;</w:t>
      </w:r>
    </w:p>
    <w:p w14:paraId="01A33919" w14:textId="3B0C9D7A"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h) nell’ambito del </w:t>
      </w:r>
      <w:r w:rsidR="00A9504B" w:rsidRPr="004A5029">
        <w:rPr>
          <w:b/>
          <w:color w:val="000000" w:themeColor="text1"/>
          <w:sz w:val="22"/>
          <w:szCs w:val="22"/>
        </w:rPr>
        <w:t>L</w:t>
      </w:r>
      <w:r w:rsidRPr="004A5029">
        <w:rPr>
          <w:bCs/>
          <w:color w:val="000000" w:themeColor="text1"/>
          <w:sz w:val="22"/>
          <w:szCs w:val="22"/>
        </w:rPr>
        <w:t>ibro II, Parte V, Titolo IV, il Capo II</w:t>
      </w:r>
      <w:r w:rsidRPr="004A5029">
        <w:rPr>
          <w:color w:val="000000" w:themeColor="text1"/>
          <w:sz w:val="22"/>
          <w:szCs w:val="22"/>
        </w:rPr>
        <w:t xml:space="preserve"> </w:t>
      </w:r>
      <w:r w:rsidRPr="004A5029">
        <w:rPr>
          <w:bCs/>
          <w:color w:val="000000" w:themeColor="text1"/>
          <w:sz w:val="22"/>
          <w:szCs w:val="22"/>
        </w:rPr>
        <w:t>si applica nei limiti di cui agli articoli 167, 168 e 169;</w:t>
      </w:r>
    </w:p>
    <w:p w14:paraId="02213459" w14:textId="3E8A4310" w:rsidR="00427A36" w:rsidRPr="004A5029" w:rsidRDefault="00427A36" w:rsidP="00427A36">
      <w:pPr>
        <w:pStyle w:val="paragraph"/>
        <w:spacing w:before="0" w:beforeAutospacing="0" w:after="160" w:afterAutospacing="0" w:line="259" w:lineRule="auto"/>
        <w:jc w:val="both"/>
        <w:textAlignment w:val="baseline"/>
        <w:rPr>
          <w:rStyle w:val="Rimandonotaapidipagina"/>
          <w:color w:val="000000" w:themeColor="text1"/>
          <w:sz w:val="22"/>
          <w:szCs w:val="22"/>
        </w:rPr>
      </w:pPr>
      <w:r w:rsidRPr="004A5029">
        <w:rPr>
          <w:bCs/>
          <w:color w:val="000000" w:themeColor="text1"/>
          <w:sz w:val="22"/>
          <w:szCs w:val="22"/>
        </w:rPr>
        <w:t>i</w:t>
      </w:r>
      <w:r w:rsidRPr="00BD54D8">
        <w:rPr>
          <w:bCs/>
          <w:color w:val="000000" w:themeColor="text1"/>
          <w:sz w:val="22"/>
          <w:szCs w:val="22"/>
        </w:rPr>
        <w:t xml:space="preserve">) nell’ambito del </w:t>
      </w:r>
      <w:r w:rsidR="00A9504B" w:rsidRPr="00BD54D8">
        <w:rPr>
          <w:b/>
          <w:color w:val="000000" w:themeColor="text1"/>
          <w:sz w:val="22"/>
          <w:szCs w:val="22"/>
        </w:rPr>
        <w:t>L</w:t>
      </w:r>
      <w:r w:rsidRPr="00BD54D8">
        <w:rPr>
          <w:bCs/>
          <w:color w:val="000000" w:themeColor="text1"/>
          <w:sz w:val="22"/>
          <w:szCs w:val="22"/>
        </w:rPr>
        <w:t>ibro II, Parte VI, gli articoli 113, 119</w:t>
      </w:r>
      <w:r w:rsidR="000B7948" w:rsidRPr="00BD54D8">
        <w:rPr>
          <w:b/>
          <w:color w:val="000000" w:themeColor="text1"/>
          <w:sz w:val="22"/>
          <w:szCs w:val="22"/>
        </w:rPr>
        <w:t>,</w:t>
      </w:r>
      <w:r w:rsidRPr="00BD54D8">
        <w:rPr>
          <w:bCs/>
          <w:strike/>
          <w:color w:val="000000" w:themeColor="text1"/>
          <w:sz w:val="22"/>
          <w:szCs w:val="22"/>
        </w:rPr>
        <w:t xml:space="preserve"> e </w:t>
      </w:r>
      <w:r w:rsidRPr="00BD54D8">
        <w:rPr>
          <w:bCs/>
          <w:color w:val="000000" w:themeColor="text1"/>
          <w:sz w:val="22"/>
          <w:szCs w:val="22"/>
        </w:rPr>
        <w:t>120</w:t>
      </w:r>
      <w:r w:rsidRPr="00BD54D8">
        <w:rPr>
          <w:bCs/>
          <w:strike/>
          <w:color w:val="000000" w:themeColor="text1"/>
          <w:sz w:val="22"/>
          <w:szCs w:val="22"/>
        </w:rPr>
        <w:t>,</w:t>
      </w:r>
      <w:r w:rsidRPr="00BD54D8">
        <w:rPr>
          <w:strike/>
          <w:color w:val="000000" w:themeColor="text1"/>
          <w:sz w:val="22"/>
          <w:szCs w:val="22"/>
        </w:rPr>
        <w:t xml:space="preserve"> </w:t>
      </w:r>
      <w:bookmarkStart w:id="44" w:name="_Hlk126167398"/>
      <w:r w:rsidRPr="00BD54D8">
        <w:rPr>
          <w:b/>
          <w:strike/>
          <w:color w:val="000000" w:themeColor="text1"/>
          <w:sz w:val="22"/>
          <w:szCs w:val="22"/>
        </w:rPr>
        <w:t xml:space="preserve">fatto salvo quanto previsto </w:t>
      </w:r>
      <w:r w:rsidR="00D80B5B" w:rsidRPr="00BD54D8">
        <w:rPr>
          <w:b/>
          <w:strike/>
          <w:color w:val="000000" w:themeColor="text1"/>
          <w:sz w:val="22"/>
          <w:szCs w:val="22"/>
        </w:rPr>
        <w:t>d</w:t>
      </w:r>
      <w:r w:rsidRPr="00BD54D8">
        <w:rPr>
          <w:b/>
          <w:strike/>
          <w:color w:val="000000" w:themeColor="text1"/>
          <w:sz w:val="22"/>
          <w:szCs w:val="22"/>
        </w:rPr>
        <w:t>all’articolo 114, comma 4, lettera c)</w:t>
      </w:r>
      <w:bookmarkEnd w:id="44"/>
      <w:r w:rsidRPr="00BD54D8">
        <w:rPr>
          <w:b/>
          <w:strike/>
          <w:color w:val="000000" w:themeColor="text1"/>
          <w:sz w:val="22"/>
          <w:szCs w:val="22"/>
        </w:rPr>
        <w:t>,</w:t>
      </w:r>
      <w:r w:rsidRPr="00BD54D8">
        <w:rPr>
          <w:b/>
          <w:color w:val="000000" w:themeColor="text1"/>
          <w:sz w:val="22"/>
          <w:szCs w:val="22"/>
        </w:rPr>
        <w:t xml:space="preserve"> </w:t>
      </w:r>
      <w:r w:rsidRPr="00BD54D8">
        <w:rPr>
          <w:b/>
          <w:strike/>
          <w:color w:val="000000" w:themeColor="text1"/>
          <w:sz w:val="22"/>
          <w:szCs w:val="22"/>
        </w:rPr>
        <w:t>nonché</w:t>
      </w:r>
      <w:r w:rsidRPr="00BD54D8">
        <w:rPr>
          <w:bCs/>
          <w:color w:val="000000" w:themeColor="text1"/>
          <w:sz w:val="22"/>
          <w:szCs w:val="22"/>
        </w:rPr>
        <w:t xml:space="preserve"> </w:t>
      </w:r>
      <w:r w:rsidR="000B7948" w:rsidRPr="00BD54D8">
        <w:rPr>
          <w:b/>
          <w:color w:val="000000" w:themeColor="text1"/>
          <w:sz w:val="22"/>
          <w:szCs w:val="22"/>
        </w:rPr>
        <w:t xml:space="preserve">e </w:t>
      </w:r>
      <w:r w:rsidRPr="00BD54D8">
        <w:rPr>
          <w:bCs/>
          <w:color w:val="000000" w:themeColor="text1"/>
          <w:sz w:val="22"/>
          <w:szCs w:val="22"/>
        </w:rPr>
        <w:t>122.</w:t>
      </w:r>
    </w:p>
    <w:p w14:paraId="55ED96D2" w14:textId="77777777"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rStyle w:val="normaltextrun"/>
          <w:bCs/>
          <w:color w:val="000000" w:themeColor="text1"/>
          <w:sz w:val="22"/>
          <w:szCs w:val="22"/>
        </w:rPr>
        <w:t>4. Le imprese pubbliche e i soggetti titolari di diritti speciali o esclusivi hanno facoltà di adottare propri atti, con i quali possono in via preventiva:</w:t>
      </w:r>
    </w:p>
    <w:p w14:paraId="26A18793"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i/>
          <w:iCs/>
          <w:color w:val="000000" w:themeColor="text1"/>
          <w:sz w:val="22"/>
          <w:szCs w:val="22"/>
        </w:rPr>
        <w:t>a</w:t>
      </w:r>
      <w:r w:rsidRPr="004A5029">
        <w:rPr>
          <w:rStyle w:val="normaltextrun"/>
          <w:color w:val="000000" w:themeColor="text1"/>
          <w:sz w:val="22"/>
          <w:szCs w:val="22"/>
        </w:rPr>
        <w:t>) istituire e gestire sistemi di qualificazione degli operatori economici;</w:t>
      </w:r>
    </w:p>
    <w:p w14:paraId="14D06835"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i/>
          <w:iCs/>
          <w:color w:val="000000" w:themeColor="text1"/>
          <w:sz w:val="22"/>
          <w:szCs w:val="22"/>
        </w:rPr>
        <w:t>b</w:t>
      </w:r>
      <w:r w:rsidRPr="004A5029">
        <w:rPr>
          <w:rStyle w:val="normaltextrun"/>
          <w:color w:val="000000" w:themeColor="text1"/>
          <w:sz w:val="22"/>
          <w:szCs w:val="22"/>
        </w:rPr>
        <w:t>) prevedere una disciplina di adattamento delle funzioni del RUP alla propria organizzazione;</w:t>
      </w:r>
    </w:p>
    <w:p w14:paraId="07C3DE27"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i/>
          <w:iCs/>
          <w:color w:val="000000" w:themeColor="text1"/>
          <w:sz w:val="22"/>
          <w:szCs w:val="22"/>
        </w:rPr>
        <w:t>c</w:t>
      </w:r>
      <w:r w:rsidRPr="004A5029">
        <w:rPr>
          <w:rStyle w:val="normaltextrun"/>
          <w:color w:val="000000" w:themeColor="text1"/>
          <w:sz w:val="22"/>
          <w:szCs w:val="22"/>
        </w:rPr>
        <w:t>) specificare la nozione di variante in corso d’opera in funzione delle esigenze proprie del mercato di appartenenza e delle caratteristiche di ciascun settore, nel rispetto dei principi e delle norme di diritto dell’Unione europea.</w:t>
      </w:r>
    </w:p>
    <w:p w14:paraId="18309996" w14:textId="77777777" w:rsidR="00427A36" w:rsidRPr="004A5029" w:rsidRDefault="00427A36" w:rsidP="00427A36">
      <w:pPr>
        <w:pStyle w:val="paragraph"/>
        <w:spacing w:before="0" w:beforeAutospacing="0" w:after="160" w:afterAutospacing="0" w:line="259" w:lineRule="auto"/>
        <w:jc w:val="both"/>
        <w:textAlignment w:val="baseline"/>
        <w:rPr>
          <w:rStyle w:val="normaltextrun"/>
          <w:i/>
          <w:iCs/>
          <w:color w:val="000000" w:themeColor="text1"/>
          <w:sz w:val="22"/>
          <w:szCs w:val="22"/>
        </w:rPr>
      </w:pPr>
      <w:r w:rsidRPr="004A5029">
        <w:rPr>
          <w:rStyle w:val="normaltextrun"/>
          <w:bCs/>
          <w:color w:val="000000" w:themeColor="text1"/>
          <w:sz w:val="22"/>
          <w:szCs w:val="22"/>
        </w:rPr>
        <w:t xml:space="preserve">5. Le </w:t>
      </w:r>
      <w:r w:rsidRPr="004A5029">
        <w:rPr>
          <w:bCs/>
          <w:color w:val="000000" w:themeColor="text1"/>
          <w:sz w:val="22"/>
          <w:szCs w:val="22"/>
        </w:rPr>
        <w:t xml:space="preserve">stazioni appaltanti o gli enti concedenti </w:t>
      </w:r>
      <w:r w:rsidRPr="004A5029">
        <w:rPr>
          <w:rStyle w:val="normaltextrun"/>
          <w:bCs/>
          <w:color w:val="000000" w:themeColor="text1"/>
          <w:sz w:val="22"/>
          <w:szCs w:val="22"/>
        </w:rPr>
        <w:t xml:space="preserve">possono determinare le dimensioni dell’oggetto dell’appalto e dei lotti in cui eventualmente suddividerlo, senza obbligo di motivazione aggravata e tenendo conto delle esigenze del settore speciale in cui operano. Nel caso di suddivisione in lotti, le </w:t>
      </w:r>
      <w:r w:rsidRPr="004A5029">
        <w:rPr>
          <w:bCs/>
          <w:color w:val="000000" w:themeColor="text1"/>
          <w:sz w:val="22"/>
          <w:szCs w:val="22"/>
        </w:rPr>
        <w:t>stazioni appaltanti o gli enti concedenti</w:t>
      </w:r>
      <w:r w:rsidRPr="004A5029">
        <w:rPr>
          <w:rStyle w:val="normaltextrun"/>
          <w:bCs/>
          <w:color w:val="000000" w:themeColor="text1"/>
          <w:sz w:val="22"/>
          <w:szCs w:val="22"/>
        </w:rPr>
        <w:t xml:space="preserve"> indicano nel bando di gara, nell’invito a confermare interesse o, quando il mezzo di indizione di gara è un avviso sull’esistenza di un sistema di qualificazione, nell’invito a presentare offerte o a negoziare, se le offerte possono essere presentate per uno, per più o per l’insieme dei lotti</w:t>
      </w:r>
      <w:r w:rsidRPr="004A5029">
        <w:rPr>
          <w:rStyle w:val="normaltextrun"/>
          <w:i/>
          <w:iCs/>
          <w:color w:val="000000" w:themeColor="text1"/>
          <w:sz w:val="22"/>
          <w:szCs w:val="22"/>
        </w:rPr>
        <w:t>.</w:t>
      </w:r>
    </w:p>
    <w:p w14:paraId="7673E5AE" w14:textId="77777777" w:rsidR="00427A36" w:rsidRPr="004A5029" w:rsidRDefault="00427A36" w:rsidP="00427A36">
      <w:pPr>
        <w:jc w:val="both"/>
        <w:rPr>
          <w:rFonts w:ascii="Times New Roman" w:hAnsi="Times New Roman" w:cs="Times New Roman"/>
          <w:color w:val="000000" w:themeColor="text1"/>
        </w:rPr>
      </w:pPr>
    </w:p>
    <w:p w14:paraId="5F6649E6"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142.</w:t>
      </w:r>
    </w:p>
    <w:p w14:paraId="3B045D2F"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color w:val="000000" w:themeColor="text1"/>
          <w:sz w:val="22"/>
          <w:szCs w:val="22"/>
        </w:rPr>
        <w:t>Joint venture</w:t>
      </w:r>
      <w:r w:rsidRPr="004A5029">
        <w:rPr>
          <w:rStyle w:val="normaltextrun"/>
          <w:i/>
          <w:iCs/>
          <w:color w:val="000000" w:themeColor="text1"/>
          <w:sz w:val="22"/>
          <w:szCs w:val="22"/>
        </w:rPr>
        <w:t xml:space="preserve"> e affidamenti a imprese collegate.</w:t>
      </w:r>
    </w:p>
    <w:p w14:paraId="554CDD95" w14:textId="77777777" w:rsidR="00427A36" w:rsidRPr="004A5029" w:rsidRDefault="00427A36" w:rsidP="00427A36">
      <w:pPr>
        <w:pStyle w:val="paragraph"/>
        <w:spacing w:before="0" w:beforeAutospacing="0" w:after="160" w:afterAutospacing="0" w:line="259" w:lineRule="auto"/>
        <w:jc w:val="both"/>
        <w:textAlignment w:val="baseline"/>
        <w:rPr>
          <w:rStyle w:val="normaltextrun"/>
          <w:i/>
          <w:iCs/>
          <w:color w:val="000000" w:themeColor="text1"/>
          <w:sz w:val="22"/>
          <w:szCs w:val="22"/>
        </w:rPr>
      </w:pPr>
      <w:r w:rsidRPr="004A5029">
        <w:rPr>
          <w:rStyle w:val="normaltextrun"/>
          <w:color w:val="000000" w:themeColor="text1"/>
          <w:sz w:val="22"/>
          <w:szCs w:val="22"/>
        </w:rPr>
        <w:t xml:space="preserve">1. Le disposizioni del codice non si applicano, quando ricorrano le condizioni di cui al comma 3, ai contratti aggiudicati: </w:t>
      </w:r>
    </w:p>
    <w:p w14:paraId="2E2C4B80"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i/>
          <w:iCs/>
          <w:color w:val="000000" w:themeColor="text1"/>
          <w:sz w:val="22"/>
          <w:szCs w:val="22"/>
        </w:rPr>
        <w:t>a</w:t>
      </w:r>
      <w:r w:rsidRPr="004A5029">
        <w:rPr>
          <w:rStyle w:val="normaltextrun"/>
          <w:color w:val="000000" w:themeColor="text1"/>
          <w:sz w:val="22"/>
          <w:szCs w:val="22"/>
        </w:rPr>
        <w:t xml:space="preserve">) da una </w:t>
      </w:r>
      <w:r w:rsidRPr="004A5029">
        <w:rPr>
          <w:rStyle w:val="normaltextrun"/>
          <w:i/>
          <w:iCs/>
          <w:color w:val="000000" w:themeColor="text1"/>
          <w:sz w:val="22"/>
          <w:szCs w:val="22"/>
        </w:rPr>
        <w:t>joint venture</w:t>
      </w:r>
      <w:r w:rsidRPr="004A5029">
        <w:rPr>
          <w:rStyle w:val="normaltextrun"/>
          <w:color w:val="000000" w:themeColor="text1"/>
          <w:sz w:val="22"/>
          <w:szCs w:val="22"/>
        </w:rPr>
        <w:t xml:space="preserve">, </w:t>
      </w:r>
      <w:r w:rsidRPr="004A5029">
        <w:rPr>
          <w:rStyle w:val="normaltextrun"/>
          <w:bCs/>
          <w:color w:val="000000" w:themeColor="text1"/>
          <w:sz w:val="22"/>
          <w:szCs w:val="22"/>
        </w:rPr>
        <w:t>composta esclusivamente da più stazioni appaltanti o enti concedenti</w:t>
      </w:r>
      <w:r w:rsidRPr="004A5029">
        <w:rPr>
          <w:rStyle w:val="normaltextrun"/>
          <w:color w:val="000000" w:themeColor="text1"/>
          <w:sz w:val="22"/>
          <w:szCs w:val="22"/>
        </w:rPr>
        <w:t xml:space="preserve"> per svolgere </w:t>
      </w:r>
      <w:r w:rsidRPr="004A5029">
        <w:rPr>
          <w:rStyle w:val="normaltextrun"/>
          <w:bCs/>
          <w:color w:val="000000" w:themeColor="text1"/>
          <w:sz w:val="22"/>
          <w:szCs w:val="22"/>
        </w:rPr>
        <w:t>una o più delle</w:t>
      </w:r>
      <w:r w:rsidRPr="004A5029">
        <w:rPr>
          <w:rStyle w:val="normaltextrun"/>
          <w:color w:val="000000" w:themeColor="text1"/>
          <w:sz w:val="22"/>
          <w:szCs w:val="22"/>
        </w:rPr>
        <w:t xml:space="preserve"> attività </w:t>
      </w:r>
      <w:r w:rsidRPr="004A5029">
        <w:rPr>
          <w:rStyle w:val="normaltextrun"/>
          <w:bCs/>
          <w:color w:val="000000" w:themeColor="text1"/>
          <w:sz w:val="22"/>
          <w:szCs w:val="22"/>
        </w:rPr>
        <w:t>di cui agli</w:t>
      </w:r>
      <w:r w:rsidRPr="004A5029">
        <w:rPr>
          <w:rStyle w:val="normaltextrun"/>
          <w:color w:val="000000" w:themeColor="text1"/>
          <w:sz w:val="22"/>
          <w:szCs w:val="22"/>
        </w:rPr>
        <w:t xml:space="preserve"> articoli da 146 a 152 e all’Allegato II alla direttiva 2014/23/UE del Parlamento europeo e del Consiglio, del 26 febbraio 2014, </w:t>
      </w:r>
      <w:r w:rsidRPr="004A5029">
        <w:rPr>
          <w:rStyle w:val="normaltextrun"/>
          <w:bCs/>
          <w:color w:val="000000" w:themeColor="text1"/>
          <w:sz w:val="22"/>
          <w:szCs w:val="22"/>
        </w:rPr>
        <w:t>a una di tali stazioni appaltanti o enti concedent</w:t>
      </w:r>
      <w:r w:rsidRPr="004A5029">
        <w:rPr>
          <w:bCs/>
          <w:color w:val="000000" w:themeColor="text1"/>
          <w:sz w:val="22"/>
          <w:szCs w:val="22"/>
        </w:rPr>
        <w:t>i;</w:t>
      </w:r>
    </w:p>
    <w:p w14:paraId="6AACD4B1"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shd w:val="clear" w:color="auto" w:fill="FFFFFF"/>
        </w:rPr>
      </w:pPr>
      <w:r w:rsidRPr="004A5029">
        <w:rPr>
          <w:rStyle w:val="normaltextrun"/>
          <w:i/>
          <w:iCs/>
          <w:color w:val="000000" w:themeColor="text1"/>
          <w:sz w:val="22"/>
          <w:szCs w:val="22"/>
        </w:rPr>
        <w:t>b</w:t>
      </w:r>
      <w:r w:rsidRPr="004A5029">
        <w:rPr>
          <w:rStyle w:val="normaltextrun"/>
          <w:color w:val="000000" w:themeColor="text1"/>
          <w:sz w:val="22"/>
          <w:szCs w:val="22"/>
        </w:rPr>
        <w:t xml:space="preserve">) </w:t>
      </w:r>
      <w:r w:rsidRPr="004A5029">
        <w:rPr>
          <w:rStyle w:val="normaltextrun"/>
          <w:bCs/>
          <w:color w:val="000000" w:themeColor="text1"/>
          <w:sz w:val="22"/>
          <w:szCs w:val="22"/>
        </w:rPr>
        <w:t>da</w:t>
      </w:r>
      <w:r w:rsidRPr="004A5029">
        <w:rPr>
          <w:rStyle w:val="normaltextrun"/>
          <w:color w:val="000000" w:themeColor="text1"/>
          <w:sz w:val="22"/>
          <w:szCs w:val="22"/>
        </w:rPr>
        <w:t xml:space="preserve"> una </w:t>
      </w:r>
      <w:r w:rsidRPr="004A5029">
        <w:rPr>
          <w:rStyle w:val="normaltextrun"/>
          <w:bCs/>
          <w:color w:val="000000" w:themeColor="text1"/>
          <w:sz w:val="22"/>
          <w:szCs w:val="22"/>
        </w:rPr>
        <w:t>stazione appaltante o ente concedente</w:t>
      </w:r>
      <w:r w:rsidRPr="004A5029">
        <w:rPr>
          <w:rStyle w:val="normaltextrun"/>
          <w:color w:val="000000" w:themeColor="text1"/>
          <w:sz w:val="22"/>
          <w:szCs w:val="22"/>
        </w:rPr>
        <w:t xml:space="preserve"> alla </w:t>
      </w:r>
      <w:r w:rsidRPr="004A5029">
        <w:rPr>
          <w:rStyle w:val="normaltextrun"/>
          <w:i/>
          <w:iCs/>
          <w:color w:val="000000" w:themeColor="text1"/>
          <w:sz w:val="22"/>
          <w:szCs w:val="22"/>
        </w:rPr>
        <w:t xml:space="preserve">joint venture </w:t>
      </w:r>
      <w:r w:rsidRPr="004A5029">
        <w:rPr>
          <w:rStyle w:val="normaltextrun"/>
          <w:color w:val="000000" w:themeColor="text1"/>
          <w:sz w:val="22"/>
          <w:szCs w:val="22"/>
        </w:rPr>
        <w:t>di cui fa parte.</w:t>
      </w:r>
    </w:p>
    <w:p w14:paraId="22E3FD33"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color w:val="000000" w:themeColor="text1"/>
          <w:sz w:val="22"/>
          <w:szCs w:val="22"/>
        </w:rPr>
        <w:t>2. Le disposizioni del codice non si applicano, altresì, se ricorrono le condizioni di cui al comma 4, ai contratti aggiudicati:</w:t>
      </w:r>
    </w:p>
    <w:p w14:paraId="42EC9017"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i/>
          <w:iCs/>
          <w:color w:val="000000" w:themeColor="text1"/>
          <w:sz w:val="22"/>
          <w:szCs w:val="22"/>
        </w:rPr>
        <w:t>a</w:t>
      </w:r>
      <w:r w:rsidRPr="004A5029">
        <w:rPr>
          <w:rStyle w:val="normaltextrun"/>
          <w:color w:val="000000" w:themeColor="text1"/>
          <w:sz w:val="22"/>
          <w:szCs w:val="22"/>
        </w:rPr>
        <w:t>) da una stazione appaltante o ente concedente a un’impresa collegata;</w:t>
      </w:r>
    </w:p>
    <w:p w14:paraId="4600BA3B"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bCs/>
          <w:i/>
          <w:iCs/>
          <w:color w:val="000000" w:themeColor="text1"/>
          <w:sz w:val="22"/>
          <w:szCs w:val="22"/>
        </w:rPr>
        <w:t>b</w:t>
      </w:r>
      <w:r w:rsidRPr="004A5029">
        <w:rPr>
          <w:rStyle w:val="normaltextrun"/>
          <w:bCs/>
          <w:color w:val="000000" w:themeColor="text1"/>
          <w:sz w:val="22"/>
          <w:szCs w:val="22"/>
        </w:rPr>
        <w:t xml:space="preserve">) da una </w:t>
      </w:r>
      <w:r w:rsidRPr="004A5029">
        <w:rPr>
          <w:rStyle w:val="normaltextrun"/>
          <w:bCs/>
          <w:i/>
          <w:iCs/>
          <w:color w:val="000000" w:themeColor="text1"/>
          <w:sz w:val="22"/>
          <w:szCs w:val="22"/>
        </w:rPr>
        <w:t>joint venture</w:t>
      </w:r>
      <w:r w:rsidRPr="004A5029">
        <w:rPr>
          <w:rStyle w:val="normaltextrun"/>
          <w:bCs/>
          <w:color w:val="000000" w:themeColor="text1"/>
          <w:sz w:val="22"/>
          <w:szCs w:val="22"/>
        </w:rPr>
        <w:t xml:space="preserve">, composta esclusivamente da più </w:t>
      </w:r>
      <w:r w:rsidRPr="004A5029">
        <w:rPr>
          <w:bCs/>
          <w:color w:val="000000" w:themeColor="text1"/>
          <w:sz w:val="22"/>
          <w:szCs w:val="22"/>
        </w:rPr>
        <w:t>stazioni appaltanti o enti concedenti</w:t>
      </w:r>
      <w:r w:rsidRPr="004A5029">
        <w:rPr>
          <w:rStyle w:val="normaltextrun"/>
          <w:bCs/>
          <w:color w:val="000000" w:themeColor="text1"/>
          <w:sz w:val="22"/>
          <w:szCs w:val="22"/>
        </w:rPr>
        <w:t xml:space="preserve"> per svolgere le attività di cui agli articoli da 146 a 152, a un’impresa collegata a una di tali </w:t>
      </w:r>
      <w:r w:rsidRPr="004A5029">
        <w:rPr>
          <w:bCs/>
          <w:color w:val="000000" w:themeColor="text1"/>
          <w:sz w:val="22"/>
          <w:szCs w:val="22"/>
        </w:rPr>
        <w:t>stazioni appaltanti o enti concedenti</w:t>
      </w:r>
      <w:r w:rsidRPr="004A5029">
        <w:rPr>
          <w:rStyle w:val="normaltextrun"/>
          <w:bCs/>
          <w:color w:val="000000" w:themeColor="text1"/>
          <w:sz w:val="22"/>
          <w:szCs w:val="22"/>
        </w:rPr>
        <w:t>.</w:t>
      </w:r>
    </w:p>
    <w:p w14:paraId="5EB547B3" w14:textId="77777777" w:rsidR="00427A36" w:rsidRPr="004A5029" w:rsidRDefault="00427A36" w:rsidP="00427A36">
      <w:pPr>
        <w:pStyle w:val="paragraph"/>
        <w:spacing w:before="0" w:beforeAutospacing="0" w:after="160" w:afterAutospacing="0" w:line="259" w:lineRule="auto"/>
        <w:jc w:val="both"/>
        <w:textAlignment w:val="baseline"/>
        <w:rPr>
          <w:rStyle w:val="normaltextrun"/>
          <w:bCs/>
          <w:color w:val="000000" w:themeColor="text1"/>
          <w:sz w:val="22"/>
          <w:szCs w:val="22"/>
        </w:rPr>
      </w:pPr>
      <w:r w:rsidRPr="004A5029">
        <w:rPr>
          <w:rStyle w:val="normaltextrun"/>
          <w:bCs/>
          <w:color w:val="000000" w:themeColor="text1"/>
          <w:sz w:val="22"/>
          <w:szCs w:val="22"/>
        </w:rPr>
        <w:t xml:space="preserve">3. La non applicabilità di cui al comma 1 opera a condizione che la </w:t>
      </w:r>
      <w:r w:rsidRPr="004A5029">
        <w:rPr>
          <w:rStyle w:val="normaltextrun"/>
          <w:bCs/>
          <w:i/>
          <w:iCs/>
          <w:color w:val="000000" w:themeColor="text1"/>
          <w:sz w:val="22"/>
          <w:szCs w:val="22"/>
        </w:rPr>
        <w:t xml:space="preserve">joint venture </w:t>
      </w:r>
      <w:r w:rsidRPr="004A5029">
        <w:rPr>
          <w:rStyle w:val="normaltextrun"/>
          <w:bCs/>
          <w:color w:val="000000" w:themeColor="text1"/>
          <w:sz w:val="22"/>
          <w:szCs w:val="22"/>
        </w:rPr>
        <w:t xml:space="preserve">sia stata costituita per lo svolgimento delle attività oggetto di affidamento per un periodo di almeno tre anni e che l’atto costitutivo preveda che le </w:t>
      </w:r>
      <w:r w:rsidRPr="004A5029">
        <w:rPr>
          <w:bCs/>
          <w:color w:val="000000" w:themeColor="text1"/>
          <w:sz w:val="22"/>
          <w:szCs w:val="22"/>
        </w:rPr>
        <w:t>stazioni appaltanti o gli enti concedenti</w:t>
      </w:r>
      <w:r w:rsidRPr="004A5029">
        <w:rPr>
          <w:rStyle w:val="normaltextrun"/>
          <w:bCs/>
          <w:color w:val="000000" w:themeColor="text1"/>
          <w:sz w:val="22"/>
          <w:szCs w:val="22"/>
        </w:rPr>
        <w:t xml:space="preserve"> che la compongano ne facciano parte per un periodo di pari durata.</w:t>
      </w:r>
    </w:p>
    <w:p w14:paraId="24DC887E"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bCs/>
          <w:color w:val="000000" w:themeColor="text1"/>
          <w:sz w:val="22"/>
          <w:szCs w:val="22"/>
        </w:rPr>
        <w:t>4.  La non applicabilità di cui al comma 2</w:t>
      </w:r>
      <w:r w:rsidRPr="004A5029">
        <w:rPr>
          <w:rStyle w:val="normaltextrun"/>
          <w:color w:val="000000" w:themeColor="text1"/>
          <w:sz w:val="22"/>
          <w:szCs w:val="22"/>
        </w:rPr>
        <w:t xml:space="preserve"> opera per gli appalti e concessioni di servizi e di lavori </w:t>
      </w:r>
      <w:r w:rsidRPr="004A5029">
        <w:rPr>
          <w:rFonts w:eastAsia="Calibri"/>
          <w:color w:val="000000" w:themeColor="text1"/>
          <w:sz w:val="22"/>
          <w:szCs w:val="22"/>
        </w:rPr>
        <w:t>e per gli</w:t>
      </w:r>
      <w:r w:rsidRPr="004A5029">
        <w:rPr>
          <w:rStyle w:val="normaltextrun"/>
          <w:color w:val="000000" w:themeColor="text1"/>
          <w:sz w:val="22"/>
          <w:szCs w:val="22"/>
        </w:rPr>
        <w:t xml:space="preserve"> appalti di forniture, purché almeno l’80 per cento del fatturato totale realizzato in media dall’impresa collegata </w:t>
      </w:r>
      <w:r w:rsidRPr="004A5029">
        <w:rPr>
          <w:rStyle w:val="normaltextrun"/>
          <w:bCs/>
          <w:color w:val="000000" w:themeColor="text1"/>
          <w:sz w:val="22"/>
          <w:szCs w:val="22"/>
        </w:rPr>
        <w:t>nell’ultimo triennio</w:t>
      </w:r>
      <w:r w:rsidRPr="004A5029">
        <w:rPr>
          <w:rStyle w:val="normaltextrun"/>
          <w:color w:val="000000" w:themeColor="text1"/>
          <w:sz w:val="22"/>
          <w:szCs w:val="22"/>
        </w:rPr>
        <w:t>, tenendo conto di tutti i lavori, i servizi e le forniture prestate, provenga dalle prestazioni rese alla stazione appaltante o all’ente concedente o alle altre imprese cui è collegata.</w:t>
      </w:r>
    </w:p>
    <w:p w14:paraId="665A1F53"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bCs/>
          <w:color w:val="000000" w:themeColor="text1"/>
          <w:sz w:val="22"/>
          <w:szCs w:val="22"/>
        </w:rPr>
        <w:t>5.</w:t>
      </w:r>
      <w:r w:rsidRPr="004A5029">
        <w:rPr>
          <w:rStyle w:val="normaltextrun"/>
          <w:color w:val="000000" w:themeColor="text1"/>
          <w:sz w:val="22"/>
          <w:szCs w:val="22"/>
        </w:rPr>
        <w:t xml:space="preserve"> Se, a causa della data della costituzione o di inizio dell’attività dell’impresa collegata, il fatturato degli ultimi tre anni non è disponibile, </w:t>
      </w:r>
      <w:r w:rsidRPr="004A5029">
        <w:rPr>
          <w:rStyle w:val="normaltextrun"/>
          <w:bCs/>
          <w:color w:val="000000" w:themeColor="text1"/>
          <w:sz w:val="22"/>
          <w:szCs w:val="22"/>
        </w:rPr>
        <w:t>è sufficiente che l’impresa dimostri</w:t>
      </w:r>
      <w:r w:rsidRPr="004A5029">
        <w:rPr>
          <w:rStyle w:val="normaltextrun"/>
          <w:color w:val="000000" w:themeColor="text1"/>
          <w:sz w:val="22"/>
          <w:szCs w:val="22"/>
        </w:rPr>
        <w:t>, in base a proiezioni dell’attività, che probabilmente realizzerà il fatturato di cui al comma</w:t>
      </w:r>
      <w:r w:rsidRPr="004A5029">
        <w:rPr>
          <w:rStyle w:val="normaltextrun"/>
          <w:bCs/>
          <w:color w:val="000000" w:themeColor="text1"/>
          <w:sz w:val="22"/>
          <w:szCs w:val="22"/>
        </w:rPr>
        <w:t xml:space="preserve"> 4.</w:t>
      </w:r>
    </w:p>
    <w:p w14:paraId="3B4C0BBA"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bCs/>
          <w:color w:val="000000" w:themeColor="text1"/>
          <w:sz w:val="22"/>
          <w:szCs w:val="22"/>
        </w:rPr>
        <w:t>6.</w:t>
      </w:r>
      <w:r w:rsidRPr="004A5029">
        <w:rPr>
          <w:rStyle w:val="normaltextrun"/>
          <w:color w:val="000000" w:themeColor="text1"/>
          <w:sz w:val="22"/>
          <w:szCs w:val="22"/>
        </w:rPr>
        <w:t xml:space="preserve"> Se più imprese collegate alla</w:t>
      </w:r>
      <w:r w:rsidRPr="004A5029">
        <w:rPr>
          <w:rStyle w:val="normaltextrun"/>
          <w:bCs/>
          <w:color w:val="000000" w:themeColor="text1"/>
          <w:sz w:val="22"/>
          <w:szCs w:val="22"/>
        </w:rPr>
        <w:t xml:space="preserve"> </w:t>
      </w:r>
      <w:r w:rsidRPr="004A5029">
        <w:rPr>
          <w:bCs/>
          <w:color w:val="000000" w:themeColor="text1"/>
          <w:sz w:val="22"/>
          <w:szCs w:val="22"/>
        </w:rPr>
        <w:t>stazione appaltante o a</w:t>
      </w:r>
      <w:r w:rsidRPr="004A5029">
        <w:rPr>
          <w:color w:val="000000" w:themeColor="text1"/>
          <w:sz w:val="22"/>
          <w:szCs w:val="22"/>
        </w:rPr>
        <w:t>ll’ente</w:t>
      </w:r>
      <w:r w:rsidRPr="004A5029">
        <w:rPr>
          <w:bCs/>
          <w:color w:val="000000" w:themeColor="text1"/>
          <w:sz w:val="22"/>
          <w:szCs w:val="22"/>
        </w:rPr>
        <w:t xml:space="preserve"> concedente</w:t>
      </w:r>
      <w:r w:rsidRPr="004A5029">
        <w:rPr>
          <w:rStyle w:val="normaltextrun"/>
          <w:color w:val="000000" w:themeColor="text1"/>
          <w:sz w:val="22"/>
          <w:szCs w:val="22"/>
        </w:rPr>
        <w:t xml:space="preserve"> con il quale formano un gruppo economico forniscono gli stessi o simili servizi, forniture o lavori, le percentuali sono calcolate tenendo conto del fatturato totale derivante dalla prestazione dei servizi o dall’esecuzione dei lavori, per ciascuna di tali imprese collegate.</w:t>
      </w:r>
    </w:p>
    <w:p w14:paraId="305E16B1"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color w:val="000000" w:themeColor="text1"/>
          <w:sz w:val="22"/>
          <w:szCs w:val="22"/>
        </w:rPr>
        <w:t>7. Su richiesta della Commissione europea, le</w:t>
      </w:r>
      <w:r w:rsidRPr="004A5029">
        <w:rPr>
          <w:rStyle w:val="normaltextrun"/>
          <w:bCs/>
          <w:iCs/>
          <w:color w:val="000000" w:themeColor="text1"/>
          <w:sz w:val="22"/>
          <w:szCs w:val="22"/>
        </w:rPr>
        <w:t xml:space="preserve"> </w:t>
      </w:r>
      <w:r w:rsidRPr="004A5029">
        <w:rPr>
          <w:bCs/>
          <w:iCs/>
          <w:color w:val="000000" w:themeColor="text1"/>
          <w:sz w:val="22"/>
          <w:szCs w:val="22"/>
        </w:rPr>
        <w:t>stazioni appaltanti e gli enti concedenti</w:t>
      </w:r>
      <w:r w:rsidRPr="004A5029">
        <w:rPr>
          <w:rStyle w:val="normaltextrun"/>
          <w:color w:val="000000" w:themeColor="text1"/>
          <w:sz w:val="22"/>
          <w:szCs w:val="22"/>
        </w:rPr>
        <w:t xml:space="preserve"> comunicano:</w:t>
      </w:r>
    </w:p>
    <w:p w14:paraId="402B6C07"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i/>
          <w:iCs/>
          <w:color w:val="000000" w:themeColor="text1"/>
          <w:sz w:val="22"/>
          <w:szCs w:val="22"/>
        </w:rPr>
        <w:t>a</w:t>
      </w:r>
      <w:r w:rsidRPr="004A5029">
        <w:rPr>
          <w:rStyle w:val="normaltextrun"/>
          <w:color w:val="000000" w:themeColor="text1"/>
          <w:sz w:val="22"/>
          <w:szCs w:val="22"/>
        </w:rPr>
        <w:t xml:space="preserve">) i nomi delle imprese o delle </w:t>
      </w:r>
      <w:r w:rsidRPr="004A5029">
        <w:rPr>
          <w:rStyle w:val="normaltextrun"/>
          <w:i/>
          <w:iCs/>
          <w:color w:val="000000" w:themeColor="text1"/>
          <w:sz w:val="22"/>
          <w:szCs w:val="22"/>
        </w:rPr>
        <w:t xml:space="preserve">joint venture </w:t>
      </w:r>
      <w:r w:rsidRPr="004A5029">
        <w:rPr>
          <w:rStyle w:val="normaltextrun"/>
          <w:color w:val="000000" w:themeColor="text1"/>
          <w:sz w:val="22"/>
          <w:szCs w:val="22"/>
        </w:rPr>
        <w:t>interessate;</w:t>
      </w:r>
    </w:p>
    <w:p w14:paraId="35036930"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i/>
          <w:iCs/>
          <w:color w:val="000000" w:themeColor="text1"/>
          <w:sz w:val="22"/>
          <w:szCs w:val="22"/>
        </w:rPr>
        <w:t>b</w:t>
      </w:r>
      <w:r w:rsidRPr="004A5029">
        <w:rPr>
          <w:rStyle w:val="normaltextrun"/>
          <w:color w:val="000000" w:themeColor="text1"/>
          <w:sz w:val="22"/>
          <w:szCs w:val="22"/>
        </w:rPr>
        <w:t>) la natura e il valore dei contratti considerati;</w:t>
      </w:r>
    </w:p>
    <w:p w14:paraId="2E3EE936" w14:textId="77777777" w:rsidR="00427A36" w:rsidRPr="004A5029" w:rsidRDefault="00427A36" w:rsidP="00427A36">
      <w:pPr>
        <w:pStyle w:val="paragraph"/>
        <w:spacing w:before="0" w:beforeAutospacing="0" w:after="160" w:afterAutospacing="0" w:line="259" w:lineRule="auto"/>
        <w:jc w:val="both"/>
        <w:textAlignment w:val="baseline"/>
        <w:rPr>
          <w:rStyle w:val="normaltextrun"/>
          <w:color w:val="000000" w:themeColor="text1"/>
          <w:sz w:val="22"/>
          <w:szCs w:val="22"/>
        </w:rPr>
      </w:pPr>
      <w:r w:rsidRPr="004A5029">
        <w:rPr>
          <w:rStyle w:val="normaltextrun"/>
          <w:i/>
          <w:iCs/>
          <w:color w:val="000000" w:themeColor="text1"/>
          <w:sz w:val="22"/>
          <w:szCs w:val="22"/>
        </w:rPr>
        <w:t>c</w:t>
      </w:r>
      <w:r w:rsidRPr="004A5029">
        <w:rPr>
          <w:rStyle w:val="normaltextrun"/>
          <w:color w:val="000000" w:themeColor="text1"/>
          <w:sz w:val="22"/>
          <w:szCs w:val="22"/>
        </w:rPr>
        <w:t xml:space="preserve">) gli elementi che la Commissione europea richiede per provare che le relazioni tra la stazione appaltante o l’ente concedente e l’impresa o la </w:t>
      </w:r>
      <w:r w:rsidRPr="004A5029">
        <w:rPr>
          <w:rStyle w:val="normaltextrun"/>
          <w:i/>
          <w:iCs/>
          <w:color w:val="000000" w:themeColor="text1"/>
          <w:sz w:val="22"/>
          <w:szCs w:val="22"/>
        </w:rPr>
        <w:t>joint venture</w:t>
      </w:r>
      <w:r w:rsidRPr="004A5029">
        <w:rPr>
          <w:rStyle w:val="normaltextrun"/>
          <w:color w:val="000000" w:themeColor="text1"/>
          <w:sz w:val="22"/>
          <w:szCs w:val="22"/>
        </w:rPr>
        <w:t xml:space="preserve"> cui i contratti sono aggiudicati soddisfano i requisiti di cui al presente articolo.</w:t>
      </w:r>
    </w:p>
    <w:p w14:paraId="041D98D7" w14:textId="296EA55A" w:rsidR="00427A36" w:rsidRPr="004A5029" w:rsidRDefault="00427A36" w:rsidP="00427A36">
      <w:pPr>
        <w:jc w:val="both"/>
        <w:rPr>
          <w:rFonts w:ascii="Times New Roman" w:hAnsi="Times New Roman" w:cs="Times New Roman"/>
          <w:color w:val="000000" w:themeColor="text1"/>
        </w:rPr>
      </w:pPr>
    </w:p>
    <w:p w14:paraId="14CA3268" w14:textId="2BFC88EA" w:rsidR="00600CEA" w:rsidRPr="004A5029" w:rsidRDefault="00600CEA" w:rsidP="00427A36">
      <w:pPr>
        <w:jc w:val="both"/>
        <w:rPr>
          <w:rFonts w:ascii="Times New Roman" w:hAnsi="Times New Roman" w:cs="Times New Roman"/>
          <w:color w:val="000000" w:themeColor="text1"/>
        </w:rPr>
      </w:pPr>
    </w:p>
    <w:p w14:paraId="121D3747" w14:textId="77777777" w:rsidR="00600CEA" w:rsidRPr="004A5029" w:rsidRDefault="00600CEA" w:rsidP="00427A36">
      <w:pPr>
        <w:jc w:val="both"/>
        <w:rPr>
          <w:rFonts w:ascii="Times New Roman" w:hAnsi="Times New Roman" w:cs="Times New Roman"/>
          <w:color w:val="000000" w:themeColor="text1"/>
        </w:rPr>
      </w:pPr>
    </w:p>
    <w:p w14:paraId="1F320EB9"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143.</w:t>
      </w:r>
    </w:p>
    <w:p w14:paraId="0B355676"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Attività esposte direttamente alla concorrenza.</w:t>
      </w:r>
    </w:p>
    <w:p w14:paraId="422D0430"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eop"/>
          <w:bCs/>
          <w:color w:val="000000" w:themeColor="text1"/>
          <w:sz w:val="22"/>
          <w:szCs w:val="22"/>
        </w:rPr>
        <w:t xml:space="preserve">1. </w:t>
      </w:r>
      <w:r w:rsidRPr="004A5029">
        <w:rPr>
          <w:color w:val="000000" w:themeColor="text1"/>
          <w:sz w:val="22"/>
          <w:szCs w:val="22"/>
        </w:rPr>
        <w:t xml:space="preserve"> Le disposizioni del codice non si applicano ai contratti per svolgere un’attività di cui</w:t>
      </w:r>
      <w:r w:rsidRPr="004A5029">
        <w:rPr>
          <w:rStyle w:val="eop"/>
          <w:color w:val="000000" w:themeColor="text1"/>
          <w:sz w:val="22"/>
          <w:szCs w:val="22"/>
        </w:rPr>
        <w:t xml:space="preserve"> agli articoli da 146 a 152 se l’attività è direttamente esposta alla concorrenza su mercati liberamente accessibili. L'attività può costituire parte di un settore più ampio o essere esercitata unicamente in determinate parti del territorio nazionale.</w:t>
      </w:r>
    </w:p>
    <w:p w14:paraId="693D84DB" w14:textId="37D1EE6C" w:rsidR="00427A36" w:rsidRPr="004A5029" w:rsidRDefault="00427A36" w:rsidP="00427A36">
      <w:pPr>
        <w:pStyle w:val="paragraph"/>
        <w:spacing w:before="0" w:beforeAutospacing="0" w:after="160" w:afterAutospacing="0" w:line="259" w:lineRule="auto"/>
        <w:jc w:val="both"/>
        <w:textAlignment w:val="baseline"/>
        <w:rPr>
          <w:rStyle w:val="eop"/>
          <w:bCs/>
          <w:color w:val="000000" w:themeColor="text1"/>
          <w:sz w:val="22"/>
          <w:szCs w:val="22"/>
        </w:rPr>
      </w:pPr>
      <w:r w:rsidRPr="004A5029">
        <w:rPr>
          <w:rStyle w:val="eop"/>
          <w:bCs/>
          <w:color w:val="000000" w:themeColor="text1"/>
          <w:sz w:val="22"/>
          <w:szCs w:val="22"/>
        </w:rPr>
        <w:t>2. La valutazione dell’esposizione</w:t>
      </w:r>
      <w:r w:rsidRPr="004A5029">
        <w:rPr>
          <w:rStyle w:val="eop"/>
          <w:color w:val="000000" w:themeColor="text1"/>
          <w:sz w:val="22"/>
          <w:szCs w:val="22"/>
        </w:rPr>
        <w:t xml:space="preserve"> </w:t>
      </w:r>
      <w:r w:rsidRPr="004A5029">
        <w:rPr>
          <w:rStyle w:val="eop"/>
          <w:bCs/>
          <w:color w:val="000000" w:themeColor="text1"/>
          <w:sz w:val="22"/>
          <w:szCs w:val="22"/>
        </w:rPr>
        <w:t>alla concorrenza</w:t>
      </w:r>
      <w:r w:rsidRPr="004A5029">
        <w:rPr>
          <w:rStyle w:val="eop"/>
          <w:color w:val="000000" w:themeColor="text1"/>
          <w:sz w:val="22"/>
          <w:szCs w:val="22"/>
        </w:rPr>
        <w:t xml:space="preserve"> </w:t>
      </w:r>
      <w:r w:rsidRPr="004A5029">
        <w:rPr>
          <w:rStyle w:val="eop"/>
          <w:bCs/>
          <w:color w:val="000000" w:themeColor="text1"/>
          <w:sz w:val="22"/>
          <w:szCs w:val="22"/>
        </w:rPr>
        <w:t xml:space="preserve">ai fini del comma 1 </w:t>
      </w:r>
      <w:r w:rsidR="00E07A23" w:rsidRPr="004A5029">
        <w:rPr>
          <w:rStyle w:val="eop"/>
          <w:bCs/>
          <w:color w:val="000000" w:themeColor="text1"/>
          <w:sz w:val="22"/>
          <w:szCs w:val="22"/>
        </w:rPr>
        <w:t>è</w:t>
      </w:r>
      <w:r w:rsidRPr="004A5029">
        <w:rPr>
          <w:rStyle w:val="eop"/>
          <w:bCs/>
          <w:color w:val="000000" w:themeColor="text1"/>
          <w:sz w:val="22"/>
          <w:szCs w:val="22"/>
        </w:rPr>
        <w:t xml:space="preserve"> effettuata dalla Commissione europea, tenendo conto del mercato delle attività in questione e del mercato geografico di riferimento, ai sensi dei commi 3 e 4.  </w:t>
      </w:r>
      <w:r w:rsidRPr="004A5029">
        <w:rPr>
          <w:color w:val="000000" w:themeColor="text1"/>
          <w:sz w:val="22"/>
          <w:szCs w:val="22"/>
        </w:rPr>
        <w:t>Resta</w:t>
      </w:r>
      <w:r w:rsidRPr="004A5029">
        <w:rPr>
          <w:rStyle w:val="eop"/>
          <w:bCs/>
          <w:color w:val="000000" w:themeColor="text1"/>
          <w:sz w:val="22"/>
          <w:szCs w:val="22"/>
        </w:rPr>
        <w:t xml:space="preserve"> impregiudicata l'applicazione della normativa in materia di concorrenza</w:t>
      </w:r>
      <w:r w:rsidRPr="004A5029">
        <w:rPr>
          <w:rStyle w:val="eop"/>
          <w:color w:val="000000" w:themeColor="text1"/>
          <w:sz w:val="22"/>
          <w:szCs w:val="22"/>
        </w:rPr>
        <w:t>.</w:t>
      </w:r>
    </w:p>
    <w:p w14:paraId="7D4336D6" w14:textId="6C7A4CBB"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eop"/>
          <w:color w:val="000000" w:themeColor="text1"/>
          <w:sz w:val="22"/>
          <w:szCs w:val="22"/>
        </w:rPr>
        <w:t xml:space="preserve">3. Ai fini dei commi 1 </w:t>
      </w:r>
      <w:r w:rsidRPr="004A5029">
        <w:rPr>
          <w:rStyle w:val="eop"/>
          <w:bCs/>
          <w:color w:val="000000" w:themeColor="text1"/>
          <w:sz w:val="22"/>
          <w:szCs w:val="22"/>
        </w:rPr>
        <w:t>e 2</w:t>
      </w:r>
      <w:r w:rsidRPr="004A5029">
        <w:rPr>
          <w:rStyle w:val="eop"/>
          <w:color w:val="000000" w:themeColor="text1"/>
          <w:sz w:val="22"/>
          <w:szCs w:val="22"/>
        </w:rPr>
        <w:t xml:space="preserve">, per determinare se un'attività è direttamente esposta alla concorrenza si tiene conto di criteri conformi alle disposizioni del </w:t>
      </w:r>
      <w:r w:rsidRPr="004A5029">
        <w:rPr>
          <w:rStyle w:val="eop"/>
          <w:b/>
          <w:bCs/>
          <w:strike/>
          <w:color w:val="000000" w:themeColor="text1"/>
          <w:sz w:val="22"/>
          <w:szCs w:val="22"/>
        </w:rPr>
        <w:t>t</w:t>
      </w:r>
      <w:r w:rsidR="006671FC" w:rsidRPr="004A5029">
        <w:rPr>
          <w:rStyle w:val="eop"/>
          <w:b/>
          <w:bCs/>
          <w:color w:val="000000" w:themeColor="text1"/>
          <w:sz w:val="22"/>
          <w:szCs w:val="22"/>
        </w:rPr>
        <w:t>T</w:t>
      </w:r>
      <w:r w:rsidRPr="004A5029">
        <w:rPr>
          <w:rStyle w:val="eop"/>
          <w:color w:val="000000" w:themeColor="text1"/>
          <w:sz w:val="22"/>
          <w:szCs w:val="22"/>
        </w:rPr>
        <w:t>rattato sul funzionamento dell’Unione europea in materia di concorrenza, tra i quali le caratteristiche dei prodotti o servizi interessati, l'esistenza di prodotti o servizi alternativi considerati sostituibili sul versante della domanda o dell'offerta, i prezzi e la presenza, effettiva o potenziale, di più fornitori dei prodotti o servizi in questione.</w:t>
      </w:r>
    </w:p>
    <w:p w14:paraId="5C071CEF" w14:textId="5876F246"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eop"/>
          <w:color w:val="000000" w:themeColor="text1"/>
          <w:sz w:val="22"/>
          <w:szCs w:val="22"/>
        </w:rPr>
        <w:t xml:space="preserve">4. Il mercato geografico di riferimento, sulla cui base viene valutata l'esposizione alla concorrenza, è costituito dal territorio dove le imprese interessate intervengono nell'offerta e nella domanda di prodotti e di servizi, e nel quale le condizioni di concorrenza sono sufficientemente omogenee. Esso può essere distinto dai territori vicini, in particolare per condizioni di concorrenza sensibilmente diverse da quelle che prevalgono in quei territori. </w:t>
      </w:r>
      <w:r w:rsidRPr="004A5029">
        <w:rPr>
          <w:rFonts w:eastAsia="Calibri"/>
          <w:color w:val="000000" w:themeColor="text1"/>
          <w:sz w:val="22"/>
          <w:szCs w:val="22"/>
        </w:rPr>
        <w:t xml:space="preserve"> La</w:t>
      </w:r>
      <w:r w:rsidRPr="004A5029">
        <w:rPr>
          <w:rStyle w:val="eop"/>
          <w:color w:val="000000" w:themeColor="text1"/>
          <w:sz w:val="22"/>
          <w:szCs w:val="22"/>
        </w:rPr>
        <w:t xml:space="preserve"> valutazione tiene conto, in particolare, della natura e delle caratteristiche dei prodotti o servizi in questione, dell'esistenza di ostacoli all'entrata o di preferenze dei consumatori, nonché dell'esistenza di differenze notevoli sotto il profilo delle quote di mercato delle imprese o di differenze sostanziali a livello di prezzi.</w:t>
      </w:r>
    </w:p>
    <w:p w14:paraId="4711AB67" w14:textId="561B9719" w:rsidR="00427A36" w:rsidRPr="004A5029" w:rsidRDefault="00427A36" w:rsidP="00427A36">
      <w:pPr>
        <w:pStyle w:val="paragraph"/>
        <w:spacing w:before="0" w:beforeAutospacing="0" w:after="160" w:afterAutospacing="0" w:line="259" w:lineRule="auto"/>
        <w:jc w:val="both"/>
        <w:textAlignment w:val="baseline"/>
        <w:rPr>
          <w:rFonts w:eastAsia="Calibri"/>
          <w:bCs/>
          <w:color w:val="000000" w:themeColor="text1"/>
          <w:sz w:val="22"/>
          <w:szCs w:val="22"/>
        </w:rPr>
      </w:pPr>
      <w:r w:rsidRPr="004A5029">
        <w:rPr>
          <w:rStyle w:val="eop"/>
          <w:color w:val="000000" w:themeColor="text1"/>
          <w:sz w:val="22"/>
          <w:szCs w:val="22"/>
        </w:rPr>
        <w:t xml:space="preserve">5. Ai fini del comma 1 sono mercati liberamente accessibili quelli indicati nell’allegato </w:t>
      </w:r>
      <w:r w:rsidRPr="004A5029">
        <w:rPr>
          <w:rStyle w:val="eop"/>
          <w:bCs/>
          <w:color w:val="000000" w:themeColor="text1"/>
          <w:sz w:val="22"/>
          <w:szCs w:val="22"/>
        </w:rPr>
        <w:t>III alla direttiva 2014/25/UE del Parlamento europeo e del Consiglio, del 26 febbraio 2014, per i</w:t>
      </w:r>
      <w:r w:rsidRPr="004A5029">
        <w:rPr>
          <w:rStyle w:val="eop"/>
          <w:color w:val="000000" w:themeColor="text1"/>
          <w:sz w:val="22"/>
          <w:szCs w:val="22"/>
        </w:rPr>
        <w:t xml:space="preserve"> quali sono stati adottati i provvedimenti attuativi. Se non è possibile presumere il libero accesso a un mercato in base al p</w:t>
      </w:r>
      <w:r w:rsidR="00D80B5B" w:rsidRPr="004A5029">
        <w:rPr>
          <w:rStyle w:val="eop"/>
          <w:color w:val="000000" w:themeColor="text1"/>
          <w:sz w:val="22"/>
          <w:szCs w:val="22"/>
        </w:rPr>
        <w:t xml:space="preserve">rimo </w:t>
      </w:r>
      <w:r w:rsidRPr="004A5029">
        <w:rPr>
          <w:rStyle w:val="eop"/>
          <w:color w:val="000000" w:themeColor="text1"/>
          <w:sz w:val="22"/>
          <w:szCs w:val="22"/>
        </w:rPr>
        <w:t>periodo, si deve dimostrare che l'accesso al mercato in questione è libero di fatto e di diritto.</w:t>
      </w:r>
      <w:r w:rsidRPr="004A5029">
        <w:rPr>
          <w:rFonts w:eastAsia="Calibri"/>
          <w:bCs/>
          <w:color w:val="000000" w:themeColor="text1"/>
          <w:sz w:val="22"/>
          <w:szCs w:val="22"/>
        </w:rPr>
        <w:t xml:space="preserve"> </w:t>
      </w:r>
    </w:p>
    <w:p w14:paraId="24E853CD" w14:textId="0D00F6C1"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color w:val="000000" w:themeColor="text1"/>
          <w:sz w:val="22"/>
          <w:szCs w:val="22"/>
        </w:rPr>
        <w:t xml:space="preserve">6. Quando, sulla base delle condizioni di cui ai commi 3, 4 </w:t>
      </w:r>
      <w:r w:rsidRPr="004A5029">
        <w:rPr>
          <w:rStyle w:val="eop"/>
          <w:bCs/>
          <w:color w:val="000000" w:themeColor="text1"/>
          <w:sz w:val="22"/>
          <w:szCs w:val="22"/>
        </w:rPr>
        <w:t>e 5,</w:t>
      </w:r>
      <w:r w:rsidRPr="004A5029">
        <w:rPr>
          <w:rStyle w:val="eop"/>
          <w:color w:val="000000" w:themeColor="text1"/>
          <w:sz w:val="22"/>
          <w:szCs w:val="22"/>
        </w:rPr>
        <w:t xml:space="preserve"> si ritiene che una determinata attività sia direttamente esposta alla concorrenza su mercati liberamente accessibili, il Presidente del Consiglio dei ministri, di concerto con il Ministro competente per settore, può richiedere alla Commissione europea di stabilire che le disposizioni del codice non si applichino all’aggiudicazione di appalti o all’organizzazione di concorsi di progettazione per il perseguimento dell’attività in questione, nonché alle concessioni; la Commissione </w:t>
      </w:r>
      <w:r w:rsidR="00E07A23" w:rsidRPr="004A5029">
        <w:rPr>
          <w:rStyle w:val="eop"/>
          <w:color w:val="000000" w:themeColor="text1"/>
          <w:sz w:val="22"/>
          <w:szCs w:val="22"/>
        </w:rPr>
        <w:t>è</w:t>
      </w:r>
      <w:r w:rsidRPr="004A5029">
        <w:rPr>
          <w:rStyle w:val="eop"/>
          <w:color w:val="000000" w:themeColor="text1"/>
          <w:sz w:val="22"/>
          <w:szCs w:val="22"/>
        </w:rPr>
        <w:t xml:space="preserve"> informata di tutte le circostanze pertinenti, in particolare delle disposizioni legislative, regolamentari o amministrative o degli accordi in relazione al rispetto delle condizioni di cui al comma 1, nonché delle eventuali determinazioni assunte al riguardo dalle Autorità indipendenti competenti. La richiesta può riguardare attività esercitate in un settore più ampio o in determinate parti del territorio nazionale, se del caso allegando la posizione adottata dalla competente Autorità indipendente.</w:t>
      </w:r>
    </w:p>
    <w:p w14:paraId="42A32ADF" w14:textId="77777777"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color w:val="000000" w:themeColor="text1"/>
          <w:sz w:val="22"/>
          <w:szCs w:val="22"/>
        </w:rPr>
        <w:t xml:space="preserve">7. Le stazioni appaltanti e gli enti concedenti possono chiedere alla Commissione europea di stabilire l’applicabilità del comma 1 a una determinata attività. Salvo che la richiesta sia corredata da una posizione motivata e giustificata, adottata dalla Autorità indipendente competente, che illustri in modo approfondito le condizioni per l'eventuale applicabilità del comma 1, a seguito dell’informazione data dalla Commissione in ordine alla richiesta, l’Autorità di cui al comma </w:t>
      </w:r>
      <w:r w:rsidRPr="004A5029">
        <w:rPr>
          <w:rStyle w:val="eop"/>
          <w:bCs/>
          <w:color w:val="000000" w:themeColor="text1"/>
          <w:sz w:val="22"/>
          <w:szCs w:val="22"/>
        </w:rPr>
        <w:t xml:space="preserve">6 </w:t>
      </w:r>
      <w:r w:rsidRPr="004A5029">
        <w:rPr>
          <w:rStyle w:val="eop"/>
          <w:color w:val="000000" w:themeColor="text1"/>
          <w:sz w:val="22"/>
          <w:szCs w:val="22"/>
        </w:rPr>
        <w:t xml:space="preserve">comunica alla Commissione le circostanze indicate nel predetto comma </w:t>
      </w:r>
      <w:r w:rsidRPr="004A5029">
        <w:rPr>
          <w:rStyle w:val="eop"/>
          <w:bCs/>
          <w:color w:val="000000" w:themeColor="text1"/>
          <w:sz w:val="22"/>
          <w:szCs w:val="22"/>
        </w:rPr>
        <w:t>1.</w:t>
      </w:r>
    </w:p>
    <w:p w14:paraId="07C1327C" w14:textId="77777777"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bCs/>
          <w:color w:val="000000" w:themeColor="text1"/>
          <w:sz w:val="22"/>
          <w:szCs w:val="22"/>
        </w:rPr>
        <w:t xml:space="preserve">8. Le disposizioni del codice non si applicano più ai contratti di cui al comma 1 se la Commissione europea: </w:t>
      </w:r>
    </w:p>
    <w:p w14:paraId="148B9ED3" w14:textId="77777777" w:rsidR="00427A36" w:rsidRPr="004A5029" w:rsidRDefault="00427A36" w:rsidP="00427A36">
      <w:pPr>
        <w:pStyle w:val="paragraph"/>
        <w:spacing w:before="0" w:beforeAutospacing="0" w:after="160" w:afterAutospacing="0" w:line="259" w:lineRule="auto"/>
        <w:jc w:val="both"/>
        <w:textAlignment w:val="baseline"/>
        <w:rPr>
          <w:rStyle w:val="eop"/>
          <w:bCs/>
          <w:color w:val="000000" w:themeColor="text1"/>
          <w:sz w:val="22"/>
          <w:szCs w:val="22"/>
        </w:rPr>
      </w:pPr>
      <w:r w:rsidRPr="004A5029">
        <w:rPr>
          <w:rStyle w:val="eop"/>
          <w:i/>
          <w:iCs/>
          <w:color w:val="000000" w:themeColor="text1"/>
          <w:sz w:val="22"/>
          <w:szCs w:val="22"/>
        </w:rPr>
        <w:t>a</w:t>
      </w:r>
      <w:r w:rsidRPr="004A5029">
        <w:rPr>
          <w:rStyle w:val="eop"/>
          <w:color w:val="000000" w:themeColor="text1"/>
          <w:sz w:val="22"/>
          <w:szCs w:val="22"/>
        </w:rPr>
        <w:t xml:space="preserve">) ha adottato un atto di esecuzione che stabilisce l'applicabilità del comma 1 entro il termine previsto dall’allegato </w:t>
      </w:r>
      <w:r w:rsidRPr="004A5029">
        <w:rPr>
          <w:rStyle w:val="eop"/>
          <w:bCs/>
          <w:color w:val="000000" w:themeColor="text1"/>
          <w:sz w:val="22"/>
          <w:szCs w:val="22"/>
        </w:rPr>
        <w:t>IV della direttiva 2014/25/UE</w:t>
      </w:r>
      <w:r w:rsidRPr="004A5029">
        <w:rPr>
          <w:rStyle w:val="eop"/>
          <w:b/>
          <w:strike/>
          <w:color w:val="000000" w:themeColor="text1"/>
          <w:sz w:val="22"/>
          <w:szCs w:val="22"/>
        </w:rPr>
        <w:t xml:space="preserve"> del Parlamento europeo e del Consiglio, del 26 febbraio 2014</w:t>
      </w:r>
      <w:r w:rsidRPr="004A5029">
        <w:rPr>
          <w:rStyle w:val="eop"/>
          <w:bCs/>
          <w:color w:val="000000" w:themeColor="text1"/>
          <w:sz w:val="22"/>
          <w:szCs w:val="22"/>
        </w:rPr>
        <w:t>;</w:t>
      </w:r>
    </w:p>
    <w:p w14:paraId="1EC42866" w14:textId="77777777"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i/>
          <w:iCs/>
          <w:color w:val="000000" w:themeColor="text1"/>
          <w:sz w:val="22"/>
          <w:szCs w:val="22"/>
        </w:rPr>
        <w:t>b</w:t>
      </w:r>
      <w:r w:rsidRPr="004A5029">
        <w:rPr>
          <w:rStyle w:val="eop"/>
          <w:color w:val="000000" w:themeColor="text1"/>
          <w:sz w:val="22"/>
          <w:szCs w:val="22"/>
        </w:rPr>
        <w:t>) non ha adottato l’atto di esecuzione entro il termine previsto dall’allegato di cui alla lettera a).</w:t>
      </w:r>
    </w:p>
    <w:p w14:paraId="35BDC1AA" w14:textId="77777777"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color w:val="000000" w:themeColor="text1"/>
          <w:sz w:val="22"/>
          <w:szCs w:val="22"/>
        </w:rPr>
        <w:t xml:space="preserve">9. La richiesta presentata a norma dei commi </w:t>
      </w:r>
      <w:r w:rsidRPr="004A5029">
        <w:rPr>
          <w:rStyle w:val="eop"/>
          <w:bCs/>
          <w:color w:val="000000" w:themeColor="text1"/>
          <w:sz w:val="22"/>
          <w:szCs w:val="22"/>
        </w:rPr>
        <w:t>6 e 7</w:t>
      </w:r>
      <w:r w:rsidRPr="004A5029">
        <w:rPr>
          <w:rStyle w:val="eop"/>
          <w:color w:val="000000" w:themeColor="text1"/>
          <w:sz w:val="22"/>
          <w:szCs w:val="22"/>
        </w:rPr>
        <w:t xml:space="preserve"> può essere modificata, con il consenso della Commissione europea, in particolare per quanto riguarda le attività o l'area geografica interessate. In tal caso, per l'adozione dell’atto di esecuzione di cui al comma </w:t>
      </w:r>
      <w:r w:rsidRPr="004A5029">
        <w:rPr>
          <w:rStyle w:val="eop"/>
          <w:bCs/>
          <w:color w:val="000000" w:themeColor="text1"/>
          <w:sz w:val="22"/>
          <w:szCs w:val="22"/>
        </w:rPr>
        <w:t>8</w:t>
      </w:r>
      <w:r w:rsidRPr="004A5029">
        <w:rPr>
          <w:rStyle w:val="eop"/>
          <w:color w:val="000000" w:themeColor="text1"/>
          <w:sz w:val="22"/>
          <w:szCs w:val="22"/>
        </w:rPr>
        <w:t xml:space="preserve">, si applica un nuovo termine, calcolato ai sensi del paragrafo 1 dell'allegato </w:t>
      </w:r>
      <w:r w:rsidRPr="004A5029">
        <w:rPr>
          <w:rStyle w:val="eop"/>
          <w:bCs/>
          <w:color w:val="000000" w:themeColor="text1"/>
          <w:sz w:val="22"/>
          <w:szCs w:val="22"/>
        </w:rPr>
        <w:t>IV della direttiva 2014/25/UE</w:t>
      </w:r>
      <w:r w:rsidRPr="004A5029">
        <w:rPr>
          <w:rStyle w:val="eop"/>
          <w:bCs/>
          <w:strike/>
          <w:color w:val="000000" w:themeColor="text1"/>
          <w:sz w:val="22"/>
          <w:szCs w:val="22"/>
        </w:rPr>
        <w:t xml:space="preserve"> </w:t>
      </w:r>
      <w:r w:rsidRPr="004A5029">
        <w:rPr>
          <w:rStyle w:val="eop"/>
          <w:b/>
          <w:strike/>
          <w:color w:val="000000" w:themeColor="text1"/>
          <w:sz w:val="22"/>
          <w:szCs w:val="22"/>
        </w:rPr>
        <w:t>del Parlamento europeo e del Consiglio, del 26 febbraio 2014</w:t>
      </w:r>
      <w:r w:rsidRPr="004A5029">
        <w:rPr>
          <w:rStyle w:val="eop"/>
          <w:color w:val="000000" w:themeColor="text1"/>
          <w:sz w:val="22"/>
          <w:szCs w:val="22"/>
        </w:rPr>
        <w:t>, salvo che la Commissione europea concordi un termine più breve con l’Autorità o la stazione appaltante o l’ente concedente che ha presentato la richiesta.</w:t>
      </w:r>
    </w:p>
    <w:p w14:paraId="01DE74E9" w14:textId="77777777" w:rsidR="00427A36" w:rsidRPr="004A5029" w:rsidRDefault="00427A36" w:rsidP="00427A36">
      <w:pPr>
        <w:pStyle w:val="paragraph"/>
        <w:spacing w:before="0" w:beforeAutospacing="0" w:after="160" w:afterAutospacing="0" w:line="259" w:lineRule="auto"/>
        <w:jc w:val="both"/>
        <w:textAlignment w:val="baseline"/>
        <w:rPr>
          <w:rStyle w:val="eop"/>
          <w:color w:val="000000" w:themeColor="text1"/>
          <w:sz w:val="22"/>
          <w:szCs w:val="22"/>
        </w:rPr>
      </w:pPr>
      <w:r w:rsidRPr="004A5029">
        <w:rPr>
          <w:rStyle w:val="eop"/>
          <w:color w:val="000000" w:themeColor="text1"/>
          <w:sz w:val="22"/>
          <w:szCs w:val="22"/>
        </w:rPr>
        <w:t>10. Se un'attività è già oggetto di una procedura ai sensi dei commi 6, 7 e 9 le ulteriori richieste riguardanti la stessa attività, pervenute alla Commissione europea prima della scadenza del termine previsto per la prima domanda, non sono considerate come nuove procedure e sono esaminate nel quadro della prima richiesta.</w:t>
      </w:r>
    </w:p>
    <w:p w14:paraId="5AB7C0C5" w14:textId="77777777" w:rsidR="00427A36" w:rsidRPr="004A5029" w:rsidRDefault="00427A36" w:rsidP="00427A36">
      <w:pPr>
        <w:jc w:val="both"/>
        <w:rPr>
          <w:rFonts w:ascii="Times New Roman" w:hAnsi="Times New Roman" w:cs="Times New Roman"/>
          <w:color w:val="000000" w:themeColor="text1"/>
        </w:rPr>
      </w:pPr>
    </w:p>
    <w:p w14:paraId="098BC77C" w14:textId="77777777" w:rsidR="00427A36" w:rsidRPr="004A5029" w:rsidRDefault="00427A36" w:rsidP="00427A36">
      <w:pPr>
        <w:pStyle w:val="paragraph"/>
        <w:spacing w:before="0" w:beforeAutospacing="0" w:after="160" w:afterAutospacing="0" w:line="259" w:lineRule="auto"/>
        <w:jc w:val="both"/>
        <w:textAlignment w:val="baseline"/>
        <w:rPr>
          <w:rStyle w:val="normaltextrun"/>
          <w:b/>
          <w:bCs/>
          <w:color w:val="000000" w:themeColor="text1"/>
          <w:sz w:val="22"/>
          <w:szCs w:val="22"/>
        </w:rPr>
      </w:pPr>
      <w:r w:rsidRPr="004A5029">
        <w:rPr>
          <w:b/>
          <w:color w:val="000000" w:themeColor="text1"/>
          <w:sz w:val="22"/>
          <w:szCs w:val="22"/>
        </w:rPr>
        <w:t>Articolo 144.</w:t>
      </w:r>
    </w:p>
    <w:p w14:paraId="0A31FEBB"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Appalti aggiudicati a scopo di rivendita o di locazione a terzi</w:t>
      </w:r>
      <w:r w:rsidRPr="004A5029">
        <w:rPr>
          <w:rStyle w:val="normaltextrun"/>
          <w:bCs/>
          <w:color w:val="000000" w:themeColor="text1"/>
          <w:sz w:val="22"/>
          <w:szCs w:val="22"/>
        </w:rPr>
        <w:t>.</w:t>
      </w:r>
    </w:p>
    <w:p w14:paraId="6E73808A"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color w:val="000000" w:themeColor="text1"/>
          <w:sz w:val="22"/>
          <w:szCs w:val="22"/>
        </w:rPr>
        <w:t>1. Le disposizioni del codice non si applicano agli appalti aggiudicati a scopo di rivendita o di locazione a terzi, quando la</w:t>
      </w:r>
      <w:r w:rsidRPr="004A5029">
        <w:rPr>
          <w:rStyle w:val="normaltextrun"/>
          <w:bCs/>
          <w:iCs/>
          <w:color w:val="000000" w:themeColor="text1"/>
          <w:sz w:val="22"/>
          <w:szCs w:val="22"/>
        </w:rPr>
        <w:t xml:space="preserve"> </w:t>
      </w:r>
      <w:r w:rsidRPr="004A5029">
        <w:rPr>
          <w:bCs/>
          <w:iCs/>
          <w:color w:val="000000" w:themeColor="text1"/>
          <w:sz w:val="22"/>
          <w:szCs w:val="22"/>
        </w:rPr>
        <w:t>stazione appaltante o l’ente concedente</w:t>
      </w:r>
      <w:r w:rsidRPr="004A5029">
        <w:rPr>
          <w:rStyle w:val="normaltextrun"/>
          <w:color w:val="000000" w:themeColor="text1"/>
          <w:sz w:val="22"/>
          <w:szCs w:val="22"/>
        </w:rPr>
        <w:t xml:space="preserve"> non gode di alcun diritto speciale o esclusivo per la vendita o la locazione dell'oggetto di tali appalti e quando altri enti possono liberamente venderlo o darlo in locazione alle stesse condizioni della stazione appaltante o dell’ente concedente.</w:t>
      </w:r>
    </w:p>
    <w:p w14:paraId="4F1C7FDD"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color w:val="000000" w:themeColor="text1"/>
          <w:sz w:val="22"/>
          <w:szCs w:val="22"/>
        </w:rPr>
        <w:t xml:space="preserve">2. </w:t>
      </w:r>
      <w:r w:rsidRPr="004A5029">
        <w:rPr>
          <w:rStyle w:val="normaltextrun"/>
          <w:bCs/>
          <w:iCs/>
          <w:color w:val="000000" w:themeColor="text1"/>
          <w:sz w:val="22"/>
          <w:szCs w:val="22"/>
        </w:rPr>
        <w:t xml:space="preserve">Le </w:t>
      </w:r>
      <w:r w:rsidRPr="004A5029">
        <w:rPr>
          <w:bCs/>
          <w:iCs/>
          <w:color w:val="000000" w:themeColor="text1"/>
          <w:sz w:val="22"/>
          <w:szCs w:val="22"/>
        </w:rPr>
        <w:t>stazioni appaltanti o gli enti concedenti</w:t>
      </w:r>
      <w:r w:rsidRPr="004A5029">
        <w:rPr>
          <w:rStyle w:val="normaltextrun"/>
          <w:color w:val="000000" w:themeColor="text1"/>
          <w:sz w:val="22"/>
          <w:szCs w:val="22"/>
        </w:rPr>
        <w:t xml:space="preserve"> comunicano alla Commissione europea, su richiesta, tutte le categorie di prodotti o di attività che considerano escluse in virtù del comma 1, nei termini da essa indicati, evidenziando nella comunicazione quali informazioni hanno carattere commerciale sensibile.</w:t>
      </w:r>
    </w:p>
    <w:p w14:paraId="54A2CE56" w14:textId="2E01AA91"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color w:val="000000" w:themeColor="text1"/>
          <w:sz w:val="22"/>
          <w:szCs w:val="22"/>
        </w:rPr>
        <w:t xml:space="preserve">3. Le disposizioni del codice non si applicano alle categorie di prodotti o attività oggetto degli appalti di cui al comma 1 considerati esclusi dalla Commissione europea con atto pubblicato nella Gazzetta </w:t>
      </w:r>
      <w:r w:rsidRPr="004A5029">
        <w:rPr>
          <w:rStyle w:val="normaltextrun"/>
          <w:b/>
          <w:bCs/>
          <w:strike/>
          <w:color w:val="000000" w:themeColor="text1"/>
          <w:sz w:val="22"/>
          <w:szCs w:val="22"/>
        </w:rPr>
        <w:t>U</w:t>
      </w:r>
      <w:r w:rsidR="001E783B" w:rsidRPr="004A5029">
        <w:rPr>
          <w:rStyle w:val="normaltextrun"/>
          <w:b/>
          <w:bCs/>
          <w:color w:val="000000" w:themeColor="text1"/>
          <w:sz w:val="22"/>
          <w:szCs w:val="22"/>
        </w:rPr>
        <w:t>u</w:t>
      </w:r>
      <w:r w:rsidRPr="004A5029">
        <w:rPr>
          <w:rStyle w:val="normaltextrun"/>
          <w:color w:val="000000" w:themeColor="text1"/>
          <w:sz w:val="22"/>
          <w:szCs w:val="22"/>
        </w:rPr>
        <w:t>fficiale dell’Unione europea.</w:t>
      </w:r>
    </w:p>
    <w:p w14:paraId="55B33694" w14:textId="77777777" w:rsidR="00427A36" w:rsidRPr="004A5029" w:rsidRDefault="00427A36" w:rsidP="00427A36">
      <w:pPr>
        <w:jc w:val="both"/>
        <w:rPr>
          <w:rFonts w:ascii="Times New Roman" w:hAnsi="Times New Roman" w:cs="Times New Roman"/>
          <w:color w:val="000000" w:themeColor="text1"/>
        </w:rPr>
      </w:pPr>
    </w:p>
    <w:p w14:paraId="6DF6A1B2" w14:textId="77777777" w:rsidR="00427A36" w:rsidRPr="004A5029" w:rsidRDefault="00427A36" w:rsidP="00427A36">
      <w:pPr>
        <w:jc w:val="both"/>
        <w:rPr>
          <w:rStyle w:val="normaltextrun"/>
          <w:rFonts w:ascii="Times New Roman" w:hAnsi="Times New Roman" w:cs="Times New Roman"/>
          <w:b/>
          <w:color w:val="000000" w:themeColor="text1"/>
        </w:rPr>
      </w:pPr>
      <w:r w:rsidRPr="004A5029">
        <w:rPr>
          <w:rFonts w:ascii="Times New Roman" w:hAnsi="Times New Roman" w:cs="Times New Roman"/>
          <w:b/>
          <w:color w:val="000000" w:themeColor="text1"/>
        </w:rPr>
        <w:t>Articolo 145.</w:t>
      </w:r>
    </w:p>
    <w:p w14:paraId="0AC04422"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Attività svolte in Paesi terzi</w:t>
      </w:r>
      <w:r w:rsidRPr="004A5029">
        <w:rPr>
          <w:rStyle w:val="normaltextrun"/>
          <w:bCs/>
          <w:color w:val="000000" w:themeColor="text1"/>
          <w:sz w:val="22"/>
          <w:szCs w:val="22"/>
        </w:rPr>
        <w:t>.</w:t>
      </w:r>
    </w:p>
    <w:p w14:paraId="3F78A8C0"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shd w:val="clear" w:color="auto" w:fill="FFFFFF"/>
        </w:rPr>
      </w:pPr>
      <w:r w:rsidRPr="004A5029">
        <w:rPr>
          <w:rStyle w:val="normaltextrun"/>
          <w:color w:val="000000" w:themeColor="text1"/>
          <w:sz w:val="22"/>
          <w:szCs w:val="22"/>
        </w:rPr>
        <w:t xml:space="preserve">1. Le disposizioni del codice non si applicano ai </w:t>
      </w:r>
      <w:r w:rsidRPr="004A5029">
        <w:rPr>
          <w:rStyle w:val="normaltextrun"/>
          <w:bCs/>
          <w:color w:val="000000" w:themeColor="text1"/>
          <w:sz w:val="22"/>
          <w:szCs w:val="22"/>
        </w:rPr>
        <w:t>contratti</w:t>
      </w:r>
      <w:r w:rsidRPr="004A5029">
        <w:rPr>
          <w:rStyle w:val="normaltextrun"/>
          <w:color w:val="000000" w:themeColor="text1"/>
          <w:sz w:val="22"/>
          <w:szCs w:val="22"/>
        </w:rPr>
        <w:t xml:space="preserve"> aggiudicati dalle</w:t>
      </w:r>
      <w:r w:rsidRPr="004A5029">
        <w:rPr>
          <w:rStyle w:val="normaltextrun"/>
          <w:bCs/>
          <w:color w:val="000000" w:themeColor="text1"/>
          <w:sz w:val="22"/>
          <w:szCs w:val="22"/>
        </w:rPr>
        <w:t xml:space="preserve"> </w:t>
      </w:r>
      <w:r w:rsidRPr="004A5029">
        <w:rPr>
          <w:bCs/>
          <w:color w:val="000000" w:themeColor="text1"/>
          <w:sz w:val="22"/>
          <w:szCs w:val="22"/>
        </w:rPr>
        <w:t>stazioni appaltanti o dagli enti concedenti</w:t>
      </w:r>
      <w:r w:rsidRPr="004A5029">
        <w:rPr>
          <w:rStyle w:val="normaltextrun"/>
          <w:color w:val="000000" w:themeColor="text1"/>
          <w:sz w:val="22"/>
          <w:szCs w:val="22"/>
        </w:rPr>
        <w:t xml:space="preserve"> per</w:t>
      </w:r>
      <w:r w:rsidRPr="004A5029">
        <w:rPr>
          <w:rStyle w:val="normaltextrun"/>
          <w:bCs/>
          <w:color w:val="000000" w:themeColor="text1"/>
          <w:sz w:val="22"/>
          <w:szCs w:val="22"/>
        </w:rPr>
        <w:t xml:space="preserve"> l'esercizio</w:t>
      </w:r>
      <w:r w:rsidRPr="004A5029">
        <w:rPr>
          <w:rStyle w:val="normaltextrun"/>
          <w:color w:val="000000" w:themeColor="text1"/>
          <w:sz w:val="22"/>
          <w:szCs w:val="22"/>
        </w:rPr>
        <w:t xml:space="preserve"> delle attività di cui agli articoli da 146 a 152 in un Paese terzo, in circostanze che non comportino lo sfruttamento materiale di una rete o di un'area geografica all'interno dell'Unione europea.</w:t>
      </w:r>
    </w:p>
    <w:p w14:paraId="2BE0BF02"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color w:val="000000" w:themeColor="text1"/>
          <w:sz w:val="22"/>
          <w:szCs w:val="22"/>
        </w:rPr>
        <w:t xml:space="preserve">2. </w:t>
      </w:r>
      <w:r w:rsidRPr="004A5029">
        <w:rPr>
          <w:rStyle w:val="normaltextrun"/>
          <w:bCs/>
          <w:iCs/>
          <w:color w:val="000000" w:themeColor="text1"/>
          <w:sz w:val="22"/>
          <w:szCs w:val="22"/>
        </w:rPr>
        <w:t xml:space="preserve">Le </w:t>
      </w:r>
      <w:r w:rsidRPr="004A5029">
        <w:rPr>
          <w:bCs/>
          <w:iCs/>
          <w:color w:val="000000" w:themeColor="text1"/>
          <w:sz w:val="22"/>
          <w:szCs w:val="22"/>
        </w:rPr>
        <w:t>stazioni appaltanti o gli enti concedenti</w:t>
      </w:r>
      <w:r w:rsidRPr="004A5029">
        <w:rPr>
          <w:rStyle w:val="normaltextrun"/>
          <w:color w:val="000000" w:themeColor="text1"/>
          <w:sz w:val="22"/>
          <w:szCs w:val="22"/>
        </w:rPr>
        <w:t xml:space="preserve"> comunicano alla Commissione europea, su richiesta, tutte le categorie di attività che considerano escluse in virtù del comma 1, nei termini da essa indicati, evidenziando nella comunicazione quali informazioni hanno carattere commerciale sensibile.</w:t>
      </w:r>
    </w:p>
    <w:p w14:paraId="78E3F1B1" w14:textId="10F9377F" w:rsidR="00427A36" w:rsidRPr="004A5029" w:rsidRDefault="00427A36" w:rsidP="00427A36">
      <w:pPr>
        <w:pStyle w:val="Paragrafoelenco"/>
        <w:ind w:left="0"/>
        <w:contextualSpacing w:val="0"/>
        <w:jc w:val="both"/>
        <w:rPr>
          <w:rStyle w:val="normaltextrun"/>
          <w:rFonts w:ascii="Times New Roman" w:hAnsi="Times New Roman" w:cs="Times New Roman"/>
          <w:i/>
          <w:color w:val="000000" w:themeColor="text1"/>
          <w:shd w:val="clear" w:color="auto" w:fill="FFFFFF"/>
        </w:rPr>
      </w:pPr>
      <w:r w:rsidRPr="004A5029">
        <w:rPr>
          <w:rStyle w:val="normaltextrun"/>
          <w:rFonts w:ascii="Times New Roman" w:hAnsi="Times New Roman" w:cs="Times New Roman"/>
          <w:color w:val="000000" w:themeColor="text1"/>
        </w:rPr>
        <w:t xml:space="preserve">3. Le disposizioni del codice non si applicano comunque alle categorie di attività oggetto dei contratti di cui al comma 1 considerati esclusi dalla Commissione europea in elenchi pubblicati periodicamente nella Gazzetta </w:t>
      </w:r>
      <w:r w:rsidRPr="004A5029">
        <w:rPr>
          <w:rStyle w:val="normaltextrun"/>
          <w:rFonts w:ascii="Times New Roman" w:hAnsi="Times New Roman" w:cs="Times New Roman"/>
          <w:b/>
          <w:bCs/>
          <w:strike/>
          <w:color w:val="000000" w:themeColor="text1"/>
        </w:rPr>
        <w:t>U</w:t>
      </w:r>
      <w:r w:rsidR="001E783B" w:rsidRPr="004A5029">
        <w:rPr>
          <w:rStyle w:val="normaltextrun"/>
          <w:rFonts w:ascii="Times New Roman" w:hAnsi="Times New Roman" w:cs="Times New Roman"/>
          <w:b/>
          <w:bCs/>
          <w:color w:val="000000" w:themeColor="text1"/>
        </w:rPr>
        <w:t>u</w:t>
      </w:r>
      <w:r w:rsidRPr="004A5029">
        <w:rPr>
          <w:rStyle w:val="normaltextrun"/>
          <w:rFonts w:ascii="Times New Roman" w:hAnsi="Times New Roman" w:cs="Times New Roman"/>
          <w:color w:val="000000" w:themeColor="text1"/>
        </w:rPr>
        <w:t>fficiale dell’Unione europea.</w:t>
      </w:r>
    </w:p>
    <w:p w14:paraId="4455F193" w14:textId="77777777" w:rsidR="00427A36" w:rsidRPr="004A5029" w:rsidRDefault="00427A36" w:rsidP="00427A36">
      <w:pPr>
        <w:jc w:val="both"/>
        <w:rPr>
          <w:rFonts w:ascii="Times New Roman" w:hAnsi="Times New Roman" w:cs="Times New Roman"/>
          <w:color w:val="000000" w:themeColor="text1"/>
        </w:rPr>
      </w:pPr>
    </w:p>
    <w:p w14:paraId="19D2AFE2"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146.</w:t>
      </w:r>
    </w:p>
    <w:p w14:paraId="0636779D"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Gas ed energia termica.</w:t>
      </w:r>
    </w:p>
    <w:p w14:paraId="1A83CB89"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1. L’affidamento di contratti inerenti ai settori del</w:t>
      </w:r>
      <w:r w:rsidRPr="004A5029">
        <w:rPr>
          <w:rFonts w:ascii="Times New Roman" w:eastAsia="Times New Roman" w:hAnsi="Times New Roman" w:cs="Times New Roman"/>
          <w:color w:val="000000" w:themeColor="text1"/>
        </w:rPr>
        <w:t xml:space="preserve"> gas e dell’energia termica </w:t>
      </w:r>
      <w:r w:rsidRPr="004A5029">
        <w:rPr>
          <w:rFonts w:ascii="Times New Roman" w:eastAsia="Times New Roman" w:hAnsi="Times New Roman" w:cs="Times New Roman"/>
          <w:bCs/>
          <w:color w:val="000000" w:themeColor="text1"/>
        </w:rPr>
        <w:t>è soggetto all’applicazione delle disposizioni del</w:t>
      </w:r>
      <w:r w:rsidRPr="004A5029">
        <w:rPr>
          <w:rFonts w:ascii="Times New Roman" w:eastAsia="Times New Roman" w:hAnsi="Times New Roman" w:cs="Times New Roman"/>
          <w:color w:val="000000" w:themeColor="text1"/>
        </w:rPr>
        <w:t xml:space="preserve"> codice </w:t>
      </w:r>
      <w:r w:rsidRPr="004A5029">
        <w:rPr>
          <w:rFonts w:ascii="Times New Roman" w:eastAsia="Times New Roman" w:hAnsi="Times New Roman" w:cs="Times New Roman"/>
          <w:bCs/>
          <w:color w:val="000000" w:themeColor="text1"/>
        </w:rPr>
        <w:t>esclusivamente per le</w:t>
      </w:r>
      <w:r w:rsidRPr="004A5029">
        <w:rPr>
          <w:rFonts w:ascii="Times New Roman" w:eastAsia="Times New Roman" w:hAnsi="Times New Roman" w:cs="Times New Roman"/>
          <w:color w:val="000000" w:themeColor="text1"/>
        </w:rPr>
        <w:t xml:space="preserve"> attività:</w:t>
      </w:r>
    </w:p>
    <w:p w14:paraId="002FB911"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i/>
          <w:iCs/>
          <w:color w:val="000000" w:themeColor="text1"/>
        </w:rPr>
        <w:t>a</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bCs/>
          <w:color w:val="000000" w:themeColor="text1"/>
        </w:rPr>
        <w:t>di</w:t>
      </w:r>
      <w:r w:rsidRPr="004A5029">
        <w:rPr>
          <w:rFonts w:ascii="Times New Roman" w:eastAsia="Times New Roman" w:hAnsi="Times New Roman" w:cs="Times New Roman"/>
          <w:color w:val="000000" w:themeColor="text1"/>
        </w:rPr>
        <w:t xml:space="preserve"> messa a disposizione o gestione di reti fisse destinate alla fornitura di un servizio al pubblico in connessione con la produzione, il trasporto o la distribuzione di gas o di energia termica; </w:t>
      </w:r>
    </w:p>
    <w:p w14:paraId="3D136541" w14:textId="77777777" w:rsidR="00427A36" w:rsidRPr="004A5029" w:rsidRDefault="00427A36" w:rsidP="00427A36">
      <w:pPr>
        <w:jc w:val="both"/>
        <w:rPr>
          <w:rFonts w:ascii="Times New Roman" w:eastAsia="Times New Roman" w:hAnsi="Times New Roman" w:cs="Times New Roman"/>
          <w:color w:val="000000" w:themeColor="text1"/>
          <w:shd w:val="clear" w:color="auto" w:fill="FFFFFF"/>
        </w:rPr>
      </w:pPr>
      <w:r w:rsidRPr="004A5029">
        <w:rPr>
          <w:rFonts w:ascii="Times New Roman" w:eastAsia="Times New Roman" w:hAnsi="Times New Roman" w:cs="Times New Roman"/>
          <w:i/>
          <w:iCs/>
          <w:color w:val="000000" w:themeColor="text1"/>
        </w:rPr>
        <w:t>b</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bCs/>
          <w:color w:val="000000" w:themeColor="text1"/>
        </w:rPr>
        <w:t>di</w:t>
      </w:r>
      <w:r w:rsidRPr="004A5029">
        <w:rPr>
          <w:rFonts w:ascii="Times New Roman" w:eastAsia="Times New Roman" w:hAnsi="Times New Roman" w:cs="Times New Roman"/>
          <w:color w:val="000000" w:themeColor="text1"/>
        </w:rPr>
        <w:t xml:space="preserve"> alimentazione di tali reti con gas o energia termica, </w:t>
      </w:r>
      <w:r w:rsidRPr="004A5029">
        <w:rPr>
          <w:rFonts w:ascii="Times New Roman" w:eastAsia="Times New Roman" w:hAnsi="Times New Roman" w:cs="Times New Roman"/>
          <w:bCs/>
          <w:color w:val="000000" w:themeColor="text1"/>
        </w:rPr>
        <w:t>ivi compresa la generazione, la produzione e la vendita all’ingrosso o al dettaglio.</w:t>
      </w:r>
    </w:p>
    <w:p w14:paraId="176465F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L’alimentazione</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con gas o energia termica</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di reti fisse che forniscono un servizio al pubblico</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da parte di </w:t>
      </w:r>
      <w:r w:rsidRPr="004A5029">
        <w:rPr>
          <w:rFonts w:ascii="Times New Roman" w:hAnsi="Times New Roman" w:cs="Times New Roman"/>
          <w:bCs/>
          <w:color w:val="000000" w:themeColor="text1"/>
        </w:rPr>
        <w:t>un’impresa pubblica o di un soggetto titolare di diritti speciali o esclusivi,</w:t>
      </w:r>
      <w:r w:rsidRPr="004A5029">
        <w:rPr>
          <w:rFonts w:ascii="Times New Roman" w:hAnsi="Times New Roman" w:cs="Times New Roman"/>
          <w:color w:val="000000" w:themeColor="text1"/>
        </w:rPr>
        <w:t xml:space="preserve"> non è considerata un’attività di cui al comma 1 se </w:t>
      </w:r>
      <w:r w:rsidRPr="004A5029">
        <w:rPr>
          <w:rFonts w:ascii="Times New Roman" w:hAnsi="Times New Roman" w:cs="Times New Roman"/>
          <w:bCs/>
          <w:color w:val="000000" w:themeColor="text1"/>
        </w:rPr>
        <w:t>concorrono</w:t>
      </w:r>
      <w:r w:rsidRPr="004A5029">
        <w:rPr>
          <w:rFonts w:ascii="Times New Roman" w:hAnsi="Times New Roman" w:cs="Times New Roman"/>
          <w:color w:val="000000" w:themeColor="text1"/>
        </w:rPr>
        <w:t xml:space="preserve"> le seguenti condizioni: </w:t>
      </w:r>
    </w:p>
    <w:p w14:paraId="79D0961B"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la produzione di gas o di energia termica è l’inevitabile risultato dell’esercizio di un’attività non prevista dal comma 1 o dagli articoli da 147 a 149;</w:t>
      </w:r>
    </w:p>
    <w:p w14:paraId="372641EB"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l’alimentazione della rete pubblica mira solo a sfruttare economicamente tale produzione e corrisponde, al massimo, al 20 per cento del fatturato dell’ente, considerando la media dell’ultimo triennio, comprensivo dell’anno in corso.</w:t>
      </w:r>
    </w:p>
    <w:p w14:paraId="12B637C2" w14:textId="77777777" w:rsidR="00427A36" w:rsidRPr="004A5029" w:rsidRDefault="00427A36" w:rsidP="00427A36">
      <w:pPr>
        <w:jc w:val="both"/>
        <w:rPr>
          <w:rStyle w:val="normaltextrun"/>
          <w:rFonts w:ascii="Times New Roman" w:hAnsi="Times New Roman" w:cs="Times New Roman"/>
          <w:bCs/>
          <w:i/>
          <w:iCs/>
          <w:color w:val="000000" w:themeColor="text1"/>
          <w:shd w:val="clear" w:color="auto" w:fill="FFFFFF"/>
        </w:rPr>
      </w:pPr>
      <w:r w:rsidRPr="004A5029">
        <w:rPr>
          <w:rFonts w:ascii="Times New Roman" w:hAnsi="Times New Roman" w:cs="Times New Roman"/>
          <w:bCs/>
          <w:color w:val="000000" w:themeColor="text1"/>
        </w:rPr>
        <w:t>3. Sono esclusi dalla applicazione delle disposizioni del codice i contratti stipulati per la fornitura di energia e di combustibili destinati alla produzione di energia da stazioni appaltanti o enti concedenti che esercitano le attività di cui al comma 1.</w:t>
      </w:r>
    </w:p>
    <w:p w14:paraId="1C2776EB" w14:textId="77777777" w:rsidR="00427A36" w:rsidRPr="004A5029" w:rsidRDefault="00427A36" w:rsidP="00427A36">
      <w:pPr>
        <w:jc w:val="both"/>
        <w:rPr>
          <w:rFonts w:ascii="Times New Roman" w:hAnsi="Times New Roman" w:cs="Times New Roman"/>
          <w:color w:val="000000" w:themeColor="text1"/>
        </w:rPr>
      </w:pPr>
    </w:p>
    <w:p w14:paraId="178C5CDD"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147.</w:t>
      </w:r>
    </w:p>
    <w:p w14:paraId="7CF0B51C"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Elettricità</w:t>
      </w:r>
      <w:r w:rsidRPr="004A5029">
        <w:rPr>
          <w:rStyle w:val="normaltextrun"/>
          <w:bCs/>
          <w:i/>
          <w:color w:val="000000" w:themeColor="text1"/>
          <w:sz w:val="22"/>
          <w:szCs w:val="22"/>
        </w:rPr>
        <w:t>.</w:t>
      </w:r>
    </w:p>
    <w:p w14:paraId="286F93A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1. L’affidamento dei contratti inerenti al settore dell’</w:t>
      </w:r>
      <w:r w:rsidRPr="004A5029">
        <w:rPr>
          <w:rFonts w:ascii="Times New Roman" w:hAnsi="Times New Roman" w:cs="Times New Roman"/>
          <w:color w:val="000000" w:themeColor="text1"/>
        </w:rPr>
        <w:t>elettricità</w:t>
      </w:r>
      <w:r w:rsidRPr="004A5029">
        <w:rPr>
          <w:rFonts w:ascii="Times New Roman" w:hAnsi="Times New Roman" w:cs="Times New Roman"/>
          <w:bCs/>
          <w:color w:val="000000" w:themeColor="text1"/>
        </w:rPr>
        <w:t xml:space="preserve"> è soggetto all’applicazione </w:t>
      </w:r>
      <w:r w:rsidRPr="004A5029">
        <w:rPr>
          <w:rFonts w:ascii="Times New Roman" w:eastAsia="Calibri" w:hAnsi="Times New Roman" w:cs="Times New Roman"/>
          <w:color w:val="000000" w:themeColor="text1"/>
        </w:rPr>
        <w:t>delle disposizioni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del</w:t>
      </w:r>
      <w:r w:rsidRPr="004A5029">
        <w:rPr>
          <w:rFonts w:ascii="Times New Roman" w:hAnsi="Times New Roman" w:cs="Times New Roman"/>
          <w:color w:val="000000" w:themeColor="text1"/>
        </w:rPr>
        <w:t xml:space="preserve"> codice </w:t>
      </w:r>
      <w:r w:rsidRPr="004A5029">
        <w:rPr>
          <w:rFonts w:ascii="Times New Roman" w:hAnsi="Times New Roman" w:cs="Times New Roman"/>
          <w:bCs/>
          <w:color w:val="000000" w:themeColor="text1"/>
        </w:rPr>
        <w:t>esclusivamente per le</w:t>
      </w:r>
      <w:r w:rsidRPr="004A5029">
        <w:rPr>
          <w:rFonts w:ascii="Times New Roman" w:hAnsi="Times New Roman" w:cs="Times New Roman"/>
          <w:color w:val="000000" w:themeColor="text1"/>
        </w:rPr>
        <w:t xml:space="preserve"> attività:</w:t>
      </w:r>
    </w:p>
    <w:p w14:paraId="1C8CE68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di messa a disposizione o gestione di reti fisse destinate alla fornitura di un servizio al pubblico in connessione con la produzione, il trasporto o la distribuzione di elettricità;</w:t>
      </w:r>
    </w:p>
    <w:p w14:paraId="16898B36" w14:textId="77777777" w:rsidR="00427A36" w:rsidRPr="004A5029" w:rsidRDefault="00427A36" w:rsidP="00427A36">
      <w:pPr>
        <w:jc w:val="both"/>
        <w:rPr>
          <w:rFonts w:ascii="Times New Roman" w:hAnsi="Times New Roman" w:cs="Times New Roman"/>
          <w:color w:val="000000" w:themeColor="text1"/>
          <w:shd w:val="clear" w:color="auto" w:fill="FFFFFF"/>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di alimentazione di tali reti con l’elettricità, ivi compresa la generazione, la produzione e la vendita all’ingrosso o al dettaglio.</w:t>
      </w:r>
    </w:p>
    <w:p w14:paraId="546803F5" w14:textId="5BE64626"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L’alimentazione</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con elettricità</w:t>
      </w:r>
      <w:r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di reti fisse che forniscono un servizio al pubblico da parte di un’</w:t>
      </w:r>
      <w:r w:rsidRPr="004A5029">
        <w:rPr>
          <w:rFonts w:ascii="Times New Roman" w:hAnsi="Times New Roman" w:cs="Times New Roman"/>
          <w:bCs/>
          <w:color w:val="000000" w:themeColor="text1"/>
        </w:rPr>
        <w:t>impresa pubblica o un soggetto titolare di diritti speciali o esclusivi</w:t>
      </w:r>
      <w:r w:rsidRPr="004A5029">
        <w:rPr>
          <w:rFonts w:ascii="Times New Roman" w:hAnsi="Times New Roman" w:cs="Times New Roman"/>
          <w:color w:val="000000" w:themeColor="text1"/>
        </w:rPr>
        <w:t xml:space="preserve">, non è considerata un’attività di cui al comma 1 se </w:t>
      </w:r>
      <w:r w:rsidRPr="004A5029">
        <w:rPr>
          <w:rFonts w:ascii="Times New Roman" w:hAnsi="Times New Roman" w:cs="Times New Roman"/>
          <w:bCs/>
          <w:color w:val="000000" w:themeColor="text1"/>
        </w:rPr>
        <w:t xml:space="preserve">concorrono </w:t>
      </w:r>
      <w:r w:rsidRPr="004A5029">
        <w:rPr>
          <w:rFonts w:ascii="Times New Roman" w:eastAsia="Calibri" w:hAnsi="Times New Roman" w:cs="Times New Roman"/>
          <w:color w:val="000000" w:themeColor="text1"/>
        </w:rPr>
        <w:t>le</w:t>
      </w:r>
      <w:r w:rsidRPr="004A5029">
        <w:rPr>
          <w:rFonts w:ascii="Times New Roman" w:hAnsi="Times New Roman" w:cs="Times New Roman"/>
          <w:color w:val="000000" w:themeColor="text1"/>
        </w:rPr>
        <w:t xml:space="preserve"> seguenti condizioni:</w:t>
      </w:r>
    </w:p>
    <w:p w14:paraId="72DF1CE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 produzione di elettricità avviene perché il suo consumo è necessario all’esercizio di un’attività non prevista dal comma 1 o dagli articoli 146, 148 e 149;</w:t>
      </w:r>
    </w:p>
    <w:p w14:paraId="68027B3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Cs/>
          <w:color w:val="000000" w:themeColor="text1"/>
        </w:rPr>
        <w:t>b</w:t>
      </w:r>
      <w:r w:rsidRPr="004A5029">
        <w:rPr>
          <w:rFonts w:ascii="Times New Roman" w:hAnsi="Times New Roman" w:cs="Times New Roman"/>
          <w:color w:val="000000" w:themeColor="text1"/>
        </w:rPr>
        <w:t>) l’alimentazione della rete pubblica dipende solo dal consumo proprio dell’ente e non supera il 30 per cento della sua produzione totale, considerando la media dell’ultimo triennio, comprensivo dell’anno in corso.</w:t>
      </w:r>
    </w:p>
    <w:p w14:paraId="15342E60" w14:textId="77777777" w:rsidR="00427A36" w:rsidRPr="004A5029" w:rsidRDefault="00427A36" w:rsidP="00427A36">
      <w:pPr>
        <w:jc w:val="both"/>
        <w:rPr>
          <w:rFonts w:ascii="Times New Roman" w:hAnsi="Times New Roman" w:cs="Times New Roman"/>
          <w:color w:val="000000" w:themeColor="text1"/>
        </w:rPr>
      </w:pPr>
    </w:p>
    <w:p w14:paraId="769D8F3F"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148.</w:t>
      </w:r>
    </w:p>
    <w:p w14:paraId="0A1A0401" w14:textId="77777777" w:rsidR="00427A36" w:rsidRPr="004A5029" w:rsidRDefault="00427A36" w:rsidP="00427A36">
      <w:pPr>
        <w:pStyle w:val="paragraph"/>
        <w:spacing w:before="0" w:beforeAutospacing="0" w:after="160" w:afterAutospacing="0" w:line="259" w:lineRule="auto"/>
        <w:jc w:val="both"/>
        <w:textAlignment w:val="baseline"/>
        <w:rPr>
          <w:i/>
          <w:color w:val="000000" w:themeColor="text1"/>
          <w:sz w:val="22"/>
          <w:szCs w:val="22"/>
        </w:rPr>
      </w:pPr>
      <w:r w:rsidRPr="004A5029">
        <w:rPr>
          <w:rStyle w:val="normaltextrun"/>
          <w:bCs/>
          <w:i/>
          <w:iCs/>
          <w:color w:val="000000" w:themeColor="text1"/>
          <w:sz w:val="22"/>
          <w:szCs w:val="22"/>
        </w:rPr>
        <w:t>Acqua</w:t>
      </w:r>
      <w:r w:rsidRPr="004A5029">
        <w:rPr>
          <w:rStyle w:val="normaltextrun"/>
          <w:bCs/>
          <w:i/>
          <w:color w:val="000000" w:themeColor="text1"/>
          <w:sz w:val="22"/>
          <w:szCs w:val="22"/>
        </w:rPr>
        <w:t>.</w:t>
      </w:r>
    </w:p>
    <w:p w14:paraId="4524694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1. L’affidamento dei contratti inerenti al settore idrico è soggetto all’applicazione </w:t>
      </w:r>
      <w:r w:rsidRPr="004A5029">
        <w:rPr>
          <w:rFonts w:ascii="Times New Roman" w:eastAsia="Calibri" w:hAnsi="Times New Roman" w:cs="Times New Roman"/>
          <w:color w:val="000000" w:themeColor="text1"/>
        </w:rPr>
        <w:t>delle disposizioni</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bCs/>
          <w:color w:val="000000" w:themeColor="text1"/>
        </w:rPr>
        <w:t>del codice esclusivamente per le</w:t>
      </w:r>
      <w:r w:rsidRPr="004A5029">
        <w:rPr>
          <w:rFonts w:ascii="Times New Roman" w:hAnsi="Times New Roman" w:cs="Times New Roman"/>
          <w:color w:val="000000" w:themeColor="text1"/>
        </w:rPr>
        <w:t xml:space="preserve"> attività: </w:t>
      </w:r>
    </w:p>
    <w:p w14:paraId="01C9959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di messa a disposizione o gestione di reti fisse destinate alla fornitura di un servizio al pubblico in connessione con la produzione, il trasporto o la distribuzione di acqua potabile;</w:t>
      </w:r>
    </w:p>
    <w:p w14:paraId="57C64736"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di alimentazione di tali reti con acqua potabile, ivi compresa la generazione, la produzione e la vendita all’ingrosso o al dettaglio.</w:t>
      </w:r>
    </w:p>
    <w:p w14:paraId="442EDF49" w14:textId="2C1E11B2"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L’alimentazione, con acqua potabile, di reti fisse che forniscono un servizio al pubblico da parte di un’impresa pubblica o un soggetto titolare di diritti speciali o esclusivi non è considerata un’attività di cui al comma 1 se concorrono le seguenti condizioni: </w:t>
      </w:r>
    </w:p>
    <w:p w14:paraId="33359B13"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la produzione di acqua potabile avviene perché il suo consumo è necessario all’esercizio di un’attività non prevista dagli articoli da 146 a 149;</w:t>
      </w:r>
    </w:p>
    <w:p w14:paraId="66BB732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l’alimentazione della rete pubblica dipende solo dal consumo proprio dell’ente e non supera il 30 per cento della sua produzione totale, considerando la media dell’ultimo triennio, comprensivo dell’anno in corso.</w:t>
      </w:r>
    </w:p>
    <w:p w14:paraId="55EBFBE7" w14:textId="1899B71A"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Si applicano le disposizioni del </w:t>
      </w:r>
      <w:r w:rsidRPr="004A5029">
        <w:rPr>
          <w:rFonts w:ascii="Times New Roman" w:hAnsi="Times New Roman" w:cs="Times New Roman"/>
          <w:bCs/>
          <w:color w:val="000000" w:themeColor="text1"/>
        </w:rPr>
        <w:t>codice</w:t>
      </w:r>
      <w:r w:rsidRPr="004A5029">
        <w:rPr>
          <w:rFonts w:ascii="Times New Roman" w:hAnsi="Times New Roman" w:cs="Times New Roman"/>
          <w:color w:val="000000" w:themeColor="text1"/>
        </w:rPr>
        <w:t xml:space="preserve"> agli appalti o ai concorsi di progettazione attribuiti od organizzati da </w:t>
      </w:r>
      <w:r w:rsidRPr="004A5029">
        <w:rPr>
          <w:rFonts w:ascii="Times New Roman" w:hAnsi="Times New Roman" w:cs="Times New Roman"/>
          <w:bCs/>
          <w:color w:val="000000" w:themeColor="text1"/>
        </w:rPr>
        <w:t>stazioni appaltanti o enti concedenti</w:t>
      </w:r>
      <w:r w:rsidRPr="004A5029">
        <w:rPr>
          <w:rFonts w:ascii="Times New Roman" w:hAnsi="Times New Roman" w:cs="Times New Roman"/>
          <w:color w:val="000000" w:themeColor="text1"/>
        </w:rPr>
        <w:t xml:space="preserve"> che esercitano un’attività di cui al comma 1 </w:t>
      </w:r>
      <w:r w:rsidRPr="004A5029">
        <w:rPr>
          <w:rFonts w:ascii="Times New Roman" w:hAnsi="Times New Roman" w:cs="Times New Roman"/>
          <w:bCs/>
          <w:color w:val="000000" w:themeColor="text1"/>
        </w:rPr>
        <w:t>quando</w:t>
      </w:r>
      <w:r w:rsidRPr="004A5029">
        <w:rPr>
          <w:rFonts w:ascii="Times New Roman" w:hAnsi="Times New Roman" w:cs="Times New Roman"/>
          <w:color w:val="000000" w:themeColor="text1"/>
        </w:rPr>
        <w:t xml:space="preserve"> riguardino:</w:t>
      </w:r>
    </w:p>
    <w:p w14:paraId="65E7572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progetti di ingegneria idraulica, irrigazione o drenaggio, in cui il volume d’acqua destinato all’alimentazione con acqua potabile rappresenti più del 20 per cento del volume totale d’acqua reso disponibile da tali progetti o impianti;</w:t>
      </w:r>
    </w:p>
    <w:p w14:paraId="7AF4AF7A" w14:textId="77777777" w:rsidR="00427A36" w:rsidRPr="004A5029" w:rsidRDefault="00427A36" w:rsidP="00427A36">
      <w:pPr>
        <w:jc w:val="both"/>
        <w:rPr>
          <w:rStyle w:val="normaltextrun"/>
          <w:rFonts w:ascii="Times New Roman" w:hAnsi="Times New Roman" w:cs="Times New Roman"/>
          <w:i/>
          <w:color w:val="000000" w:themeColor="text1"/>
          <w:shd w:val="clear" w:color="auto" w:fill="FFFFFF"/>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smaltimento o trattamento delle acque reflue.</w:t>
      </w:r>
    </w:p>
    <w:p w14:paraId="6B3BDF4F" w14:textId="77777777" w:rsidR="00427A36" w:rsidRPr="004A5029" w:rsidRDefault="00427A36" w:rsidP="00427A36">
      <w:pPr>
        <w:jc w:val="both"/>
        <w:rPr>
          <w:rStyle w:val="normaltextrun"/>
          <w:rFonts w:ascii="Times New Roman" w:hAnsi="Times New Roman" w:cs="Times New Roman"/>
          <w:bCs/>
          <w:color w:val="000000" w:themeColor="text1"/>
          <w:shd w:val="clear" w:color="auto" w:fill="FFFFFF"/>
        </w:rPr>
      </w:pPr>
      <w:r w:rsidRPr="004A5029">
        <w:rPr>
          <w:rFonts w:ascii="Times New Roman" w:hAnsi="Times New Roman" w:cs="Times New Roman"/>
          <w:bCs/>
          <w:color w:val="000000" w:themeColor="text1"/>
        </w:rPr>
        <w:t xml:space="preserve">4. Sono esclusi dall’applicazione </w:t>
      </w:r>
      <w:r w:rsidRPr="004A5029">
        <w:rPr>
          <w:rFonts w:ascii="Times New Roman" w:eastAsia="Calibri" w:hAnsi="Times New Roman" w:cs="Times New Roman"/>
          <w:color w:val="000000" w:themeColor="text1"/>
        </w:rPr>
        <w:t>delle disposizioni</w:t>
      </w:r>
      <w:r w:rsidRPr="004A5029">
        <w:rPr>
          <w:rFonts w:ascii="Times New Roman" w:hAnsi="Times New Roman" w:cs="Times New Roman"/>
          <w:bCs/>
          <w:color w:val="000000" w:themeColor="text1"/>
        </w:rPr>
        <w:t xml:space="preserve"> del codice gli appalti per l’acquisto di acqua, se aggiudicati da stazioni appaltanti o enti concedenti che esercitino una o entrambe le attività di cui al comma 1.</w:t>
      </w:r>
    </w:p>
    <w:p w14:paraId="5EACD937" w14:textId="77777777" w:rsidR="00427A36" w:rsidRPr="004A5029" w:rsidRDefault="00427A36" w:rsidP="00427A36">
      <w:pPr>
        <w:jc w:val="both"/>
        <w:rPr>
          <w:rStyle w:val="normaltextrun"/>
          <w:rFonts w:ascii="Times New Roman" w:hAnsi="Times New Roman" w:cs="Times New Roman"/>
          <w:bCs/>
          <w:color w:val="000000" w:themeColor="text1"/>
          <w:shd w:val="clear" w:color="auto" w:fill="FFFFFF"/>
        </w:rPr>
      </w:pPr>
      <w:r w:rsidRPr="004A5029">
        <w:rPr>
          <w:rFonts w:ascii="Times New Roman" w:hAnsi="Times New Roman" w:cs="Times New Roman"/>
          <w:bCs/>
          <w:color w:val="000000" w:themeColor="text1"/>
        </w:rPr>
        <w:t xml:space="preserve">5. Sono escluse dall’applicazione </w:t>
      </w:r>
      <w:r w:rsidRPr="004A5029">
        <w:rPr>
          <w:rFonts w:ascii="Times New Roman" w:eastAsia="Calibri" w:hAnsi="Times New Roman" w:cs="Times New Roman"/>
          <w:color w:val="000000" w:themeColor="text1"/>
        </w:rPr>
        <w:t>delle disposizioni</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bCs/>
          <w:color w:val="000000" w:themeColor="text1"/>
        </w:rPr>
        <w:t>del codice le concessioni aggiudicate per fornire o gestire reti fisse destinate alla fornitura di un servizio pubblico in connessione con la produzione, il trasporto o la distribuzione di acqua potabile oppure per alimentare tali reti con acqua potabile.</w:t>
      </w:r>
    </w:p>
    <w:p w14:paraId="43E40C64" w14:textId="77777777"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Sono escluse dall’applicazione del codice le concessioni che siano collegate a una delle attività del comma 5 e riguardino:</w:t>
      </w:r>
    </w:p>
    <w:p w14:paraId="7FD63EDA"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progetti di ingegneria idraulica, irrigazione, drenaggio, in cui il volume d’acqua destinato all’approvvigionamento di acqua potabile rappresenti più del 20 per cento del volume totale d’acqua reso disponibile da tali progetti o impianti;</w:t>
      </w:r>
    </w:p>
    <w:p w14:paraId="6F840293"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smaltimento o trattamento delle acque reflue.</w:t>
      </w:r>
    </w:p>
    <w:p w14:paraId="5EB89DE8" w14:textId="77777777" w:rsidR="00427A36" w:rsidRPr="004A5029" w:rsidRDefault="00427A36" w:rsidP="00427A36">
      <w:pPr>
        <w:jc w:val="both"/>
        <w:rPr>
          <w:rFonts w:ascii="Times New Roman" w:hAnsi="Times New Roman" w:cs="Times New Roman"/>
          <w:color w:val="000000" w:themeColor="text1"/>
        </w:rPr>
      </w:pPr>
    </w:p>
    <w:p w14:paraId="582B3E01"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b/>
          <w:color w:val="000000" w:themeColor="text1"/>
        </w:rPr>
        <w:t>A</w:t>
      </w:r>
      <w:r w:rsidRPr="004A5029">
        <w:rPr>
          <w:rStyle w:val="normaltextrun"/>
          <w:rFonts w:ascii="Times New Roman" w:hAnsi="Times New Roman" w:cs="Times New Roman"/>
          <w:b/>
          <w:bCs/>
          <w:color w:val="000000" w:themeColor="text1"/>
        </w:rPr>
        <w:t>rticolo 149.</w:t>
      </w:r>
    </w:p>
    <w:p w14:paraId="72CB2F39"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Servizi di trasporto</w:t>
      </w:r>
      <w:r w:rsidRPr="004A5029">
        <w:rPr>
          <w:rStyle w:val="normaltextrun"/>
          <w:bCs/>
          <w:color w:val="000000" w:themeColor="text1"/>
          <w:sz w:val="22"/>
          <w:szCs w:val="22"/>
        </w:rPr>
        <w:t>.</w:t>
      </w:r>
    </w:p>
    <w:p w14:paraId="5AF0E5AB"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shd w:val="clear" w:color="auto" w:fill="FFFFFF"/>
        </w:rPr>
      </w:pPr>
      <w:r w:rsidRPr="004A5029">
        <w:rPr>
          <w:color w:val="000000" w:themeColor="text1"/>
          <w:sz w:val="22"/>
          <w:szCs w:val="22"/>
        </w:rPr>
        <w:t>1. Le disposizioni del codice si applicano alle attività relative alla messa a disposizione o alla gestione di reti destinate a fornire un servizio al pubblico nel campo del trasporto ferroviario, tranviario, filoviario, mediante autobus, sistemi automatici o cavo.</w:t>
      </w:r>
    </w:p>
    <w:p w14:paraId="12521F6C" w14:textId="22B0394A"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color w:val="000000" w:themeColor="text1"/>
          <w:sz w:val="22"/>
          <w:szCs w:val="22"/>
        </w:rPr>
        <w:t xml:space="preserve">2. Nei servizi di trasporto, si considera </w:t>
      </w:r>
      <w:r w:rsidRPr="004A5029">
        <w:rPr>
          <w:bCs/>
          <w:color w:val="000000" w:themeColor="text1"/>
          <w:sz w:val="22"/>
          <w:szCs w:val="22"/>
        </w:rPr>
        <w:t>esistente</w:t>
      </w:r>
      <w:r w:rsidRPr="004A5029">
        <w:rPr>
          <w:color w:val="000000" w:themeColor="text1"/>
          <w:sz w:val="22"/>
          <w:szCs w:val="22"/>
        </w:rPr>
        <w:t xml:space="preserve"> una rete se il servizio </w:t>
      </w:r>
      <w:r w:rsidR="00E07A23" w:rsidRPr="004A5029">
        <w:rPr>
          <w:color w:val="000000" w:themeColor="text1"/>
          <w:sz w:val="22"/>
          <w:szCs w:val="22"/>
        </w:rPr>
        <w:t>è</w:t>
      </w:r>
      <w:r w:rsidRPr="004A5029">
        <w:rPr>
          <w:color w:val="000000" w:themeColor="text1"/>
          <w:sz w:val="22"/>
          <w:szCs w:val="22"/>
        </w:rPr>
        <w:t xml:space="preserve"> fornito secondo le prescrizioni operative stabilite dalle competenti autorità pubbliche, quali quelle relative alle tratte da servire, alla capacità di trasporto disponibile o alla frequenza del servizio.</w:t>
      </w:r>
    </w:p>
    <w:p w14:paraId="744423BB" w14:textId="77777777" w:rsidR="00427A36" w:rsidRPr="004A5029" w:rsidRDefault="00427A36" w:rsidP="00427A36">
      <w:pPr>
        <w:pStyle w:val="paragraph"/>
        <w:spacing w:before="0" w:beforeAutospacing="0" w:after="160" w:afterAutospacing="0" w:line="259" w:lineRule="auto"/>
        <w:jc w:val="both"/>
        <w:textAlignment w:val="baseline"/>
        <w:rPr>
          <w:rStyle w:val="normaltextrun"/>
          <w:i/>
          <w:color w:val="000000" w:themeColor="text1"/>
          <w:sz w:val="22"/>
          <w:szCs w:val="22"/>
          <w:shd w:val="clear" w:color="auto" w:fill="FFFFFF"/>
        </w:rPr>
      </w:pPr>
      <w:r w:rsidRPr="004A5029">
        <w:rPr>
          <w:color w:val="000000" w:themeColor="text1"/>
          <w:sz w:val="22"/>
          <w:szCs w:val="22"/>
        </w:rPr>
        <w:t>3. Le disposizioni del codice non si applicano per l’affidamento di contratti concernenti i servizi di trasporto pubblico di passeggeri per ferrovia o metropolitana.</w:t>
      </w:r>
    </w:p>
    <w:p w14:paraId="3A14413D" w14:textId="3A73A84A" w:rsidR="00427A36" w:rsidRPr="004A5029" w:rsidRDefault="00427A36" w:rsidP="00427A36">
      <w:pPr>
        <w:pStyle w:val="paragraph"/>
        <w:spacing w:before="0" w:beforeAutospacing="0" w:after="160" w:afterAutospacing="0" w:line="259" w:lineRule="auto"/>
        <w:jc w:val="both"/>
        <w:textAlignment w:val="baseline"/>
        <w:rPr>
          <w:bCs/>
          <w:color w:val="000000" w:themeColor="text1"/>
          <w:sz w:val="22"/>
          <w:szCs w:val="22"/>
        </w:rPr>
      </w:pPr>
      <w:r w:rsidRPr="004A5029">
        <w:rPr>
          <w:bCs/>
          <w:color w:val="000000" w:themeColor="text1"/>
          <w:sz w:val="22"/>
          <w:szCs w:val="22"/>
        </w:rPr>
        <w:t xml:space="preserve">4. Sono escluse dall’applicazione </w:t>
      </w:r>
      <w:r w:rsidRPr="004A5029">
        <w:rPr>
          <w:rFonts w:eastAsia="Calibri"/>
          <w:color w:val="000000" w:themeColor="text1"/>
          <w:sz w:val="22"/>
          <w:szCs w:val="22"/>
        </w:rPr>
        <w:t>delle disposizioni</w:t>
      </w:r>
      <w:r w:rsidRPr="004A5029">
        <w:rPr>
          <w:color w:val="000000" w:themeColor="text1"/>
          <w:sz w:val="22"/>
          <w:szCs w:val="22"/>
        </w:rPr>
        <w:t xml:space="preserve"> </w:t>
      </w:r>
      <w:r w:rsidRPr="004A5029">
        <w:rPr>
          <w:bCs/>
          <w:color w:val="000000" w:themeColor="text1"/>
          <w:sz w:val="22"/>
          <w:szCs w:val="22"/>
        </w:rPr>
        <w:t>del codice le concessioni di servizi di trasporto aereo sulla base di una licenza di gestione a norma del regolamento (CE) n. 1008/2008 del Parlamento europeo e del Consiglio</w:t>
      </w:r>
      <w:r w:rsidR="00D23640" w:rsidRPr="004A5029">
        <w:rPr>
          <w:color w:val="000000" w:themeColor="text1"/>
        </w:rPr>
        <w:t>,</w:t>
      </w:r>
      <w:r w:rsidRPr="004A5029">
        <w:rPr>
          <w:bCs/>
          <w:color w:val="000000" w:themeColor="text1"/>
          <w:sz w:val="22"/>
          <w:szCs w:val="22"/>
        </w:rPr>
        <w:t xml:space="preserve"> </w:t>
      </w:r>
      <w:r w:rsidR="00D80B5B" w:rsidRPr="004A5029">
        <w:rPr>
          <w:bCs/>
          <w:color w:val="000000" w:themeColor="text1"/>
          <w:sz w:val="22"/>
          <w:szCs w:val="22"/>
        </w:rPr>
        <w:t xml:space="preserve">del 24 settembre 2008 </w:t>
      </w:r>
      <w:r w:rsidRPr="004A5029">
        <w:rPr>
          <w:bCs/>
          <w:color w:val="000000" w:themeColor="text1"/>
          <w:sz w:val="22"/>
          <w:szCs w:val="22"/>
        </w:rPr>
        <w:t>e le concessioni di servizi di trasporto pubblico di passeggeri ai sensi del regolamento (CE) n. 1370/2007</w:t>
      </w:r>
      <w:r w:rsidR="00D80B5B" w:rsidRPr="004A5029">
        <w:rPr>
          <w:bCs/>
          <w:color w:val="000000" w:themeColor="text1"/>
          <w:sz w:val="22"/>
          <w:szCs w:val="22"/>
        </w:rPr>
        <w:t xml:space="preserve"> </w:t>
      </w:r>
      <w:r w:rsidR="00D23640" w:rsidRPr="004A5029">
        <w:rPr>
          <w:rFonts w:eastAsiaTheme="minorHAnsi"/>
          <w:b/>
          <w:bCs/>
          <w:color w:val="000000" w:themeColor="text1"/>
          <w:sz w:val="22"/>
          <w:szCs w:val="22"/>
          <w:lang w:eastAsia="en-US"/>
        </w:rPr>
        <w:t>del Parlamento europeo e del Consiglio,</w:t>
      </w:r>
      <w:r w:rsidR="00D23640" w:rsidRPr="004A5029">
        <w:rPr>
          <w:bCs/>
          <w:color w:val="000000" w:themeColor="text1"/>
          <w:sz w:val="22"/>
          <w:szCs w:val="22"/>
        </w:rPr>
        <w:t xml:space="preserve"> </w:t>
      </w:r>
      <w:r w:rsidR="00D80B5B" w:rsidRPr="004A5029">
        <w:rPr>
          <w:bCs/>
          <w:color w:val="000000" w:themeColor="text1"/>
          <w:sz w:val="22"/>
          <w:szCs w:val="22"/>
        </w:rPr>
        <w:t>del 23 ottobre 2007</w:t>
      </w:r>
      <w:r w:rsidRPr="004A5029">
        <w:rPr>
          <w:bCs/>
          <w:color w:val="000000" w:themeColor="text1"/>
          <w:sz w:val="22"/>
          <w:szCs w:val="22"/>
        </w:rPr>
        <w:t>.</w:t>
      </w:r>
      <w:r w:rsidR="00D23640" w:rsidRPr="004A5029">
        <w:rPr>
          <w:bCs/>
          <w:color w:val="000000" w:themeColor="text1"/>
          <w:sz w:val="22"/>
          <w:szCs w:val="22"/>
        </w:rPr>
        <w:t xml:space="preserve"> </w:t>
      </w:r>
    </w:p>
    <w:p w14:paraId="7D62D461" w14:textId="05DE501A" w:rsidR="00427A36" w:rsidRPr="004A5029" w:rsidRDefault="00427A36" w:rsidP="00427A36">
      <w:pPr>
        <w:pStyle w:val="paragraph"/>
        <w:spacing w:before="0" w:beforeAutospacing="0" w:after="160" w:afterAutospacing="0" w:line="259" w:lineRule="auto"/>
        <w:jc w:val="both"/>
        <w:textAlignment w:val="baseline"/>
        <w:rPr>
          <w:rFonts w:eastAsiaTheme="minorHAnsi"/>
          <w:color w:val="000000" w:themeColor="text1"/>
          <w:sz w:val="22"/>
          <w:szCs w:val="22"/>
          <w:lang w:eastAsia="en-US"/>
        </w:rPr>
      </w:pPr>
    </w:p>
    <w:p w14:paraId="3CB3967D" w14:textId="50A11738" w:rsidR="00600CEA" w:rsidRPr="004A5029" w:rsidRDefault="00600CEA" w:rsidP="00427A36">
      <w:pPr>
        <w:pStyle w:val="paragraph"/>
        <w:spacing w:before="0" w:beforeAutospacing="0" w:after="160" w:afterAutospacing="0" w:line="259" w:lineRule="auto"/>
        <w:jc w:val="both"/>
        <w:textAlignment w:val="baseline"/>
        <w:rPr>
          <w:rFonts w:eastAsiaTheme="minorHAnsi"/>
          <w:color w:val="000000" w:themeColor="text1"/>
          <w:sz w:val="22"/>
          <w:szCs w:val="22"/>
          <w:lang w:eastAsia="en-US"/>
        </w:rPr>
      </w:pPr>
    </w:p>
    <w:p w14:paraId="4F04A911" w14:textId="00D6D655" w:rsidR="00600CEA" w:rsidRPr="004A5029" w:rsidRDefault="00600CEA" w:rsidP="00427A36">
      <w:pPr>
        <w:pStyle w:val="paragraph"/>
        <w:spacing w:before="0" w:beforeAutospacing="0" w:after="160" w:afterAutospacing="0" w:line="259" w:lineRule="auto"/>
        <w:jc w:val="both"/>
        <w:textAlignment w:val="baseline"/>
        <w:rPr>
          <w:rFonts w:eastAsiaTheme="minorHAnsi"/>
          <w:color w:val="000000" w:themeColor="text1"/>
          <w:sz w:val="22"/>
          <w:szCs w:val="22"/>
          <w:lang w:eastAsia="en-US"/>
        </w:rPr>
      </w:pPr>
    </w:p>
    <w:p w14:paraId="4CE93699" w14:textId="77777777" w:rsidR="00600CEA" w:rsidRPr="004A5029" w:rsidRDefault="00600CEA" w:rsidP="00427A36">
      <w:pPr>
        <w:pStyle w:val="paragraph"/>
        <w:spacing w:before="0" w:beforeAutospacing="0" w:after="160" w:afterAutospacing="0" w:line="259" w:lineRule="auto"/>
        <w:jc w:val="both"/>
        <w:textAlignment w:val="baseline"/>
        <w:rPr>
          <w:rFonts w:eastAsiaTheme="minorHAnsi"/>
          <w:color w:val="000000" w:themeColor="text1"/>
          <w:sz w:val="22"/>
          <w:szCs w:val="22"/>
          <w:lang w:eastAsia="en-US"/>
        </w:rPr>
      </w:pPr>
    </w:p>
    <w:p w14:paraId="661F4DB9"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150</w:t>
      </w:r>
      <w:r w:rsidRPr="004A5029">
        <w:rPr>
          <w:rStyle w:val="normaltextrun"/>
          <w:b/>
          <w:bCs/>
          <w:color w:val="000000" w:themeColor="text1"/>
          <w:sz w:val="22"/>
          <w:szCs w:val="22"/>
        </w:rPr>
        <w:t>.</w:t>
      </w:r>
    </w:p>
    <w:p w14:paraId="6398C83D"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Settore dei porti e degli aeroporti</w:t>
      </w:r>
      <w:r w:rsidRPr="004A5029">
        <w:rPr>
          <w:rStyle w:val="normaltextrun"/>
          <w:bCs/>
          <w:color w:val="000000" w:themeColor="text1"/>
          <w:sz w:val="22"/>
          <w:szCs w:val="22"/>
        </w:rPr>
        <w:t>.</w:t>
      </w:r>
    </w:p>
    <w:p w14:paraId="6052CEDF" w14:textId="77777777" w:rsidR="00427A36" w:rsidRPr="004A5029" w:rsidRDefault="00427A36" w:rsidP="00427A36">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1. Le </w:t>
      </w:r>
      <w:r w:rsidRPr="004A5029">
        <w:rPr>
          <w:rFonts w:ascii="Times New Roman" w:hAnsi="Times New Roman" w:cs="Times New Roman"/>
          <w:bCs/>
          <w:color w:val="000000" w:themeColor="text1"/>
        </w:rPr>
        <w:t>disposizioni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del codice</w:t>
      </w:r>
      <w:r w:rsidRPr="004A5029">
        <w:rPr>
          <w:rFonts w:ascii="Times New Roman" w:hAnsi="Times New Roman" w:cs="Times New Roman"/>
          <w:color w:val="000000" w:themeColor="text1"/>
        </w:rPr>
        <w:t xml:space="preserve"> si applicano alle attività relative allo sfruttamento di un’area geografica per la messa a disposizione di aeroporti, porti marittimi o interni e di altri terminali di trasporto ai vettori aerei, marittimi e fluviali.</w:t>
      </w:r>
    </w:p>
    <w:p w14:paraId="078B034E" w14:textId="77777777" w:rsidR="00427A36" w:rsidRPr="004A5029" w:rsidRDefault="00427A36" w:rsidP="00427A36">
      <w:pPr>
        <w:jc w:val="both"/>
        <w:rPr>
          <w:rFonts w:ascii="Times New Roman" w:hAnsi="Times New Roman" w:cs="Times New Roman"/>
          <w:color w:val="000000" w:themeColor="text1"/>
        </w:rPr>
      </w:pPr>
    </w:p>
    <w:p w14:paraId="519855A2"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w:t>
      </w:r>
      <w:r w:rsidRPr="004A5029">
        <w:rPr>
          <w:rStyle w:val="normaltextrun"/>
          <w:b/>
          <w:bCs/>
          <w:color w:val="000000" w:themeColor="text1"/>
          <w:sz w:val="22"/>
          <w:szCs w:val="22"/>
        </w:rPr>
        <w:t xml:space="preserve"> 151.</w:t>
      </w:r>
    </w:p>
    <w:p w14:paraId="1FA62124"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normaltextrun"/>
          <w:bCs/>
          <w:i/>
          <w:iCs/>
          <w:color w:val="000000" w:themeColor="text1"/>
          <w:sz w:val="22"/>
          <w:szCs w:val="22"/>
        </w:rPr>
        <w:t>Settore dei servizi postali</w:t>
      </w:r>
      <w:r w:rsidRPr="004A5029">
        <w:rPr>
          <w:rStyle w:val="normaltextrun"/>
          <w:bCs/>
          <w:color w:val="000000" w:themeColor="text1"/>
          <w:sz w:val="22"/>
          <w:szCs w:val="22"/>
        </w:rPr>
        <w:t>.</w:t>
      </w:r>
    </w:p>
    <w:p w14:paraId="1EF22A6D"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rStyle w:val="eop"/>
          <w:color w:val="000000" w:themeColor="text1"/>
          <w:sz w:val="22"/>
          <w:szCs w:val="22"/>
        </w:rPr>
        <w:t>1. Le disposizioni del codice si applicano alle attività relative alla prestazione di:</w:t>
      </w:r>
    </w:p>
    <w:p w14:paraId="3A0B4F4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servizi postali;</w:t>
      </w:r>
    </w:p>
    <w:p w14:paraId="1862D663" w14:textId="77777777" w:rsidR="00427A36" w:rsidRPr="004A5029" w:rsidRDefault="00427A36" w:rsidP="00427A36">
      <w:pPr>
        <w:jc w:val="both"/>
        <w:rPr>
          <w:rFonts w:ascii="Times New Roman" w:hAnsi="Times New Roman" w:cs="Times New Roman"/>
          <w:color w:val="000000" w:themeColor="text1"/>
          <w:shd w:val="clear" w:color="auto" w:fill="FFFFFF"/>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altri servizi, diversi da quelli postali, quando siano prestati da un ente che fornisca anche servizi postali e a condizione che questi ultimi non riguardino attività direttamente esposte alla concorrenza su mercati liberamente accessibili, ai sensi dell’articolo</w:t>
      </w:r>
      <w:r w:rsidRPr="004A5029">
        <w:rPr>
          <w:rFonts w:ascii="Times New Roman" w:eastAsia="Times New Roman" w:hAnsi="Times New Roman" w:cs="Times New Roman"/>
          <w:color w:val="000000" w:themeColor="text1"/>
        </w:rPr>
        <w:t xml:space="preserve"> 143.</w:t>
      </w:r>
    </w:p>
    <w:p w14:paraId="3ADEDE29"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Ai fini del codice e fatto salvo quanto previsto dal decreto legislativo 22 luglio 1999, n. 261 si intende per:</w:t>
      </w:r>
    </w:p>
    <w:p w14:paraId="651005BF" w14:textId="59E1AA6F"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xml:space="preserve">) «invio postale»: un invio indirizzato nella forma definitiva al momento in cui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preso in consegna, indipendentemente dal suo peso, </w:t>
      </w:r>
      <w:r w:rsidRPr="004A5029">
        <w:rPr>
          <w:rFonts w:ascii="Times New Roman" w:eastAsia="Calibri" w:hAnsi="Times New Roman" w:cs="Times New Roman"/>
          <w:color w:val="000000" w:themeColor="text1"/>
        </w:rPr>
        <w:t>che abbia per</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bCs/>
          <w:color w:val="000000" w:themeColor="text1"/>
        </w:rPr>
        <w:t>oggetto</w:t>
      </w:r>
      <w:r w:rsidRPr="004A5029">
        <w:rPr>
          <w:rFonts w:ascii="Times New Roman" w:hAnsi="Times New Roman" w:cs="Times New Roman"/>
          <w:color w:val="000000" w:themeColor="text1"/>
        </w:rPr>
        <w:t xml:space="preserve"> corrispondenza, libri, cataloghi, giornali, periodici e pacchi postali contenenti merci con o senza valore commerciale;</w:t>
      </w:r>
    </w:p>
    <w:p w14:paraId="4E725B4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b</w:t>
      </w:r>
      <w:r w:rsidRPr="004A5029">
        <w:rPr>
          <w:rFonts w:ascii="Times New Roman" w:hAnsi="Times New Roman" w:cs="Times New Roman"/>
          <w:color w:val="000000" w:themeColor="text1"/>
        </w:rPr>
        <w:t>) «servizi postali»: servizi consistenti in raccolta, smistamento, trasporto e distribuzione di invii postali, comprensivi sia dei servizi rientranti nell’ambito di applicazione del servizio universale istituito ai sensi della direttiva 97/67/CE del Parlamento europeo e del Consiglio del 15 dicembre 1997, sia di quelli che ne sono esclusi;</w:t>
      </w:r>
    </w:p>
    <w:p w14:paraId="34F295A1"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c</w:t>
      </w:r>
      <w:r w:rsidRPr="004A5029">
        <w:rPr>
          <w:rFonts w:ascii="Times New Roman" w:hAnsi="Times New Roman" w:cs="Times New Roman"/>
          <w:color w:val="000000" w:themeColor="text1"/>
        </w:rPr>
        <w:t xml:space="preserve">) «altri servizi diversi dai servizi postali»: i servizi di gestione di servizi postali, precedenti l’invio e successivi all’invio, compresi i servizi di smistamento della posta, e i servizi di spedizione diversi da quelli di cui alla lettera </w:t>
      </w:r>
      <w:r w:rsidRPr="004A5029">
        <w:rPr>
          <w:rFonts w:ascii="Times New Roman" w:hAnsi="Times New Roman" w:cs="Times New Roman"/>
          <w:i/>
          <w:iCs/>
          <w:color w:val="000000" w:themeColor="text1"/>
        </w:rPr>
        <w:t>a</w:t>
      </w:r>
      <w:r w:rsidRPr="004A5029">
        <w:rPr>
          <w:rFonts w:ascii="Times New Roman" w:hAnsi="Times New Roman" w:cs="Times New Roman"/>
          <w:color w:val="000000" w:themeColor="text1"/>
        </w:rPr>
        <w:t>), quali la spedizione di invii pubblicitari, privi di indirizzo.</w:t>
      </w:r>
    </w:p>
    <w:p w14:paraId="492506DD" w14:textId="77777777" w:rsidR="00427A36" w:rsidRPr="004A5029" w:rsidRDefault="00427A36" w:rsidP="00427A36">
      <w:pPr>
        <w:jc w:val="both"/>
        <w:rPr>
          <w:rFonts w:ascii="Times New Roman" w:hAnsi="Times New Roman" w:cs="Times New Roman"/>
          <w:color w:val="000000" w:themeColor="text1"/>
        </w:rPr>
      </w:pPr>
    </w:p>
    <w:p w14:paraId="3F5BB6C2" w14:textId="77777777" w:rsidR="00427A36" w:rsidRPr="004A5029" w:rsidRDefault="00427A36" w:rsidP="00427A36">
      <w:pPr>
        <w:pStyle w:val="paragraph"/>
        <w:spacing w:before="0" w:beforeAutospacing="0" w:after="160" w:afterAutospacing="0" w:line="259" w:lineRule="auto"/>
        <w:jc w:val="both"/>
        <w:textAlignment w:val="baseline"/>
        <w:rPr>
          <w:color w:val="000000" w:themeColor="text1"/>
          <w:sz w:val="22"/>
          <w:szCs w:val="22"/>
        </w:rPr>
      </w:pPr>
      <w:r w:rsidRPr="004A5029">
        <w:rPr>
          <w:b/>
          <w:color w:val="000000" w:themeColor="text1"/>
          <w:sz w:val="22"/>
          <w:szCs w:val="22"/>
        </w:rPr>
        <w:t>Articolo 152.</w:t>
      </w:r>
    </w:p>
    <w:p w14:paraId="3C97F736" w14:textId="77777777" w:rsidR="00427A36" w:rsidRPr="004A5029" w:rsidRDefault="00427A36" w:rsidP="00427A36">
      <w:pPr>
        <w:jc w:val="both"/>
        <w:rPr>
          <w:rFonts w:ascii="Times New Roman" w:hAnsi="Times New Roman" w:cs="Times New Roman"/>
          <w:bCs/>
          <w:color w:val="000000" w:themeColor="text1"/>
        </w:rPr>
      </w:pPr>
      <w:r w:rsidRPr="004A5029">
        <w:rPr>
          <w:rStyle w:val="normaltextrun"/>
          <w:rFonts w:ascii="Times New Roman" w:hAnsi="Times New Roman" w:cs="Times New Roman"/>
          <w:bCs/>
          <w:i/>
          <w:iCs/>
          <w:color w:val="000000" w:themeColor="text1"/>
        </w:rPr>
        <w:t>Estrazione di gas e prospezione o estrazione di carbone o di altri combustibili solidi</w:t>
      </w:r>
      <w:r w:rsidRPr="004A5029">
        <w:rPr>
          <w:rStyle w:val="normaltextrun"/>
          <w:rFonts w:ascii="Times New Roman" w:hAnsi="Times New Roman" w:cs="Times New Roman"/>
          <w:bCs/>
          <w:color w:val="000000" w:themeColor="text1"/>
        </w:rPr>
        <w:t>.</w:t>
      </w:r>
    </w:p>
    <w:p w14:paraId="10B6AED8" w14:textId="77777777" w:rsidR="00427A36" w:rsidRPr="004A5029" w:rsidRDefault="00427A36" w:rsidP="00427A36">
      <w:pPr>
        <w:jc w:val="both"/>
        <w:rPr>
          <w:rStyle w:val="normaltextrun"/>
          <w:rFonts w:ascii="Times New Roman" w:hAnsi="Times New Roman" w:cs="Times New Roman"/>
          <w:color w:val="000000" w:themeColor="text1"/>
        </w:rPr>
      </w:pPr>
      <w:r w:rsidRPr="004A5029">
        <w:rPr>
          <w:rStyle w:val="normaltextrun"/>
          <w:rFonts w:ascii="Times New Roman" w:hAnsi="Times New Roman" w:cs="Times New Roman"/>
          <w:color w:val="000000" w:themeColor="text1"/>
        </w:rPr>
        <w:t>1. Le disposizioni del codice si applicano alle attività relative allo sfruttamento di un’area geografica, ai seguenti fini:</w:t>
      </w:r>
    </w:p>
    <w:p w14:paraId="7C4B1538" w14:textId="77777777" w:rsidR="00427A36" w:rsidRPr="004A5029" w:rsidRDefault="00427A36" w:rsidP="00427A36">
      <w:pPr>
        <w:jc w:val="both"/>
        <w:rPr>
          <w:rStyle w:val="normaltextrun"/>
          <w:rFonts w:ascii="Times New Roman" w:hAnsi="Times New Roman" w:cs="Times New Roman"/>
          <w:color w:val="000000" w:themeColor="text1"/>
        </w:rPr>
      </w:pPr>
      <w:r w:rsidRPr="004A5029">
        <w:rPr>
          <w:rStyle w:val="normaltextrun"/>
          <w:rFonts w:ascii="Times New Roman" w:hAnsi="Times New Roman" w:cs="Times New Roman"/>
          <w:i/>
          <w:iCs/>
          <w:color w:val="000000" w:themeColor="text1"/>
        </w:rPr>
        <w:t>a</w:t>
      </w:r>
      <w:r w:rsidRPr="004A5029">
        <w:rPr>
          <w:rStyle w:val="normaltextrun"/>
          <w:rFonts w:ascii="Times New Roman" w:hAnsi="Times New Roman" w:cs="Times New Roman"/>
          <w:color w:val="000000" w:themeColor="text1"/>
        </w:rPr>
        <w:t xml:space="preserve">) estrazione di petrolio, estrazione </w:t>
      </w:r>
      <w:r w:rsidRPr="004A5029">
        <w:rPr>
          <w:rStyle w:val="normaltextrun"/>
          <w:rFonts w:ascii="Times New Roman" w:hAnsi="Times New Roman" w:cs="Times New Roman"/>
          <w:bCs/>
          <w:color w:val="000000" w:themeColor="text1"/>
        </w:rPr>
        <w:t>o produzione</w:t>
      </w:r>
      <w:r w:rsidRPr="004A5029">
        <w:rPr>
          <w:rStyle w:val="normaltextrun"/>
          <w:rFonts w:ascii="Times New Roman" w:hAnsi="Times New Roman" w:cs="Times New Roman"/>
          <w:color w:val="000000" w:themeColor="text1"/>
        </w:rPr>
        <w:t xml:space="preserve"> di gas;</w:t>
      </w:r>
    </w:p>
    <w:p w14:paraId="4B09712E" w14:textId="77777777" w:rsidR="00427A36" w:rsidRPr="004A5029" w:rsidRDefault="00427A36" w:rsidP="00427A36">
      <w:pPr>
        <w:jc w:val="both"/>
        <w:rPr>
          <w:rFonts w:ascii="Times New Roman" w:hAnsi="Times New Roman" w:cs="Times New Roman"/>
          <w:color w:val="000000" w:themeColor="text1"/>
          <w:shd w:val="clear" w:color="auto" w:fill="FFFFFF"/>
        </w:rPr>
      </w:pPr>
      <w:r w:rsidRPr="004A5029">
        <w:rPr>
          <w:rStyle w:val="normaltextrun"/>
          <w:rFonts w:ascii="Times New Roman" w:hAnsi="Times New Roman" w:cs="Times New Roman"/>
          <w:i/>
          <w:iCs/>
          <w:color w:val="000000" w:themeColor="text1"/>
        </w:rPr>
        <w:t>b</w:t>
      </w:r>
      <w:r w:rsidRPr="004A5029">
        <w:rPr>
          <w:rStyle w:val="normaltextrun"/>
          <w:rFonts w:ascii="Times New Roman" w:hAnsi="Times New Roman" w:cs="Times New Roman"/>
          <w:color w:val="000000" w:themeColor="text1"/>
        </w:rPr>
        <w:t>) prospezione o estrazione di carbone o di altri combustibili solidi.</w:t>
      </w:r>
    </w:p>
    <w:p w14:paraId="6BD409CD" w14:textId="77777777" w:rsidR="00427A36" w:rsidRPr="004A5029" w:rsidRDefault="00427A36" w:rsidP="00427A36">
      <w:pPr>
        <w:jc w:val="both"/>
        <w:rPr>
          <w:rFonts w:ascii="Times New Roman" w:hAnsi="Times New Roman" w:cs="Times New Roman"/>
          <w:color w:val="000000" w:themeColor="text1"/>
        </w:rPr>
      </w:pPr>
      <w:r w:rsidRPr="004A5029">
        <w:rPr>
          <w:rStyle w:val="normaltextrun"/>
          <w:rFonts w:ascii="Times New Roman" w:hAnsi="Times New Roman" w:cs="Times New Roman"/>
          <w:color w:val="000000" w:themeColor="text1"/>
        </w:rPr>
        <w:t xml:space="preserve">2. Rimangono escluse </w:t>
      </w:r>
      <w:r w:rsidRPr="004A5029">
        <w:rPr>
          <w:rStyle w:val="normaltextrun"/>
          <w:rFonts w:ascii="Times New Roman" w:hAnsi="Times New Roman" w:cs="Times New Roman"/>
          <w:bCs/>
          <w:color w:val="000000" w:themeColor="text1"/>
        </w:rPr>
        <w:t xml:space="preserve">dall’applicazione </w:t>
      </w:r>
      <w:r w:rsidRPr="004A5029">
        <w:rPr>
          <w:rFonts w:ascii="Times New Roman" w:eastAsia="Calibri" w:hAnsi="Times New Roman" w:cs="Times New Roman"/>
          <w:color w:val="000000" w:themeColor="text1"/>
        </w:rPr>
        <w:t>delle disposizioni</w:t>
      </w:r>
      <w:r w:rsidRPr="004A5029">
        <w:rPr>
          <w:rFonts w:ascii="Times New Roman" w:eastAsia="Times New Roman" w:hAnsi="Times New Roman" w:cs="Times New Roman"/>
          <w:color w:val="000000" w:themeColor="text1"/>
        </w:rPr>
        <w:t xml:space="preserve"> del </w:t>
      </w:r>
      <w:r w:rsidRPr="004A5029">
        <w:rPr>
          <w:rStyle w:val="normaltextrun"/>
          <w:rFonts w:ascii="Times New Roman" w:hAnsi="Times New Roman" w:cs="Times New Roman"/>
          <w:bCs/>
          <w:color w:val="000000" w:themeColor="text1"/>
        </w:rPr>
        <w:t>codice</w:t>
      </w:r>
      <w:r w:rsidRPr="004A5029">
        <w:rPr>
          <w:rStyle w:val="normaltextrun"/>
          <w:rFonts w:ascii="Times New Roman" w:hAnsi="Times New Roman" w:cs="Times New Roman"/>
          <w:color w:val="000000" w:themeColor="text1"/>
        </w:rPr>
        <w:t xml:space="preserve"> le attività relative allo sfruttamento di un’area geografica, ai fini di prospezione di petrolio e di gas naturale, nonché di produzione di petrolio, in quanto attività direttamente esposte alla concorrenza su mercati liberamente accessibili.</w:t>
      </w:r>
    </w:p>
    <w:p w14:paraId="31CD0C16" w14:textId="77777777" w:rsidR="00427A36"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br w:type="page"/>
      </w:r>
    </w:p>
    <w:p w14:paraId="2F9DF578" w14:textId="77777777" w:rsidR="00DC7D5C"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 </w:t>
      </w:r>
    </w:p>
    <w:p w14:paraId="7314331E" w14:textId="74D5229E" w:rsidR="00427A36"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DELLE PROCEDURE DI SCELTA DEL CONTRAENTE</w:t>
      </w:r>
    </w:p>
    <w:p w14:paraId="7FD8715F" w14:textId="77777777" w:rsidR="00427A36" w:rsidRPr="004A5029" w:rsidRDefault="00427A36" w:rsidP="00427A36">
      <w:pPr>
        <w:jc w:val="both"/>
        <w:rPr>
          <w:rFonts w:ascii="Times New Roman" w:hAnsi="Times New Roman" w:cs="Times New Roman"/>
          <w:b/>
          <w:bCs/>
          <w:color w:val="000000" w:themeColor="text1"/>
          <w:highlight w:val="red"/>
        </w:rPr>
      </w:pPr>
    </w:p>
    <w:p w14:paraId="531CC1AC"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153.</w:t>
      </w:r>
    </w:p>
    <w:p w14:paraId="7F359F1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Norme applicabili.</w:t>
      </w:r>
    </w:p>
    <w:p w14:paraId="69A42CA7" w14:textId="77777777" w:rsidR="00427A36" w:rsidRPr="004A5029" w:rsidRDefault="00427A36" w:rsidP="00427A36">
      <w:pPr>
        <w:jc w:val="both"/>
        <w:rPr>
          <w:rFonts w:ascii="Times New Roman" w:hAnsi="Times New Roman" w:cs="Times New Roman"/>
          <w:color w:val="000000" w:themeColor="text1"/>
          <w:highlight w:val="cyan"/>
        </w:rPr>
      </w:pPr>
      <w:r w:rsidRPr="004A5029">
        <w:rPr>
          <w:rFonts w:ascii="Times New Roman" w:hAnsi="Times New Roman" w:cs="Times New Roman"/>
          <w:color w:val="000000" w:themeColor="text1"/>
        </w:rPr>
        <w:t>1. Con riferimento alle procedure di scelta del contraente,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o gli enti concedenti</w:t>
      </w:r>
      <w:r w:rsidRPr="004A5029">
        <w:rPr>
          <w:rFonts w:ascii="Times New Roman" w:hAnsi="Times New Roman" w:cs="Times New Roman"/>
          <w:color w:val="000000" w:themeColor="text1"/>
        </w:rPr>
        <w:t xml:space="preserve"> nei settori speciali applicano i seguenti articoli:</w:t>
      </w:r>
    </w:p>
    <w:p w14:paraId="22E0A074" w14:textId="09C563BA"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articolo 71, salvo che la disposizione sull'avviso di pre-informazione si intende riferita all'avviso periodico indicativo di cui all'allegato II.6,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p>
    <w:p w14:paraId="331B29BC" w14:textId="19F41384"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articolo 74, salvo che, nel dialogo competitivo indetto nell’ambito dei settori speciali, qualsiasi operatore economico può chiedere di partecipare in risposta a un avviso di indizione di gara ai sensi dell’articolo 155, comma 3, lettere b) e c), fornendo le informazioni richieste dalla stazione appaltante o dall’ente concedente; il termine minimo per la ricezione delle domande di partecipazione è fissato, di norma, a non meno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data di trasmissione del bando di gara o, se come mezzo di indizione di gara è usato un avviso periodico indicativo, dell’invito a confermare interesse, e non può in alcun caso essere inferiore a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 xml:space="preserve">giorni; </w:t>
      </w:r>
    </w:p>
    <w:p w14:paraId="65E9B1A1" w14:textId="1E1414A5"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articoli 70, comma 6, e 75, salvo che, nei partenariati per l’innovazione indetti nell’ambito dei settori speciali, qualsiasi operatore economico può presentare una domanda di partecipazione in risposta a un avviso di indizione di gara, ai sensi dell’articolo 155, comma 3, lettere b) e c), presentando le informazioni richieste dalla stazione appaltante o dall’ente concedente; il termine minimo per la ricezione delle domande di partecipazione è fissato, di norma, a non meno di </w:t>
      </w:r>
      <w:r w:rsidR="00EF254E" w:rsidRPr="004A5029">
        <w:rPr>
          <w:rFonts w:ascii="Times New Roman" w:hAnsi="Times New Roman" w:cs="Times New Roman"/>
          <w:b/>
          <w:strike/>
          <w:color w:val="000000" w:themeColor="text1"/>
        </w:rPr>
        <w:t>30</w:t>
      </w:r>
      <w:r w:rsidR="00EF254E"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data di trasmissione del bando di gara e non può in alcun caso essere inferiore a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EF254E"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giorni;</w:t>
      </w:r>
    </w:p>
    <w:p w14:paraId="4A0AAB0B"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w:t>
      </w:r>
      <w:r w:rsidRPr="004A5029">
        <w:rPr>
          <w:rFonts w:ascii="Times New Roman" w:eastAsia="Times New Roman" w:hAnsi="Times New Roman" w:cs="Times New Roman"/>
          <w:color w:val="000000" w:themeColor="text1"/>
        </w:rPr>
        <w:t xml:space="preserve">articoli 77, 78, 79 e 80; </w:t>
      </w:r>
    </w:p>
    <w:p w14:paraId="3C55C692" w14:textId="59EDC723"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articolo 85, salvo che la disposizione sull’avviso di pre</w:t>
      </w:r>
      <w:r w:rsidR="00FE1F32"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informazione si intende riferita all’avviso periodico indicativo.</w:t>
      </w:r>
    </w:p>
    <w:p w14:paraId="6BDFDFC2" w14:textId="77777777" w:rsidR="00427A36" w:rsidRPr="004A5029" w:rsidRDefault="00427A36" w:rsidP="00427A36">
      <w:pPr>
        <w:rPr>
          <w:rFonts w:ascii="Times New Roman" w:hAnsi="Times New Roman" w:cs="Times New Roman"/>
          <w:color w:val="000000" w:themeColor="text1"/>
        </w:rPr>
      </w:pPr>
    </w:p>
    <w:p w14:paraId="16E69D13"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154.</w:t>
      </w:r>
    </w:p>
    <w:p w14:paraId="149A5CF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Accordi quadro</w:t>
      </w:r>
      <w:r w:rsidRPr="004A5029">
        <w:rPr>
          <w:rFonts w:ascii="Times New Roman" w:hAnsi="Times New Roman" w:cs="Times New Roman"/>
          <w:color w:val="000000" w:themeColor="text1"/>
        </w:rPr>
        <w:t>.</w:t>
      </w:r>
    </w:p>
    <w:p w14:paraId="5922EBE3" w14:textId="29915A04" w:rsidR="00427A36" w:rsidRPr="004A5029" w:rsidRDefault="00427A36" w:rsidP="00427A36">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lang w:eastAsia="it-IT"/>
        </w:rPr>
        <w:t xml:space="preserve">1. </w:t>
      </w:r>
      <w:r w:rsidRPr="004A5029">
        <w:rPr>
          <w:rFonts w:ascii="Times New Roman" w:eastAsia="Times New Roman" w:hAnsi="Times New Roman" w:cs="Times New Roman"/>
          <w:bCs/>
          <w:color w:val="000000" w:themeColor="text1"/>
          <w:lang w:eastAsia="it-IT"/>
        </w:rPr>
        <w:t xml:space="preserve">Negli affidamenti di cui al presente </w:t>
      </w:r>
      <w:r w:rsidR="006A1D1B" w:rsidRPr="004A5029">
        <w:rPr>
          <w:rFonts w:ascii="Times New Roman" w:eastAsia="Times New Roman" w:hAnsi="Times New Roman" w:cs="Times New Roman"/>
          <w:bCs/>
          <w:color w:val="000000" w:themeColor="text1"/>
          <w:lang w:eastAsia="it-IT"/>
        </w:rPr>
        <w:t>L</w:t>
      </w:r>
      <w:r w:rsidRPr="004A5029">
        <w:rPr>
          <w:rFonts w:ascii="Times New Roman" w:eastAsia="Times New Roman" w:hAnsi="Times New Roman" w:cs="Times New Roman"/>
          <w:bCs/>
          <w:color w:val="000000" w:themeColor="text1"/>
          <w:lang w:eastAsia="it-IT"/>
        </w:rPr>
        <w:t xml:space="preserve">ibro, </w:t>
      </w:r>
      <w:r w:rsidRPr="004A5029">
        <w:rPr>
          <w:rFonts w:ascii="Times New Roman" w:eastAsia="Times New Roman" w:hAnsi="Times New Roman" w:cs="Times New Roman"/>
          <w:color w:val="000000" w:themeColor="text1"/>
          <w:lang w:eastAsia="it-IT"/>
        </w:rPr>
        <w:t>gli appalti basati su un accordo quadro sono aggiudicati in base a regole e criteri oggettivi che possono prevedere la riapertura del confronto competitivo tra gli operatori economici</w:t>
      </w:r>
      <w:r w:rsidRPr="004A5029">
        <w:rPr>
          <w:rFonts w:ascii="Times New Roman" w:eastAsia="Calibri" w:hAnsi="Times New Roman" w:cs="Times New Roman"/>
          <w:color w:val="000000" w:themeColor="text1"/>
        </w:rPr>
        <w:t xml:space="preserve"> partecipanti all’accordo</w:t>
      </w:r>
      <w:r w:rsidRPr="004A5029">
        <w:rPr>
          <w:rFonts w:ascii="Times New Roman" w:eastAsia="Times New Roman" w:hAnsi="Times New Roman" w:cs="Times New Roman"/>
          <w:color w:val="000000" w:themeColor="text1"/>
          <w:lang w:eastAsia="it-IT"/>
        </w:rPr>
        <w:t xml:space="preserve">. </w:t>
      </w:r>
      <w:r w:rsidRPr="004A5029">
        <w:rPr>
          <w:rFonts w:ascii="Times New Roman" w:eastAsia="Calibri" w:hAnsi="Times New Roman" w:cs="Times New Roman"/>
          <w:bCs/>
          <w:color w:val="000000" w:themeColor="text1"/>
        </w:rPr>
        <w:t>Le</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lang w:eastAsia="it-IT"/>
        </w:rPr>
        <w:t xml:space="preserve">regole e i criteri sono indicati nei documenti di gara per l'accordo quadro e garantiscono parità di trattamento tra gli operatori economici parti dell'accordo. </w:t>
      </w:r>
      <w:r w:rsidRPr="004A5029">
        <w:rPr>
          <w:rFonts w:ascii="Times New Roman" w:eastAsia="Times New Roman" w:hAnsi="Times New Roman" w:cs="Times New Roman"/>
          <w:bCs/>
          <w:color w:val="000000" w:themeColor="text1"/>
          <w:lang w:eastAsia="it-IT"/>
        </w:rPr>
        <w:t xml:space="preserve">Quando è </w:t>
      </w:r>
      <w:r w:rsidRPr="004A5029">
        <w:rPr>
          <w:rFonts w:ascii="Times New Roman" w:eastAsia="Times New Roman" w:hAnsi="Times New Roman" w:cs="Times New Roman"/>
          <w:color w:val="000000" w:themeColor="text1"/>
          <w:lang w:eastAsia="it-IT"/>
        </w:rPr>
        <w:t xml:space="preserve">prevista la riapertura del confronto competitivo, </w:t>
      </w:r>
      <w:r w:rsidRPr="004A5029">
        <w:rPr>
          <w:rFonts w:ascii="Times New Roman" w:eastAsia="Times New Roman" w:hAnsi="Times New Roman" w:cs="Times New Roman"/>
          <w:bCs/>
          <w:color w:val="000000" w:themeColor="text1"/>
          <w:lang w:eastAsia="it-IT"/>
        </w:rPr>
        <w:t xml:space="preserve">la stazione appaltante o l’ente concedente </w:t>
      </w:r>
      <w:r w:rsidRPr="004A5029">
        <w:rPr>
          <w:rFonts w:ascii="Times New Roman" w:eastAsia="Times New Roman" w:hAnsi="Times New Roman" w:cs="Times New Roman"/>
          <w:b/>
          <w:strike/>
          <w:color w:val="000000" w:themeColor="text1"/>
          <w:lang w:eastAsia="it-IT"/>
        </w:rPr>
        <w:t>fissano</w:t>
      </w:r>
      <w:r w:rsidRPr="004A5029">
        <w:rPr>
          <w:rFonts w:ascii="Times New Roman" w:eastAsia="Times New Roman" w:hAnsi="Times New Roman" w:cs="Times New Roman"/>
          <w:b/>
          <w:color w:val="000000" w:themeColor="text1"/>
          <w:lang w:eastAsia="it-IT"/>
        </w:rPr>
        <w:t xml:space="preserve"> </w:t>
      </w:r>
      <w:r w:rsidR="00493C15" w:rsidRPr="004A5029">
        <w:rPr>
          <w:rFonts w:ascii="Times New Roman" w:eastAsia="Times New Roman" w:hAnsi="Times New Roman" w:cs="Times New Roman"/>
          <w:b/>
          <w:color w:val="000000" w:themeColor="text1"/>
          <w:lang w:eastAsia="it-IT"/>
        </w:rPr>
        <w:t>fissa</w:t>
      </w:r>
      <w:r w:rsidR="00493C15" w:rsidRPr="004A5029">
        <w:rPr>
          <w:rFonts w:ascii="Times New Roman" w:eastAsia="Times New Roman" w:hAnsi="Times New Roman" w:cs="Times New Roman"/>
          <w:color w:val="000000" w:themeColor="text1"/>
          <w:lang w:eastAsia="it-IT"/>
        </w:rPr>
        <w:t xml:space="preserve"> </w:t>
      </w:r>
      <w:r w:rsidRPr="004A5029">
        <w:rPr>
          <w:rFonts w:ascii="Times New Roman" w:eastAsia="Times New Roman" w:hAnsi="Times New Roman" w:cs="Times New Roman"/>
          <w:color w:val="000000" w:themeColor="text1"/>
          <w:lang w:eastAsia="it-IT"/>
        </w:rPr>
        <w:t xml:space="preserve">un termine sufficiente per consentire di presentare offerte relative a ciascun appalto specifico e aggiudicano ciascun appalto all'offerente che ha presentato la migliore offerta in base ai criteri di aggiudicazione stabiliti nel capitolato d'oneri dell'accordo quadro. </w:t>
      </w:r>
      <w:r w:rsidRPr="004A5029">
        <w:rPr>
          <w:rFonts w:ascii="Times New Roman" w:eastAsia="Times New Roman" w:hAnsi="Times New Roman" w:cs="Times New Roman"/>
          <w:bCs/>
          <w:color w:val="000000" w:themeColor="text1"/>
          <w:lang w:eastAsia="it-IT"/>
        </w:rPr>
        <w:t xml:space="preserve">La stazione appaltante o l’ente concedente </w:t>
      </w:r>
      <w:r w:rsidRPr="004A5029">
        <w:rPr>
          <w:rFonts w:ascii="Times New Roman" w:eastAsia="Times New Roman" w:hAnsi="Times New Roman" w:cs="Times New Roman"/>
          <w:color w:val="000000" w:themeColor="text1"/>
          <w:lang w:eastAsia="it-IT"/>
        </w:rPr>
        <w:t xml:space="preserve">non </w:t>
      </w:r>
      <w:r w:rsidRPr="004A5029">
        <w:rPr>
          <w:rFonts w:ascii="Times New Roman" w:eastAsia="Times New Roman" w:hAnsi="Times New Roman" w:cs="Times New Roman"/>
          <w:b/>
          <w:strike/>
          <w:color w:val="000000" w:themeColor="text1"/>
          <w:lang w:eastAsia="it-IT"/>
        </w:rPr>
        <w:t>possono</w:t>
      </w:r>
      <w:r w:rsidRPr="004A5029">
        <w:rPr>
          <w:rFonts w:ascii="Times New Roman" w:eastAsia="Times New Roman" w:hAnsi="Times New Roman" w:cs="Times New Roman"/>
          <w:b/>
          <w:color w:val="000000" w:themeColor="text1"/>
          <w:lang w:eastAsia="it-IT"/>
        </w:rPr>
        <w:t xml:space="preserve"> </w:t>
      </w:r>
      <w:r w:rsidR="00B8189B" w:rsidRPr="004A5029">
        <w:rPr>
          <w:rFonts w:ascii="Times New Roman" w:eastAsia="Times New Roman" w:hAnsi="Times New Roman" w:cs="Times New Roman"/>
          <w:b/>
          <w:color w:val="000000" w:themeColor="text1"/>
          <w:lang w:eastAsia="it-IT"/>
        </w:rPr>
        <w:t>può</w:t>
      </w:r>
      <w:r w:rsidR="00B8189B" w:rsidRPr="004A5029">
        <w:rPr>
          <w:rFonts w:ascii="Times New Roman" w:eastAsia="Times New Roman" w:hAnsi="Times New Roman" w:cs="Times New Roman"/>
          <w:b/>
          <w:bCs/>
          <w:color w:val="000000" w:themeColor="text1"/>
          <w:lang w:eastAsia="it-IT"/>
        </w:rPr>
        <w:t xml:space="preserve"> </w:t>
      </w:r>
      <w:r w:rsidRPr="004A5029">
        <w:rPr>
          <w:rFonts w:ascii="Times New Roman" w:eastAsia="Times New Roman" w:hAnsi="Times New Roman" w:cs="Times New Roman"/>
          <w:color w:val="000000" w:themeColor="text1"/>
          <w:lang w:eastAsia="it-IT"/>
        </w:rPr>
        <w:t>ricorrere agli accordi quadro per eludere l'applicazione del codice o per ostacolare, limitare o distorcere la concorrenza.</w:t>
      </w:r>
    </w:p>
    <w:p w14:paraId="41F9AE5E" w14:textId="29E05C82" w:rsidR="00427A36" w:rsidRPr="004A5029" w:rsidRDefault="00427A36" w:rsidP="00427A36">
      <w:pPr>
        <w:jc w:val="both"/>
        <w:rPr>
          <w:rFonts w:ascii="Times New Roman" w:hAnsi="Times New Roman" w:cs="Times New Roman"/>
          <w:color w:val="000000" w:themeColor="text1"/>
        </w:rPr>
      </w:pPr>
    </w:p>
    <w:p w14:paraId="1F49ACC3" w14:textId="68757DE5" w:rsidR="00600CEA" w:rsidRPr="004A5029" w:rsidRDefault="00600CEA" w:rsidP="00427A36">
      <w:pPr>
        <w:jc w:val="both"/>
        <w:rPr>
          <w:rFonts w:ascii="Times New Roman" w:hAnsi="Times New Roman" w:cs="Times New Roman"/>
          <w:color w:val="000000" w:themeColor="text1"/>
        </w:rPr>
      </w:pPr>
    </w:p>
    <w:p w14:paraId="7E6B97D9" w14:textId="00AD61FD" w:rsidR="00600CEA" w:rsidRPr="004A5029" w:rsidRDefault="00600CEA" w:rsidP="00427A36">
      <w:pPr>
        <w:jc w:val="both"/>
        <w:rPr>
          <w:rFonts w:ascii="Times New Roman" w:hAnsi="Times New Roman" w:cs="Times New Roman"/>
          <w:color w:val="000000" w:themeColor="text1"/>
        </w:rPr>
      </w:pPr>
    </w:p>
    <w:p w14:paraId="1694C7A8" w14:textId="77777777" w:rsidR="00600CEA" w:rsidRPr="004A5029" w:rsidRDefault="00600CEA" w:rsidP="00427A36">
      <w:pPr>
        <w:jc w:val="both"/>
        <w:rPr>
          <w:rFonts w:ascii="Times New Roman" w:hAnsi="Times New Roman" w:cs="Times New Roman"/>
          <w:color w:val="000000" w:themeColor="text1"/>
        </w:rPr>
      </w:pPr>
    </w:p>
    <w:p w14:paraId="261D1EF1"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155.</w:t>
      </w:r>
    </w:p>
    <w:p w14:paraId="59A04DD9"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Tipi di procedure.</w:t>
      </w:r>
    </w:p>
    <w:p w14:paraId="511B342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Per l’aggiudicazione di appalti pubblici, l</w:t>
      </w:r>
      <w:r w:rsidRPr="004A5029">
        <w:rPr>
          <w:rStyle w:val="normaltextrun"/>
          <w:rFonts w:ascii="Times New Roman" w:hAnsi="Times New Roman" w:cs="Times New Roman"/>
          <w:bCs/>
          <w:iCs/>
          <w:color w:val="000000" w:themeColor="text1"/>
        </w:rPr>
        <w:t xml:space="preserve">e </w:t>
      </w:r>
      <w:r w:rsidRPr="004A5029">
        <w:rPr>
          <w:rFonts w:ascii="Times New Roman" w:hAnsi="Times New Roman" w:cs="Times New Roman"/>
          <w:bCs/>
          <w:iCs/>
          <w:color w:val="000000" w:themeColor="text1"/>
        </w:rPr>
        <w:t>stazioni appaltanti e gli enti concedenti</w:t>
      </w:r>
      <w:r w:rsidRPr="004A5029">
        <w:rPr>
          <w:rFonts w:ascii="Times New Roman" w:hAnsi="Times New Roman" w:cs="Times New Roman"/>
          <w:color w:val="000000" w:themeColor="text1"/>
        </w:rPr>
        <w:t xml:space="preserve"> utilizzano procedure di affidamento aperte, ristrette o negoziate precedute da indizione di gara, dialoghi competitivi o partenariati per l’innovazione, in conformità alle disposizioni della presente Parte.</w:t>
      </w:r>
    </w:p>
    <w:p w14:paraId="71146F3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w:t>
      </w:r>
      <w:r w:rsidRPr="004A5029">
        <w:rPr>
          <w:rFonts w:ascii="Times New Roman" w:hAnsi="Times New Roman" w:cs="Times New Roman"/>
          <w:bCs/>
          <w:color w:val="000000" w:themeColor="text1"/>
        </w:rPr>
        <w:t>Nei soli casi previsti dall’articolo 158,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 xml:space="preserve">stazioni appaltanti e gli enti concedenti possono utilizzare la </w:t>
      </w:r>
      <w:r w:rsidRPr="004A5029">
        <w:rPr>
          <w:rFonts w:ascii="Times New Roman" w:hAnsi="Times New Roman" w:cs="Times New Roman"/>
          <w:color w:val="000000" w:themeColor="text1"/>
        </w:rPr>
        <w:t>procedura negoziata senza pubblicazione del bando</w:t>
      </w:r>
      <w:r w:rsidRPr="004A5029">
        <w:rPr>
          <w:rFonts w:ascii="Times New Roman" w:hAnsi="Times New Roman" w:cs="Times New Roman"/>
          <w:bCs/>
          <w:color w:val="000000" w:themeColor="text1"/>
        </w:rPr>
        <w:t>.</w:t>
      </w:r>
    </w:p>
    <w:p w14:paraId="4CA9A249"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La gara è indetta con una delle seguenti modalità:</w:t>
      </w:r>
    </w:p>
    <w:p w14:paraId="1ABE7C7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un avviso periodico indicativo a norma dell'articolo 161, se il contratto è aggiudicato mediante procedura ristretta o negoziata;</w:t>
      </w:r>
    </w:p>
    <w:p w14:paraId="7BC77067"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un avviso sull'esistenza di un sistema di qualificazione a norma dell'articolo 162, se il contratto è aggiudicato mediante procedura ristretta o negoziata o tramite un dialogo competitivo o un partenariato per l'innovazione; </w:t>
      </w:r>
    </w:p>
    <w:p w14:paraId="00CD3C25" w14:textId="77777777" w:rsidR="00427A36" w:rsidRPr="004A5029" w:rsidRDefault="00427A36" w:rsidP="00427A36">
      <w:pPr>
        <w:jc w:val="both"/>
        <w:rPr>
          <w:rFonts w:ascii="Times New Roman" w:hAnsi="Times New Roman" w:cs="Times New Roman"/>
          <w:color w:val="000000" w:themeColor="text1"/>
          <w:highlight w:val="cyan"/>
        </w:rPr>
      </w:pPr>
      <w:r w:rsidRPr="004A5029">
        <w:rPr>
          <w:rFonts w:ascii="Times New Roman" w:hAnsi="Times New Roman" w:cs="Times New Roman"/>
          <w:color w:val="000000" w:themeColor="text1"/>
        </w:rPr>
        <w:t>c) mediante un bando di gara a norma dell'articolo 163.</w:t>
      </w:r>
    </w:p>
    <w:p w14:paraId="740DF7B1"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Nel caso di cui al comma 3, lettera a), gli operatori economici che hanno manifestato interesse in seguito alla pubblicazione dell'avviso periodico indicativo sono successivamente invitati a confermare il proprio interesse per iscritto, ai sensi dell’articolo 165.</w:t>
      </w:r>
    </w:p>
    <w:p w14:paraId="00F03A6D" w14:textId="77777777" w:rsidR="00427A36" w:rsidRPr="004A5029" w:rsidRDefault="00427A36" w:rsidP="00427A36">
      <w:pPr>
        <w:jc w:val="both"/>
        <w:rPr>
          <w:rFonts w:ascii="Times New Roman" w:hAnsi="Times New Roman" w:cs="Times New Roman"/>
          <w:color w:val="000000" w:themeColor="text1"/>
        </w:rPr>
      </w:pPr>
    </w:p>
    <w:p w14:paraId="1E8FA032"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156.</w:t>
      </w:r>
    </w:p>
    <w:p w14:paraId="7AA1154D"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Procedura ristretta.</w:t>
      </w:r>
    </w:p>
    <w:p w14:paraId="789DF0B4" w14:textId="2D2109AA"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Nelle procedure ristrette qualsiasi operatore economico può presentare una domanda di partecipazione in risposta a un avviso di indizione di gara, fornendo le informazioni richieste dalla stazione appaltante o dall’ente concedente. Il termine minimo per la ricezione delle domande di partecipazione è fissato di norma a non meno di </w:t>
      </w:r>
      <w:r w:rsidR="004E4B92" w:rsidRPr="004A5029">
        <w:rPr>
          <w:rFonts w:ascii="Times New Roman" w:hAnsi="Times New Roman" w:cs="Times New Roman"/>
          <w:b/>
          <w:strike/>
          <w:color w:val="000000" w:themeColor="text1"/>
        </w:rPr>
        <w:t>30</w:t>
      </w:r>
      <w:r w:rsidR="004E4B92" w:rsidRPr="004A5029">
        <w:rPr>
          <w:rFonts w:ascii="Times New Roman" w:hAnsi="Times New Roman" w:cs="Times New Roman"/>
          <w:b/>
          <w:color w:val="000000" w:themeColor="text1"/>
        </w:rPr>
        <w:t xml:space="preserve"> trenta</w:t>
      </w:r>
      <w:r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 xml:space="preserve">giorni dalla data di trasmissione del bando di gara o dell’invito a confermare interesse e non può in alcun caso essere inferiore a </w:t>
      </w:r>
      <w:r w:rsidRPr="004A5029">
        <w:rPr>
          <w:rFonts w:ascii="Times New Roman" w:hAnsi="Times New Roman" w:cs="Times New Roman"/>
          <w:b/>
          <w:strike/>
          <w:color w:val="000000" w:themeColor="text1"/>
        </w:rPr>
        <w:t>15</w:t>
      </w:r>
      <w:r w:rsidRPr="004A5029">
        <w:rPr>
          <w:rFonts w:ascii="Times New Roman" w:hAnsi="Times New Roman" w:cs="Times New Roman"/>
          <w:b/>
          <w:color w:val="000000" w:themeColor="text1"/>
        </w:rPr>
        <w:t xml:space="preserve"> </w:t>
      </w:r>
      <w:r w:rsidR="004E4B92" w:rsidRPr="004A5029">
        <w:rPr>
          <w:rFonts w:ascii="Times New Roman" w:hAnsi="Times New Roman" w:cs="Times New Roman"/>
          <w:b/>
          <w:color w:val="000000" w:themeColor="text1"/>
        </w:rPr>
        <w:t xml:space="preserve">quindici </w:t>
      </w:r>
      <w:r w:rsidRPr="004A5029">
        <w:rPr>
          <w:rFonts w:ascii="Times New Roman" w:hAnsi="Times New Roman" w:cs="Times New Roman"/>
          <w:bCs/>
          <w:color w:val="000000" w:themeColor="text1"/>
        </w:rPr>
        <w:t>giorni.</w:t>
      </w:r>
    </w:p>
    <w:p w14:paraId="220225B6" w14:textId="6794F6BC"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Soltanto gli operatori economici invitati in tal senso dalla stazione appaltante o dall’ente concedente in seguito alla valutazione delle informazioni fornite presentano un’offerta.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 xml:space="preserve">stazioni appaltanti e gli enti concedenti possono limitare il numero di candidati idonei da invitare a partecipare alla procedura in conformità dell’articolo 70, comma 6. Il termine per la ricezione delle offerte può essere fissato di concerto tra la stazione appaltante o l’ente concedente e tutti i candidati selezionati, purché questi dispongano di un termine identico per presentare le loro offerte. In assenza di un accordo sul termine per la ricezione delle offerte, questo non è inferiore a </w:t>
      </w:r>
      <w:r w:rsidRPr="004A5029">
        <w:rPr>
          <w:rFonts w:ascii="Times New Roman" w:hAnsi="Times New Roman" w:cs="Times New Roman"/>
          <w:b/>
          <w:strike/>
          <w:color w:val="000000" w:themeColor="text1"/>
        </w:rPr>
        <w:t>10</w:t>
      </w:r>
      <w:r w:rsidRPr="004A5029">
        <w:rPr>
          <w:rFonts w:ascii="Times New Roman" w:hAnsi="Times New Roman" w:cs="Times New Roman"/>
          <w:b/>
          <w:color w:val="000000" w:themeColor="text1"/>
        </w:rPr>
        <w:t xml:space="preserve"> </w:t>
      </w:r>
      <w:r w:rsidR="004E4B92" w:rsidRPr="004A5029">
        <w:rPr>
          <w:rFonts w:ascii="Times New Roman" w:hAnsi="Times New Roman" w:cs="Times New Roman"/>
          <w:b/>
          <w:color w:val="000000" w:themeColor="text1"/>
        </w:rPr>
        <w:t xml:space="preserve">dieci </w:t>
      </w:r>
      <w:r w:rsidRPr="004A5029">
        <w:rPr>
          <w:rFonts w:ascii="Times New Roman" w:hAnsi="Times New Roman" w:cs="Times New Roman"/>
          <w:bCs/>
          <w:color w:val="000000" w:themeColor="text1"/>
        </w:rPr>
        <w:t>giorni dalla data di invio dell’invito a presentare offerte.</w:t>
      </w:r>
    </w:p>
    <w:p w14:paraId="6930E822" w14:textId="77777777" w:rsidR="00427A36" w:rsidRPr="004A5029" w:rsidRDefault="00427A36" w:rsidP="00427A36">
      <w:pPr>
        <w:jc w:val="both"/>
        <w:rPr>
          <w:rFonts w:ascii="Times New Roman" w:hAnsi="Times New Roman" w:cs="Times New Roman"/>
          <w:color w:val="000000" w:themeColor="text1"/>
        </w:rPr>
      </w:pPr>
    </w:p>
    <w:p w14:paraId="544D6EC1"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157.</w:t>
      </w:r>
    </w:p>
    <w:p w14:paraId="06ECBCE9" w14:textId="77777777" w:rsidR="00427A36" w:rsidRPr="004A5029" w:rsidRDefault="00427A36" w:rsidP="00427A36">
      <w:pPr>
        <w:rPr>
          <w:rFonts w:ascii="Times New Roman" w:hAnsi="Times New Roman" w:cs="Times New Roman"/>
          <w:i/>
          <w:color w:val="000000" w:themeColor="text1"/>
        </w:rPr>
      </w:pPr>
      <w:r w:rsidRPr="004A5029">
        <w:rPr>
          <w:rFonts w:ascii="Times New Roman" w:hAnsi="Times New Roman" w:cs="Times New Roman"/>
          <w:i/>
          <w:color w:val="000000" w:themeColor="text1"/>
        </w:rPr>
        <w:t>Procedura negoziata con pubblicazione di un bando.</w:t>
      </w:r>
    </w:p>
    <w:p w14:paraId="3CCE7F0B"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Nelle procedure negoziate con </w:t>
      </w:r>
      <w:r w:rsidRPr="004A5029">
        <w:rPr>
          <w:rFonts w:ascii="Times New Roman" w:hAnsi="Times New Roman" w:cs="Times New Roman"/>
          <w:bCs/>
          <w:color w:val="000000" w:themeColor="text1"/>
        </w:rPr>
        <w:t>pubblicazione di un bando</w:t>
      </w:r>
      <w:r w:rsidRPr="004A5029">
        <w:rPr>
          <w:rFonts w:ascii="Times New Roman" w:hAnsi="Times New Roman" w:cs="Times New Roman"/>
          <w:color w:val="000000" w:themeColor="text1"/>
        </w:rPr>
        <w:t xml:space="preserve"> qualsiasi operatore economico può presentare una domanda di partecipazione in risposta a un avviso di indizione di gara, fornendo le informazioni richieste dalla stazione appaltante o dall’ente concedente.</w:t>
      </w:r>
    </w:p>
    <w:p w14:paraId="4F4BD979" w14:textId="0218F100"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Il termine minimo per la ricezione delle domande di partecipazione è fissato di norma in non meno di </w:t>
      </w:r>
      <w:r w:rsidR="004E4B92" w:rsidRPr="004A5029">
        <w:rPr>
          <w:rFonts w:ascii="Times New Roman" w:hAnsi="Times New Roman" w:cs="Times New Roman"/>
          <w:b/>
          <w:strike/>
          <w:color w:val="000000" w:themeColor="text1"/>
        </w:rPr>
        <w:t>30</w:t>
      </w:r>
      <w:r w:rsidR="004E4B92" w:rsidRPr="004A5029">
        <w:rPr>
          <w:rFonts w:ascii="Times New Roman" w:hAnsi="Times New Roman" w:cs="Times New Roman"/>
          <w:b/>
          <w:color w:val="000000" w:themeColor="text1"/>
        </w:rPr>
        <w:t xml:space="preserve"> trenta</w:t>
      </w:r>
      <w:r w:rsidRPr="004A5029">
        <w:rPr>
          <w:rFonts w:ascii="Times New Roman" w:hAnsi="Times New Roman" w:cs="Times New Roman"/>
          <w:color w:val="000000" w:themeColor="text1"/>
        </w:rPr>
        <w:t xml:space="preserve"> giorni dalla data di trasmissione del bando di gara o, se come mezzo di indizione di gara è usato un avviso periodico indicativo, dalla data dell'invito a confermare interesse e non è in alcun caso inferiore a </w:t>
      </w:r>
      <w:r w:rsidR="004E4B92" w:rsidRPr="004A5029">
        <w:rPr>
          <w:rFonts w:ascii="Times New Roman" w:hAnsi="Times New Roman" w:cs="Times New Roman"/>
          <w:b/>
          <w:strike/>
          <w:color w:val="000000" w:themeColor="text1"/>
        </w:rPr>
        <w:t>15</w:t>
      </w:r>
      <w:r w:rsidR="004E4B92" w:rsidRPr="004A5029">
        <w:rPr>
          <w:rFonts w:ascii="Times New Roman" w:hAnsi="Times New Roman" w:cs="Times New Roman"/>
          <w:b/>
          <w:color w:val="000000" w:themeColor="text1"/>
        </w:rPr>
        <w:t xml:space="preserve"> quindici</w:t>
      </w:r>
      <w:r w:rsidRPr="004A5029">
        <w:rPr>
          <w:rFonts w:ascii="Times New Roman" w:hAnsi="Times New Roman" w:cs="Times New Roman"/>
          <w:color w:val="000000" w:themeColor="text1"/>
        </w:rPr>
        <w:t xml:space="preserve"> giorni.</w:t>
      </w:r>
    </w:p>
    <w:p w14:paraId="1074E06D"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Soltanto gli operatori economici invitati dalla stazione</w:t>
      </w:r>
      <w:r w:rsidRPr="004A5029">
        <w:rPr>
          <w:rFonts w:ascii="Times New Roman" w:hAnsi="Times New Roman" w:cs="Times New Roman"/>
          <w:bCs/>
          <w:color w:val="000000" w:themeColor="text1"/>
        </w:rPr>
        <w:t xml:space="preserve"> appaltante o dall’ente concedente</w:t>
      </w:r>
      <w:r w:rsidRPr="004A5029">
        <w:rPr>
          <w:rFonts w:ascii="Times New Roman" w:hAnsi="Times New Roman" w:cs="Times New Roman"/>
          <w:color w:val="000000" w:themeColor="text1"/>
        </w:rPr>
        <w:t xml:space="preserve"> in seguito alla valutazione delle informazioni fornite partecipano alle negoziazioni.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stazioni appaltanti e gli enti concedenti</w:t>
      </w:r>
      <w:r w:rsidRPr="004A5029">
        <w:rPr>
          <w:rFonts w:ascii="Times New Roman" w:hAnsi="Times New Roman" w:cs="Times New Roman"/>
          <w:color w:val="000000" w:themeColor="text1"/>
        </w:rPr>
        <w:t xml:space="preserve"> possono limitare il numero di candidati idonei da invitare a partecipare alla procedura secondo quanto previsto dall'articolo 169, comma 2.</w:t>
      </w:r>
    </w:p>
    <w:p w14:paraId="4F4296B3" w14:textId="68855206"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Il termine per la ricezione delle offerte può essere fissato d'accordo tra </w:t>
      </w:r>
      <w:r w:rsidRPr="004A5029">
        <w:rPr>
          <w:rFonts w:ascii="Times New Roman" w:hAnsi="Times New Roman" w:cs="Times New Roman"/>
          <w:bCs/>
          <w:color w:val="000000" w:themeColor="text1"/>
        </w:rPr>
        <w:t>la stazione appaltante o l’ente concedente e tutti i</w:t>
      </w:r>
      <w:r w:rsidRPr="004A5029">
        <w:rPr>
          <w:rFonts w:ascii="Times New Roman" w:hAnsi="Times New Roman" w:cs="Times New Roman"/>
          <w:color w:val="000000" w:themeColor="text1"/>
        </w:rPr>
        <w:t xml:space="preserve"> candidati selezionati, purché questi ultimi dispongano di un termine identico per redigere e presentare le loro offerte. In assenza di un accordo sul termine per la ricezione delle offerte, questo non è inferiore a</w:t>
      </w:r>
      <w:r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10</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 dieci </w:t>
      </w:r>
      <w:r w:rsidRPr="004A5029">
        <w:rPr>
          <w:rFonts w:ascii="Times New Roman" w:hAnsi="Times New Roman" w:cs="Times New Roman"/>
          <w:color w:val="000000" w:themeColor="text1"/>
        </w:rPr>
        <w:t>giorni dalla data di invio dell'invito a presentare offerte.</w:t>
      </w:r>
    </w:p>
    <w:p w14:paraId="20E36DAB" w14:textId="77777777" w:rsidR="00427A36" w:rsidRPr="004A5029" w:rsidRDefault="00427A36" w:rsidP="00427A36">
      <w:pPr>
        <w:jc w:val="both"/>
        <w:rPr>
          <w:rFonts w:ascii="Times New Roman" w:hAnsi="Times New Roman" w:cs="Times New Roman"/>
          <w:color w:val="000000" w:themeColor="text1"/>
        </w:rPr>
      </w:pPr>
    </w:p>
    <w:p w14:paraId="1A27550C"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158.</w:t>
      </w:r>
    </w:p>
    <w:p w14:paraId="4A260CEA"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i/>
          <w:color w:val="000000" w:themeColor="text1"/>
        </w:rPr>
        <w:t>Procedura negoziata senza pubblicazione di un bando.</w:t>
      </w:r>
    </w:p>
    <w:p w14:paraId="5E039F08" w14:textId="115BDBC5"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1.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stazioni appaltanti o gli enti concedenti possono aggiudicare appalti pubblici mediante una procedura negoziata senza pubblicazione di un bando di gara quando ricorrono i presupposti fissati dal comma 2, dandone motivatamente conto nel primo atto della procedura in relazione alla specifica situazione di fatto e alle caratteristiche dei mercati potenzialmente interessati e delle dinamiche che li caratterizzano, e nel rispetto dei principi di cui agli articoli 1, 2 e 3</w:t>
      </w:r>
      <w:r w:rsidRPr="004A5029">
        <w:rPr>
          <w:rFonts w:ascii="Times New Roman" w:hAnsi="Times New Roman" w:cs="Times New Roman"/>
          <w:bCs/>
          <w:strike/>
          <w:color w:val="000000" w:themeColor="text1"/>
        </w:rPr>
        <w:t xml:space="preserve"> del </w:t>
      </w:r>
      <w:r w:rsidR="00B8189B" w:rsidRPr="004A5029">
        <w:rPr>
          <w:rFonts w:ascii="Times New Roman" w:hAnsi="Times New Roman" w:cs="Times New Roman"/>
          <w:bCs/>
          <w:strike/>
          <w:color w:val="000000" w:themeColor="text1"/>
        </w:rPr>
        <w:t>l</w:t>
      </w:r>
      <w:r w:rsidRPr="004A5029">
        <w:rPr>
          <w:rFonts w:ascii="Times New Roman" w:hAnsi="Times New Roman" w:cs="Times New Roman"/>
          <w:bCs/>
          <w:strike/>
          <w:color w:val="000000" w:themeColor="text1"/>
        </w:rPr>
        <w:t>ibro I</w:t>
      </w:r>
      <w:r w:rsidRPr="004A5029">
        <w:rPr>
          <w:rFonts w:ascii="Times New Roman" w:hAnsi="Times New Roman" w:cs="Times New Roman"/>
          <w:bCs/>
          <w:color w:val="000000" w:themeColor="text1"/>
        </w:rPr>
        <w:t>. A tali fini si tiene conto degli esiti delle consultazioni di mercato eventualmente eseguite, rivolte anche ad analizzare i mercati europei oppure</w:t>
      </w:r>
      <w:r w:rsidR="002D3F0F"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se del caso, extraeuropei.</w:t>
      </w:r>
    </w:p>
    <w:p w14:paraId="7964150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w:t>
      </w:r>
      <w:r w:rsidRPr="004A5029">
        <w:rPr>
          <w:rStyle w:val="normaltextrun"/>
          <w:rFonts w:ascii="Times New Roman" w:hAnsi="Times New Roman" w:cs="Times New Roman"/>
          <w:bCs/>
          <w:iCs/>
          <w:color w:val="000000" w:themeColor="text1"/>
        </w:rPr>
        <w:t xml:space="preserve">Le </w:t>
      </w:r>
      <w:r w:rsidRPr="004A5029">
        <w:rPr>
          <w:rFonts w:ascii="Times New Roman" w:hAnsi="Times New Roman" w:cs="Times New Roman"/>
          <w:bCs/>
          <w:iCs/>
          <w:color w:val="000000" w:themeColor="text1"/>
        </w:rPr>
        <w:t>stazioni appaltanti o gli enti concedenti</w:t>
      </w:r>
      <w:r w:rsidRPr="004A5029">
        <w:rPr>
          <w:rFonts w:ascii="Times New Roman" w:hAnsi="Times New Roman" w:cs="Times New Roman"/>
          <w:color w:val="000000" w:themeColor="text1"/>
        </w:rPr>
        <w:t xml:space="preserve"> possono ricorrere a una procedura negoziata senza indizione di gara nei seguenti casi:</w:t>
      </w:r>
    </w:p>
    <w:p w14:paraId="06BAE0E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quando, in risposta a una procedura con </w:t>
      </w:r>
      <w:r w:rsidRPr="004A5029">
        <w:rPr>
          <w:rFonts w:ascii="Times New Roman" w:hAnsi="Times New Roman" w:cs="Times New Roman"/>
          <w:bCs/>
          <w:color w:val="000000" w:themeColor="text1"/>
        </w:rPr>
        <w:t>pubblicazione di un bando</w:t>
      </w:r>
      <w:r w:rsidRPr="004A5029">
        <w:rPr>
          <w:rFonts w:ascii="Times New Roman" w:hAnsi="Times New Roman" w:cs="Times New Roman"/>
          <w:color w:val="000000" w:themeColor="text1"/>
        </w:rPr>
        <w:t xml:space="preserve">, non sia pervenuta alcuna offerta o alcuna offerta appropriata, né alcuna domanda di partecipazione o alcuna domanda di partecipazione appropriata, purché le condizioni iniziali dell'appalto non siano sostanzialmente modificate; un'offerta non è ritenuta appropriata quando non presenta alcuna pertinenza con l'appalto ed è quindi inadeguata, salvo modifiche sostanziali, a rispondere alle esigenze </w:t>
      </w:r>
      <w:r w:rsidRPr="004A5029">
        <w:rPr>
          <w:rFonts w:ascii="Times New Roman" w:hAnsi="Times New Roman" w:cs="Times New Roman"/>
          <w:bCs/>
          <w:color w:val="000000" w:themeColor="text1"/>
        </w:rPr>
        <w:t xml:space="preserve">della stazione appaltante o dell’ente concedente </w:t>
      </w:r>
      <w:r w:rsidRPr="004A5029">
        <w:rPr>
          <w:rFonts w:ascii="Times New Roman" w:hAnsi="Times New Roman" w:cs="Times New Roman"/>
          <w:color w:val="000000" w:themeColor="text1"/>
        </w:rPr>
        <w:t xml:space="preserve">e ai requisiti specificati nei documenti di gara; una domanda di partecipazione non è ritenuta appropriata quando l'operatore economico interessato deve o può essere escluso o non soddisfa i criteri di selezione stabiliti </w:t>
      </w:r>
      <w:r w:rsidRPr="004A5029">
        <w:rPr>
          <w:rFonts w:ascii="Times New Roman" w:hAnsi="Times New Roman" w:cs="Times New Roman"/>
          <w:bCs/>
          <w:color w:val="000000" w:themeColor="text1"/>
        </w:rPr>
        <w:t>dalla stazione appaltante o dall’ente concedente</w:t>
      </w:r>
      <w:r w:rsidRPr="004A5029">
        <w:rPr>
          <w:rFonts w:ascii="Times New Roman" w:hAnsi="Times New Roman" w:cs="Times New Roman"/>
          <w:color w:val="000000" w:themeColor="text1"/>
        </w:rPr>
        <w:t xml:space="preserve"> a norma degli articoli 95, 96 e 169, comma 2;</w:t>
      </w:r>
    </w:p>
    <w:p w14:paraId="35F939E5"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quando un appalto è destinato solo a scopi di ricerca, di sperimentazione, di studio o di sviluppo e non per rendere redditizie o recuperare spese di ricerca e di sviluppo, purché l'aggiudicazione dell'appalto non pregiudichi l'indizione di gare per appalti successivi che perseguano, segnatamente, questi scopi;</w:t>
      </w:r>
    </w:p>
    <w:p w14:paraId="2EAE6B7B" w14:textId="72807CA9"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quando i lavori, </w:t>
      </w:r>
      <w:r w:rsidR="00FB2A24" w:rsidRPr="004A5029">
        <w:rPr>
          <w:rFonts w:ascii="Times New Roman" w:hAnsi="Times New Roman" w:cs="Times New Roman"/>
          <w:b/>
          <w:bCs/>
          <w:color w:val="000000" w:themeColor="text1"/>
        </w:rPr>
        <w:t>i</w:t>
      </w:r>
      <w:r w:rsidR="00FB2A2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servizi </w:t>
      </w:r>
      <w:r w:rsidRPr="004A5029">
        <w:rPr>
          <w:rFonts w:ascii="Times New Roman" w:hAnsi="Times New Roman" w:cs="Times New Roman"/>
          <w:b/>
          <w:bCs/>
          <w:dstrike/>
          <w:color w:val="000000" w:themeColor="text1"/>
        </w:rPr>
        <w:t>e</w:t>
      </w:r>
      <w:r w:rsidR="00FB2A24" w:rsidRPr="004A5029">
        <w:rPr>
          <w:rFonts w:ascii="Times New Roman" w:hAnsi="Times New Roman" w:cs="Times New Roman"/>
          <w:b/>
          <w:bCs/>
          <w:color w:val="000000" w:themeColor="text1"/>
        </w:rPr>
        <w:t xml:space="preserve"> </w:t>
      </w:r>
      <w:r w:rsidR="00545D55" w:rsidRPr="004A5029">
        <w:rPr>
          <w:rFonts w:ascii="Times New Roman" w:hAnsi="Times New Roman" w:cs="Times New Roman"/>
          <w:b/>
          <w:bCs/>
          <w:color w:val="000000" w:themeColor="text1"/>
        </w:rPr>
        <w:t xml:space="preserve">o </w:t>
      </w:r>
      <w:r w:rsidR="00FB2A24" w:rsidRPr="004A5029">
        <w:rPr>
          <w:rFonts w:ascii="Times New Roman" w:hAnsi="Times New Roman" w:cs="Times New Roman"/>
          <w:b/>
          <w:bCs/>
          <w:color w:val="000000" w:themeColor="text1"/>
        </w:rPr>
        <w:t>le</w:t>
      </w:r>
      <w:r w:rsidR="00FB2A24"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forniture possono essere forniti unicamente da un determinato operatore economico per una delle seguenti ragioni:</w:t>
      </w:r>
    </w:p>
    <w:p w14:paraId="08880CAB"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lo scopo dell'appalto consiste nella creazione o nell'acquisizione di un'opera d'arte o di una rappresentazione artistica unica;</w:t>
      </w:r>
    </w:p>
    <w:p w14:paraId="6EE52638"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concorrenza è assente per motivi tecnici. L'eccezione di cui al presente numero si applica solo quando non esistono sostituti o alternative ragionevoli e l'assenza di concorrenza non è il risultato di una limitazione artificiale dei parametri dell'appalto;</w:t>
      </w:r>
    </w:p>
    <w:p w14:paraId="78FF4586"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la tutela di diritti esclusivi, inclusi i diritti di proprietà intellettuale; l'eccezione di cui al presente numero si applica solo quando non esistono sostituti o alternative ragionevoli e l'assenza di concorrenza non è il risultato di una limitazione artificiale dei parametri dell'appalto;</w:t>
      </w:r>
    </w:p>
    <w:p w14:paraId="5D3012F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nella misura strettamente necessaria quando, per ragioni di estrema urgenza derivanti da eventi imprevedibili dalla stazione appaltante o dall’ente concedente, i termini stabiliti per le procedure aperte, per le procedure ristrette o per le procedure negoziate precedute da indizione di gara non possono essere rispettati; le circostanze invocate per giustificare l'estrema urgenza non devono essere in alcun caso imputabili alla stazione appaltante o all’ente concedente;</w:t>
      </w:r>
    </w:p>
    <w:p w14:paraId="3BCB1871"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nel caso di appalti di forniture per consegne complementari effettuate dal fornitore originario e destinate al rinnovo parziale di forniture o di impianti o all'ampliamento di forniture o impianti esistenti, qualora il cambiamento di fornitore obblighi la stazione appaltante o l’ente concedente ad acquistare forniture con caratteristiche tecniche differenti, il cui impiego o la cui manutenzione comporterebbero incompatibilità o difficoltà tecniche sproporzionate;</w:t>
      </w:r>
    </w:p>
    <w:p w14:paraId="2363CC3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f) per nuovi lavori o servizi consistenti nella ripetizione di lavori o servizi analoghi assegnati all'operatore al quale le stesse stazioni appaltanti o enti concedenti hanno assegnato un appalto precedente, a condizione che tali lavori o servizi siano conformi a un progetto a base di gara e che tale progetto sia stato oggetto di un primo appalto aggiudicato secondo una procedura di cui all'articolo 155, </w:t>
      </w:r>
      <w:r w:rsidRPr="004A5029">
        <w:rPr>
          <w:rFonts w:ascii="Times New Roman" w:hAnsi="Times New Roman" w:cs="Times New Roman"/>
          <w:bCs/>
          <w:color w:val="000000" w:themeColor="text1"/>
        </w:rPr>
        <w:t>comma 1</w:t>
      </w:r>
      <w:r w:rsidRPr="004A5029">
        <w:rPr>
          <w:rFonts w:ascii="Times New Roman" w:hAnsi="Times New Roman" w:cs="Times New Roman"/>
          <w:color w:val="000000" w:themeColor="text1"/>
        </w:rPr>
        <w:t xml:space="preserve">; il progetto a base di gara indica l'entità di eventuali lavori o servizi complementari e le condizioni alle quali essi verranno aggiudicati; la possibilità di ricorrere a tale procedura è indicata già al momento dell'indizione della gara per il primo progetto e le </w:t>
      </w:r>
      <w:r w:rsidRPr="004A5029">
        <w:rPr>
          <w:rFonts w:ascii="Times New Roman" w:hAnsi="Times New Roman" w:cs="Times New Roman"/>
          <w:bCs/>
          <w:color w:val="000000" w:themeColor="text1"/>
        </w:rPr>
        <w:t>stazioni appaltanti o gli enti concedenti</w:t>
      </w:r>
      <w:r w:rsidRPr="004A5029">
        <w:rPr>
          <w:rFonts w:ascii="Times New Roman" w:hAnsi="Times New Roman" w:cs="Times New Roman"/>
          <w:color w:val="000000" w:themeColor="text1"/>
        </w:rPr>
        <w:t>, quando applicano l'articolo 14, tengono conto del costo complessivo stimato per i lavori o i servizi successivi;</w:t>
      </w:r>
    </w:p>
    <w:p w14:paraId="30EB2318"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g) per forniture quotate e acquistate sul mercato delle materie prime;</w:t>
      </w:r>
    </w:p>
    <w:p w14:paraId="74024A8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h) per gli acquisti d'opportunità, quando è possibile, in presenza di un'occasione particolarmente vantaggiosa ma di breve durata, acquistare forniture il cui prezzo è sensibilmente inferiore ai prezzi normalmente praticati sul mercato;</w:t>
      </w:r>
    </w:p>
    <w:p w14:paraId="1D1FE32A"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i) per l'acquisto di forniture o servizi a condizioni particolarmente vantaggiose presso un fornitore che cessi definitivamente l'attività commerciale o presso il liquidatore in caso di procedura di insolvenza, di un accordo con i creditori o di procedure analoghe;</w:t>
      </w:r>
    </w:p>
    <w:p w14:paraId="64771AF6"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l) quando l'appalto di servizi consegue a un concorso di progettazione organizzato secondo le disposizioni del codice ed è destinato, in base alle norme previste nel concorso di progettazione, a essere aggiudicato al vincitore o a uno dei vincitori di tale concorso; in tal caso, tutti i vincitori del concorso di progettazione sono invitati a partecipare alle negoziazioni.</w:t>
      </w:r>
    </w:p>
    <w:p w14:paraId="5CA861E2" w14:textId="77777777" w:rsidR="00427A36" w:rsidRPr="004A5029" w:rsidRDefault="00427A36" w:rsidP="00427A36">
      <w:pPr>
        <w:jc w:val="both"/>
        <w:rPr>
          <w:rStyle w:val="Rimandonotaapidipagina"/>
          <w:rFonts w:ascii="Times New Roman" w:hAnsi="Times New Roman" w:cs="Times New Roman"/>
          <w:color w:val="000000" w:themeColor="text1"/>
        </w:rPr>
      </w:pPr>
      <w:r w:rsidRPr="004A5029">
        <w:rPr>
          <w:rFonts w:ascii="Times New Roman" w:hAnsi="Times New Roman" w:cs="Times New Roman"/>
          <w:color w:val="000000" w:themeColor="text1"/>
        </w:rPr>
        <w:t>3. Ove possibile, le stazioni appaltanti individuano gli operatori economici da consultare sulla base di informazioni riguardanti le caratteristiche di qualificazione economica e finanziaria e tecniche e professionali desunte dal mercato, nel rispetto dei principi di trasparenza e concorrenza, selezionando almeno tre operatori economici, se sussistono in tale numero soggetti idonei.  La stazione appaltante sceglie l'operatore economico che ha offerto le condizioni più vantaggiose, ai sensi dell'articolo 108, previa verifica del possesso dei requisiti di partecipazione previsti per l'affidamento di contratti di uguale importo mediante procedura aperta, ristretta o mediante procedura competitiva con negoziazione.</w:t>
      </w:r>
    </w:p>
    <w:p w14:paraId="32D85219"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04E83256" w14:textId="77777777" w:rsidR="00DC7D5C"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PARTE III </w:t>
      </w:r>
    </w:p>
    <w:p w14:paraId="0FD0B179" w14:textId="06444A6F" w:rsidR="00427A36" w:rsidRPr="004A5029" w:rsidRDefault="00427A36" w:rsidP="00427A36">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BANDI, DEGLI AVVISI E DEGLI INVITI</w:t>
      </w:r>
    </w:p>
    <w:p w14:paraId="0CE19BC3" w14:textId="77777777" w:rsidR="00427A36" w:rsidRPr="004A5029" w:rsidRDefault="00427A36" w:rsidP="00427A36">
      <w:pPr>
        <w:rPr>
          <w:rFonts w:ascii="Times New Roman" w:hAnsi="Times New Roman" w:cs="Times New Roman"/>
          <w:b/>
          <w:i/>
          <w:iCs/>
          <w:color w:val="000000" w:themeColor="text1"/>
        </w:rPr>
      </w:pPr>
    </w:p>
    <w:p w14:paraId="40436F11"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159.</w:t>
      </w:r>
    </w:p>
    <w:p w14:paraId="25CF7F7C" w14:textId="77777777" w:rsidR="00427A36" w:rsidRPr="004A5029" w:rsidRDefault="00427A36" w:rsidP="00427A36">
      <w:pPr>
        <w:jc w:val="both"/>
        <w:rPr>
          <w:rFonts w:ascii="Times New Roman" w:hAnsi="Times New Roman" w:cs="Times New Roman"/>
          <w:b/>
          <w:bCs/>
          <w:color w:val="000000" w:themeColor="text1"/>
          <w:highlight w:val="cyan"/>
        </w:rPr>
      </w:pPr>
      <w:r w:rsidRPr="004A5029">
        <w:rPr>
          <w:rFonts w:ascii="Times New Roman" w:hAnsi="Times New Roman" w:cs="Times New Roman"/>
          <w:i/>
          <w:iCs/>
          <w:color w:val="000000" w:themeColor="text1"/>
        </w:rPr>
        <w:t>Disponibilità digitale dei documenti di gara.</w:t>
      </w:r>
    </w:p>
    <w:p w14:paraId="7CB8BFA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A decorrere dalla data di pubblicazione di un avviso o da quella di invio di un invito a confermare l’interesse, i documenti di gara sono resi disponibili in forma digitale, in modo gratuito, illimitato e diretto. L’avviso e l’invito a confermare interesse indicano il collegamento ipertestuale presso il quale i documenti di gara sono accessibili.</w:t>
      </w:r>
    </w:p>
    <w:p w14:paraId="62EDDCBA" w14:textId="4FE6B706"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Quando il mezzo di indizione di una gara è un avviso sull’esistenza di un sistema di qualificazione, tale accesso è consentito il più rapidamente possibile e comunque non oltre il momento dell’invito a presentare un’offerta o a negoziare.</w:t>
      </w:r>
    </w:p>
    <w:p w14:paraId="582E7562" w14:textId="77777777"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w:t>
      </w:r>
      <w:r w:rsidRPr="004A5029">
        <w:rPr>
          <w:rFonts w:ascii="Times New Roman" w:eastAsia="Calibri" w:hAnsi="Times New Roman" w:cs="Times New Roman"/>
          <w:color w:val="000000" w:themeColor="text1"/>
        </w:rPr>
        <w:t xml:space="preserve"> Quando è impossibile l’utilizzo dei</w:t>
      </w:r>
      <w:r w:rsidRPr="004A5029">
        <w:rPr>
          <w:rFonts w:ascii="Times New Roman" w:hAnsi="Times New Roman" w:cs="Times New Roman"/>
          <w:bCs/>
          <w:color w:val="000000" w:themeColor="text1"/>
        </w:rPr>
        <w:t xml:space="preserve"> mezzi di comunicazione elettronica previsti dal codice, l’avviso o l’invito a confermare interesse ne danno conto e indicano le modalità con cui i documenti sono trasmessi. In questi casi il termine per la presentazione delle offerte è prorogato di non oltre cinque giorni. </w:t>
      </w:r>
    </w:p>
    <w:p w14:paraId="13FBCD2F" w14:textId="77777777" w:rsidR="00427A36" w:rsidRPr="004A5029" w:rsidRDefault="00427A36" w:rsidP="00427A36">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Quando la deroga all’obbligo di utilizzare mezzi di comunicazione elettronica previsti dal codice è dovuta a esigenze di tutela della riservatezza, l'avviso o l'invito a confermare interesse o, quando il mezzo di indizione di gara è un avviso sull’esistenza di un sistema di qualificazione, i documenti di gara indicano le misure adottate per proteggere la natura riservata delle informazioni e le modalità di accesso ai documenti. In tale caso, il termine per la presentazione delle offerte è prorogato di non oltre cinque giorni, salvo che il nuovo termine sia stato fissato di concerto tra la</w:t>
      </w:r>
      <w:r w:rsidRPr="004A5029">
        <w:rPr>
          <w:rStyle w:val="normaltextrun"/>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stazione appaltante o l’ente concedente e tutti i candidati selezionati. </w:t>
      </w:r>
    </w:p>
    <w:p w14:paraId="761FA6C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 ulteriori informazioni richieste sui documenti di gara sono comunicate a tutti gli offerenti oppure rese disponibili sulla piattaforma di approvvigionamento digitale e sul sito istituzionale almeno sei giorni prima della scadenza del termine stabilito per la ricezione delle offerte e almeno quattro giorni prima quando il termine per la ricezione delle offerte è ridotto.</w:t>
      </w:r>
    </w:p>
    <w:p w14:paraId="63966B72" w14:textId="77777777" w:rsidR="00427A36" w:rsidRPr="004A5029" w:rsidRDefault="00427A36" w:rsidP="00427A36">
      <w:pPr>
        <w:jc w:val="both"/>
        <w:rPr>
          <w:rFonts w:ascii="Times New Roman" w:hAnsi="Times New Roman" w:cs="Times New Roman"/>
          <w:color w:val="000000" w:themeColor="text1"/>
        </w:rPr>
      </w:pPr>
    </w:p>
    <w:p w14:paraId="098142BD"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160.</w:t>
      </w:r>
    </w:p>
    <w:p w14:paraId="1CC02FD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Comunicazione delle specifiche tecniche.</w:t>
      </w:r>
    </w:p>
    <w:p w14:paraId="10776C1B" w14:textId="77777777" w:rsidR="00427A36" w:rsidRPr="004A5029" w:rsidRDefault="00427A36" w:rsidP="00427A36">
      <w:pPr>
        <w:jc w:val="both"/>
        <w:rPr>
          <w:rFonts w:ascii="Times New Roman" w:hAnsi="Times New Roman" w:cs="Times New Roman"/>
          <w:i/>
          <w:iCs/>
          <w:color w:val="000000" w:themeColor="text1"/>
        </w:rPr>
      </w:pPr>
      <w:r w:rsidRPr="004A5029">
        <w:rPr>
          <w:rFonts w:ascii="Times New Roman" w:hAnsi="Times New Roman" w:cs="Times New Roman"/>
          <w:color w:val="000000" w:themeColor="text1"/>
        </w:rPr>
        <w:t>1. Su richiesta degli operatori economici interessati all’</w:t>
      </w:r>
      <w:r w:rsidRPr="004A5029">
        <w:rPr>
          <w:rFonts w:ascii="Times New Roman" w:eastAsia="Calibri" w:hAnsi="Times New Roman" w:cs="Times New Roman"/>
          <w:color w:val="000000" w:themeColor="text1"/>
        </w:rPr>
        <w:t>affidamento</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color w:val="000000" w:themeColor="text1"/>
        </w:rPr>
        <w:t>di un appalto,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e gli enti concedenti</w:t>
      </w:r>
      <w:r w:rsidRPr="004A5029">
        <w:rPr>
          <w:rFonts w:ascii="Times New Roman" w:hAnsi="Times New Roman" w:cs="Times New Roman"/>
          <w:color w:val="000000" w:themeColor="text1"/>
        </w:rPr>
        <w:t xml:space="preserve"> mettono a disposizione le specifiche tecniche previste nei loro appalti di forniture, di lavori o di servizi, o le specifiche tecniche alle quali intendono riferirsi per gli appalti oggetto di avvisi periodici indicativi. Tali specifiche sono rese disponibili </w:t>
      </w:r>
      <w:r w:rsidRPr="004A5029">
        <w:rPr>
          <w:rFonts w:ascii="Times New Roman" w:eastAsia="Calibri" w:hAnsi="Times New Roman" w:cs="Times New Roman"/>
          <w:bCs/>
          <w:color w:val="000000" w:themeColor="text1"/>
        </w:rPr>
        <w:t>in forma</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digitale</w:t>
      </w:r>
      <w:r w:rsidRPr="004A5029">
        <w:rPr>
          <w:rFonts w:ascii="Times New Roman" w:hAnsi="Times New Roman" w:cs="Times New Roman"/>
          <w:color w:val="000000" w:themeColor="text1"/>
        </w:rPr>
        <w:t xml:space="preserve"> in maniera gratuita, illimitata e diretta.</w:t>
      </w:r>
    </w:p>
    <w:p w14:paraId="4A776FF5"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specifiche tecniche sono trasmesse per via diversa da quella digitale qualora non sia possibile offrire accesso gratuito, illimitato e diretto per via digitale a determinati documenti di gara oppure per tutelare la riservatezza delle informazioni che le stazioni appaltanti o gli enti concedenti trasmettono.</w:t>
      </w:r>
    </w:p>
    <w:p w14:paraId="01FA121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Quando le specifiche tecniche sono basate su documenti ai quali gli operatori economici interessati hanno accesso gratuito, illimitato e diretto,</w:t>
      </w:r>
      <w:r w:rsidRPr="004A5029">
        <w:rPr>
          <w:rFonts w:ascii="Times New Roman" w:eastAsia="Calibri" w:hAnsi="Times New Roman" w:cs="Times New Roman"/>
          <w:color w:val="000000" w:themeColor="text1"/>
        </w:rPr>
        <w:t xml:space="preserve"> in forma</w:t>
      </w:r>
      <w:r w:rsidRPr="004A5029">
        <w:rPr>
          <w:rFonts w:ascii="Times New Roman" w:hAnsi="Times New Roman" w:cs="Times New Roman"/>
          <w:color w:val="000000" w:themeColor="text1"/>
        </w:rPr>
        <w:t xml:space="preserve"> digitale, si considera sufficiente l'indicazione del riferimento a tali documenti.</w:t>
      </w:r>
    </w:p>
    <w:p w14:paraId="23536548" w14:textId="64BC39F8" w:rsidR="00427A36" w:rsidRPr="004A5029" w:rsidRDefault="00427A36" w:rsidP="00427A36">
      <w:pPr>
        <w:jc w:val="both"/>
        <w:rPr>
          <w:rFonts w:ascii="Times New Roman" w:hAnsi="Times New Roman" w:cs="Times New Roman"/>
          <w:color w:val="000000" w:themeColor="text1"/>
        </w:rPr>
      </w:pPr>
    </w:p>
    <w:p w14:paraId="2408BE71" w14:textId="7E7EC106" w:rsidR="00600CEA" w:rsidRPr="004A5029" w:rsidRDefault="00600CEA" w:rsidP="00427A36">
      <w:pPr>
        <w:jc w:val="both"/>
        <w:rPr>
          <w:rFonts w:ascii="Times New Roman" w:hAnsi="Times New Roman" w:cs="Times New Roman"/>
          <w:color w:val="000000" w:themeColor="text1"/>
        </w:rPr>
      </w:pPr>
    </w:p>
    <w:p w14:paraId="5FC00A6C" w14:textId="77777777" w:rsidR="00600CEA" w:rsidRPr="004A5029" w:rsidRDefault="00600CEA" w:rsidP="00427A36">
      <w:pPr>
        <w:jc w:val="both"/>
        <w:rPr>
          <w:rFonts w:ascii="Times New Roman" w:hAnsi="Times New Roman" w:cs="Times New Roman"/>
          <w:color w:val="000000" w:themeColor="text1"/>
        </w:rPr>
      </w:pPr>
    </w:p>
    <w:p w14:paraId="55979888"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161.</w:t>
      </w:r>
    </w:p>
    <w:p w14:paraId="2C036D36"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i/>
          <w:iCs/>
          <w:color w:val="000000" w:themeColor="text1"/>
        </w:rPr>
        <w:t>Pubblicità e avviso periodico indicativo.</w:t>
      </w:r>
    </w:p>
    <w:p w14:paraId="202AF1B0" w14:textId="29871534"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stazioni appaltanti o gli enti concedenti possono rendere nota l'intenzione di programmare appalti pubblicando un avviso periodico indicativo possibilmente entro il 31 dicembre di ogni anno. Tali avvisi, che contengono le informazioni di cui all'allegato II.6, </w:t>
      </w:r>
      <w:r w:rsidR="00A9504B"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A9504B"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ezion</w:t>
      </w:r>
      <w:r w:rsidR="006A1D1B" w:rsidRPr="004A5029">
        <w:rPr>
          <w:rFonts w:ascii="Times New Roman" w:hAnsi="Times New Roman" w:cs="Times New Roman"/>
          <w:color w:val="000000" w:themeColor="text1"/>
        </w:rPr>
        <w:t>i</w:t>
      </w:r>
      <w:r w:rsidRPr="004A5029">
        <w:rPr>
          <w:rFonts w:ascii="Times New Roman" w:hAnsi="Times New Roman" w:cs="Times New Roman"/>
          <w:color w:val="000000" w:themeColor="text1"/>
        </w:rPr>
        <w:t xml:space="preserve"> A e C</w:t>
      </w:r>
      <w:r w:rsidR="006A1D1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sono pubblicati dalla stazione appaltante o dall’ente concedente sul proprio sito istituzionale</w:t>
      </w:r>
      <w:r w:rsidR="00831E3C" w:rsidRPr="004A5029">
        <w:rPr>
          <w:rFonts w:eastAsia="Calibri" w:cstheme="minorHAnsi"/>
          <w:b/>
          <w:color w:val="000000" w:themeColor="text1"/>
          <w:sz w:val="20"/>
          <w:szCs w:val="20"/>
        </w:rPr>
        <w:t xml:space="preserve"> </w:t>
      </w:r>
      <w:r w:rsidR="00831E3C" w:rsidRPr="004A5029">
        <w:rPr>
          <w:rFonts w:ascii="Times New Roman" w:hAnsi="Times New Roman" w:cs="Times New Roman"/>
          <w:b/>
          <w:bCs/>
          <w:color w:val="000000" w:themeColor="text1"/>
        </w:rPr>
        <w:t>rendendoli accessibili tramite collegamento ipertestuale</w:t>
      </w:r>
      <w:r w:rsidRPr="004A5029">
        <w:rPr>
          <w:rFonts w:ascii="Times New Roman" w:hAnsi="Times New Roman" w:cs="Times New Roman"/>
          <w:color w:val="000000" w:themeColor="text1"/>
        </w:rPr>
        <w:t>. Per gli appalti di importo pari o superiore alla soglia di cui all'articolo 14 si applica l’articolo 84.</w:t>
      </w:r>
    </w:p>
    <w:p w14:paraId="1F455D3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Quando una gara è indetta per mezzo di un avviso periodico indicativo per procedure ristrette e procedure negoziate precedute da indizione di gara, l'avviso soddisfa tutte le seguenti condizioni:</w:t>
      </w:r>
    </w:p>
    <w:p w14:paraId="3219B2F1"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si riferisce specificatamente alle forniture, ai lavori o ai servizi che saranno oggetto dell'appalto da aggiudicare;</w:t>
      </w:r>
    </w:p>
    <w:p w14:paraId="6016A98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indica che l'appalto è aggiudicato mediante una procedura ristretta o negoziata senza ulteriore pubblicazione di un avviso di indizione di gara e invita gli operatori economici interessati a manifestare il proprio interesse;</w:t>
      </w:r>
    </w:p>
    <w:p w14:paraId="1F1B4679" w14:textId="7172B99F"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contiene, oltre alle informazioni di cui all'allegato </w:t>
      </w:r>
      <w:r w:rsidRPr="004A5029">
        <w:rPr>
          <w:rFonts w:ascii="Times New Roman" w:hAnsi="Times New Roman" w:cs="Times New Roman"/>
          <w:bCs/>
          <w:color w:val="000000" w:themeColor="text1"/>
        </w:rPr>
        <w:t xml:space="preserve">II.6,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C059E9"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 xml:space="preserve">ezione A, le informazioni di cui all'allegato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C059E9"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ezione B;</w:t>
      </w:r>
    </w:p>
    <w:p w14:paraId="6F69F763" w14:textId="7DEE8F29"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è stato inviato alla pubblicazione tra </w:t>
      </w:r>
      <w:r w:rsidRPr="004A5029">
        <w:rPr>
          <w:rFonts w:ascii="Times New Roman" w:hAnsi="Times New Roman" w:cs="Times New Roman"/>
          <w:b/>
          <w:bCs/>
          <w:strike/>
          <w:color w:val="000000" w:themeColor="text1"/>
        </w:rPr>
        <w:t>35</w:t>
      </w:r>
      <w:r w:rsidRPr="004A5029">
        <w:rPr>
          <w:rFonts w:ascii="Times New Roman" w:hAnsi="Times New Roman" w:cs="Times New Roman"/>
          <w:color w:val="000000" w:themeColor="text1"/>
        </w:rPr>
        <w:t xml:space="preserve"> </w:t>
      </w:r>
      <w:r w:rsidR="004E4B92" w:rsidRPr="004A5029">
        <w:rPr>
          <w:rFonts w:ascii="Times New Roman" w:hAnsi="Times New Roman" w:cs="Times New Roman"/>
          <w:b/>
          <w:bCs/>
          <w:color w:val="000000" w:themeColor="text1"/>
        </w:rPr>
        <w:t xml:space="preserve">trentacinque </w:t>
      </w:r>
      <w:r w:rsidRPr="004A5029">
        <w:rPr>
          <w:rFonts w:ascii="Times New Roman" w:hAnsi="Times New Roman" w:cs="Times New Roman"/>
          <w:color w:val="000000" w:themeColor="text1"/>
        </w:rPr>
        <w:t xml:space="preserve">giorni e </w:t>
      </w:r>
      <w:r w:rsidRPr="004A5029">
        <w:rPr>
          <w:rFonts w:ascii="Times New Roman" w:hAnsi="Times New Roman" w:cs="Times New Roman"/>
          <w:b/>
          <w:bCs/>
          <w:strike/>
          <w:color w:val="000000" w:themeColor="text1"/>
        </w:rPr>
        <w:t>12</w:t>
      </w:r>
      <w:r w:rsidRPr="004A5029">
        <w:rPr>
          <w:rFonts w:ascii="Times New Roman" w:hAnsi="Times New Roman" w:cs="Times New Roman"/>
          <w:color w:val="000000" w:themeColor="text1"/>
        </w:rPr>
        <w:t xml:space="preserve"> </w:t>
      </w:r>
      <w:r w:rsidR="004E4B92" w:rsidRPr="004A5029">
        <w:rPr>
          <w:rFonts w:ascii="Times New Roman" w:hAnsi="Times New Roman" w:cs="Times New Roman"/>
          <w:b/>
          <w:bCs/>
          <w:color w:val="000000" w:themeColor="text1"/>
        </w:rPr>
        <w:t xml:space="preserve">dodici </w:t>
      </w:r>
      <w:r w:rsidRPr="004A5029">
        <w:rPr>
          <w:rFonts w:ascii="Times New Roman" w:hAnsi="Times New Roman" w:cs="Times New Roman"/>
          <w:color w:val="000000" w:themeColor="text1"/>
        </w:rPr>
        <w:t>mesi prima della data di invio dell'invito a confermare interesse.</w:t>
      </w:r>
    </w:p>
    <w:p w14:paraId="757AC530" w14:textId="2258E371"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Gli avvisi di cui al comma 2 possono essere pubblicati sul sito istituzionale quale pubblicazione supplementare a livello nazionale. Il periodo coperto dall'avviso può durare al massimo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dalla data di trasmissione dell'avviso per la pubblicazione. Tuttavia, nel caso di appalti pubblici per servizi sociali e altri servizi specifici di cui all'allegato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l'avviso di cui all'articolo 127, comma 1, lettera b)</w:t>
      </w:r>
      <w:r w:rsidR="006A1D1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può coprire un periodo di due anni.</w:t>
      </w:r>
    </w:p>
    <w:p w14:paraId="4AE5B7AF" w14:textId="77777777" w:rsidR="00427A36" w:rsidRPr="004A5029" w:rsidRDefault="00427A36" w:rsidP="00427A36">
      <w:pPr>
        <w:jc w:val="both"/>
        <w:rPr>
          <w:rFonts w:ascii="Times New Roman" w:hAnsi="Times New Roman" w:cs="Times New Roman"/>
          <w:color w:val="000000" w:themeColor="text1"/>
        </w:rPr>
      </w:pPr>
    </w:p>
    <w:p w14:paraId="35C47271" w14:textId="77777777" w:rsidR="00427A36" w:rsidRPr="004A5029" w:rsidRDefault="00427A36"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162.</w:t>
      </w:r>
    </w:p>
    <w:p w14:paraId="13F489C0" w14:textId="77777777" w:rsidR="00427A36" w:rsidRPr="004A5029" w:rsidRDefault="00427A36" w:rsidP="00427A36">
      <w:pPr>
        <w:jc w:val="both"/>
        <w:rPr>
          <w:rFonts w:ascii="Times New Roman" w:hAnsi="Times New Roman" w:cs="Times New Roman"/>
          <w:b/>
          <w:bCs/>
          <w:color w:val="000000" w:themeColor="text1"/>
          <w:highlight w:val="cyan"/>
        </w:rPr>
      </w:pPr>
      <w:r w:rsidRPr="004A5029">
        <w:rPr>
          <w:rFonts w:ascii="Times New Roman" w:hAnsi="Times New Roman" w:cs="Times New Roman"/>
          <w:i/>
          <w:iCs/>
          <w:color w:val="000000" w:themeColor="text1"/>
        </w:rPr>
        <w:t>Avvisi sull'esistenza di un sistema di qualificazione.</w:t>
      </w:r>
    </w:p>
    <w:p w14:paraId="3A1B3F92" w14:textId="41E8EAAB"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w:t>
      </w:r>
      <w:r w:rsidRPr="004A5029">
        <w:rPr>
          <w:rFonts w:ascii="Times New Roman" w:hAnsi="Times New Roman" w:cs="Times New Roman"/>
          <w:bCs/>
          <w:color w:val="000000" w:themeColor="text1"/>
        </w:rPr>
        <w:t>Ai sensi dell’articolo 141, comma 4, lettera a),</w:t>
      </w:r>
      <w:r w:rsidRPr="004A5029">
        <w:rPr>
          <w:rFonts w:ascii="Times New Roman" w:hAnsi="Times New Roman" w:cs="Times New Roman"/>
          <w:color w:val="000000" w:themeColor="text1"/>
        </w:rPr>
        <w:t xml:space="preserve">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stazioni appaltanti e gli enti concedenti</w:t>
      </w:r>
      <w:r w:rsidRPr="004A5029">
        <w:rPr>
          <w:rFonts w:ascii="Times New Roman" w:hAnsi="Times New Roman" w:cs="Times New Roman"/>
          <w:color w:val="000000" w:themeColor="text1"/>
        </w:rPr>
        <w:t xml:space="preserve"> possono istituire e gestire un proprio sistema di qualificazione degli operatori economici. </w:t>
      </w:r>
      <w:r w:rsidRPr="004A5029">
        <w:rPr>
          <w:rFonts w:ascii="Times New Roman" w:eastAsia="Calibri" w:hAnsi="Times New Roman" w:cs="Times New Roman"/>
          <w:color w:val="000000" w:themeColor="text1"/>
        </w:rPr>
        <w:t>Il</w:t>
      </w:r>
      <w:r w:rsidRPr="004A5029">
        <w:rPr>
          <w:rFonts w:ascii="Times New Roman" w:eastAsia="Times New Roman" w:hAnsi="Times New Roman" w:cs="Times New Roman"/>
          <w:color w:val="000000" w:themeColor="text1"/>
        </w:rPr>
        <w:t xml:space="preserve"> </w:t>
      </w:r>
      <w:r w:rsidRPr="004A5029">
        <w:rPr>
          <w:rFonts w:ascii="Times New Roman" w:hAnsi="Times New Roman" w:cs="Times New Roman"/>
          <w:color w:val="000000" w:themeColor="text1"/>
        </w:rPr>
        <w:t xml:space="preserve">sistema è reso pubblico con un avviso di cui all'allegato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C059E9"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ezione H, indicando le finalità e le modalità per conoscere le disposizioni relative al funzionamento.</w:t>
      </w:r>
    </w:p>
    <w:p w14:paraId="42C5E81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Quando è indetta una gara con un avviso di cui al comma 1, gli offerenti in una procedura ristretta, o i partecipanti in una procedura negoziata, sono selezionati tra i candidati qualificati con tale sistema.</w:t>
      </w:r>
    </w:p>
    <w:p w14:paraId="0A839FF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stazioni appaltanti e gli enti concedenti</w:t>
      </w:r>
      <w:r w:rsidRPr="004A5029">
        <w:rPr>
          <w:rFonts w:ascii="Times New Roman" w:hAnsi="Times New Roman" w:cs="Times New Roman"/>
          <w:color w:val="000000" w:themeColor="text1"/>
        </w:rPr>
        <w:t xml:space="preserve"> indicano nell'avviso sull'esistenza del sistema il periodo di efficacia del sistema di qualificazione. Per gli appalti di importo pari o superiore alle soglie di cui all'articolo 14, essi informano l'Ufficio delle pubblicazioni dell'Unione europea </w:t>
      </w:r>
      <w:r w:rsidRPr="004A5029">
        <w:rPr>
          <w:rFonts w:ascii="Times New Roman" w:hAnsi="Times New Roman" w:cs="Times New Roman"/>
          <w:bCs/>
          <w:color w:val="000000" w:themeColor="text1"/>
        </w:rPr>
        <w:t xml:space="preserve">secondo le modalità di cui all’articolo 84 </w:t>
      </w:r>
      <w:r w:rsidRPr="004A5029">
        <w:rPr>
          <w:rFonts w:ascii="Times New Roman" w:hAnsi="Times New Roman" w:cs="Times New Roman"/>
          <w:color w:val="000000" w:themeColor="text1"/>
        </w:rPr>
        <w:t>di qualsiasi cambiamento di tale periodo di efficacia utilizzando i seguenti modelli di formulari:</w:t>
      </w:r>
    </w:p>
    <w:p w14:paraId="5B1513A0" w14:textId="5BAD373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se il periodo di efficacia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modificato senza porre fine al sistema, il modello utilizzato inizialmente per gli avvisi sull'esistenza dei sistemi di qualificazione;</w:t>
      </w:r>
    </w:p>
    <w:p w14:paraId="4F6767AA" w14:textId="7CC326F4"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se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posto termine al sistema, un avviso di aggiudicazione di cui all'articolo 163.</w:t>
      </w:r>
    </w:p>
    <w:p w14:paraId="3955E093" w14:textId="77777777" w:rsidR="00427A36" w:rsidRPr="004A5029" w:rsidRDefault="00427A36" w:rsidP="00427A36">
      <w:pPr>
        <w:rPr>
          <w:rFonts w:ascii="Times New Roman" w:hAnsi="Times New Roman" w:cs="Times New Roman"/>
          <w:color w:val="000000" w:themeColor="text1"/>
        </w:rPr>
      </w:pPr>
    </w:p>
    <w:p w14:paraId="79D16502"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163.</w:t>
      </w:r>
    </w:p>
    <w:p w14:paraId="2ADB8F9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Bandi di gara e avvisi relativi agli appalti aggiudicati.</w:t>
      </w:r>
    </w:p>
    <w:p w14:paraId="70D39038" w14:textId="1BFD6554"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 bandi di gara possono essere utilizzati come mezzo di indizione di gara per tutte le procedure. Essi contengono le informazioni di cui all</w:t>
      </w:r>
      <w:r w:rsidR="00A47D2D" w:rsidRPr="004A5029">
        <w:rPr>
          <w:rFonts w:ascii="Times New Roman" w:hAnsi="Times New Roman" w:cs="Times New Roman"/>
          <w:color w:val="000000" w:themeColor="text1"/>
        </w:rPr>
        <w:t>e</w:t>
      </w:r>
      <w:r w:rsidRPr="004A5029">
        <w:rPr>
          <w:rFonts w:ascii="Times New Roman" w:hAnsi="Times New Roman" w:cs="Times New Roman"/>
          <w:color w:val="000000" w:themeColor="text1"/>
        </w:rPr>
        <w:t xml:space="preserve"> pertinent</w:t>
      </w:r>
      <w:r w:rsidR="00A47D2D" w:rsidRPr="004A5029">
        <w:rPr>
          <w:rFonts w:ascii="Times New Roman" w:hAnsi="Times New Roman" w:cs="Times New Roman"/>
          <w:color w:val="000000" w:themeColor="text1"/>
        </w:rPr>
        <w:t>i disposizioni</w:t>
      </w:r>
      <w:r w:rsidRPr="004A5029">
        <w:rPr>
          <w:rFonts w:ascii="Times New Roman" w:hAnsi="Times New Roman" w:cs="Times New Roman"/>
          <w:color w:val="000000" w:themeColor="text1"/>
        </w:rPr>
        <w:t xml:space="preserve"> dell'allegato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arte II e sono pubblicati conformemente all'articolo 164.</w:t>
      </w:r>
    </w:p>
    <w:p w14:paraId="63CAE8F4" w14:textId="05D82B59"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Entro </w:t>
      </w:r>
      <w:r w:rsidRPr="004A5029">
        <w:rPr>
          <w:rFonts w:ascii="Times New Roman" w:hAnsi="Times New Roman" w:cs="Times New Roman"/>
          <w:b/>
          <w:bCs/>
          <w:strike/>
          <w:color w:val="000000" w:themeColor="text1"/>
        </w:rPr>
        <w:t>30</w:t>
      </w:r>
      <w:r w:rsidRPr="004A5029">
        <w:rPr>
          <w:rFonts w:ascii="Times New Roman" w:hAnsi="Times New Roman" w:cs="Times New Roman"/>
          <w:color w:val="000000" w:themeColor="text1"/>
        </w:rPr>
        <w:t xml:space="preserve"> </w:t>
      </w:r>
      <w:r w:rsidR="004E4B92" w:rsidRPr="004A5029">
        <w:rPr>
          <w:rFonts w:ascii="Times New Roman" w:hAnsi="Times New Roman" w:cs="Times New Roman"/>
          <w:b/>
          <w:bCs/>
          <w:color w:val="000000" w:themeColor="text1"/>
        </w:rPr>
        <w:t xml:space="preserve">trenta </w:t>
      </w:r>
      <w:r w:rsidRPr="004A5029">
        <w:rPr>
          <w:rFonts w:ascii="Times New Roman" w:hAnsi="Times New Roman" w:cs="Times New Roman"/>
          <w:color w:val="000000" w:themeColor="text1"/>
        </w:rPr>
        <w:t>giorni dalla conclusione di un contratto o di un accordo quadro che faccia seguito alla relativa decisione di aggiudicazione o di conclusione,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e gli enti concedenti</w:t>
      </w:r>
      <w:r w:rsidRPr="004A5029">
        <w:rPr>
          <w:rFonts w:ascii="Times New Roman" w:hAnsi="Times New Roman" w:cs="Times New Roman"/>
          <w:color w:val="000000" w:themeColor="text1"/>
        </w:rPr>
        <w:t xml:space="preserve"> inviano un avviso di aggiudicazione che riporta i risultati della procedura di appalto. Tale avviso contiene le informazioni di cui all'allegato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C059E9"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C059E9"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ezione G, ed è pubblicato conformemente all'articolo 164. Si applicano altresì le disposizioni di cui all'articolo 111, commi 2, 3, 4 e 5.</w:t>
      </w:r>
    </w:p>
    <w:p w14:paraId="7987474F" w14:textId="0FA3E7B4"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Nel caso di contratti per servizi di ricerca e sviluppo</w:t>
      </w:r>
      <w:r w:rsidR="006A1D1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di seguito </w:t>
      </w:r>
      <w:bookmarkStart w:id="45" w:name="_Hlk126854905"/>
      <w:r w:rsidRPr="004A5029">
        <w:rPr>
          <w:rFonts w:ascii="Times New Roman" w:hAnsi="Times New Roman" w:cs="Times New Roman"/>
          <w:color w:val="000000" w:themeColor="text1"/>
        </w:rPr>
        <w:t>«</w:t>
      </w:r>
      <w:bookmarkEnd w:id="45"/>
      <w:r w:rsidRPr="004A5029">
        <w:rPr>
          <w:rFonts w:ascii="Times New Roman" w:hAnsi="Times New Roman" w:cs="Times New Roman"/>
          <w:color w:val="000000" w:themeColor="text1"/>
        </w:rPr>
        <w:t>servizi R&amp;S</w:t>
      </w:r>
      <w:bookmarkStart w:id="46" w:name="_Hlk126854917"/>
      <w:r w:rsidRPr="004A5029">
        <w:rPr>
          <w:rFonts w:ascii="Times New Roman" w:hAnsi="Times New Roman" w:cs="Times New Roman"/>
          <w:color w:val="000000" w:themeColor="text1"/>
        </w:rPr>
        <w:t>»</w:t>
      </w:r>
      <w:bookmarkEnd w:id="46"/>
      <w:r w:rsidRPr="004A5029">
        <w:rPr>
          <w:rFonts w:ascii="Times New Roman" w:hAnsi="Times New Roman" w:cs="Times New Roman"/>
          <w:color w:val="000000" w:themeColor="text1"/>
        </w:rPr>
        <w:t>, le informazioni riguardanti la natura e la quantità dei servizi possono limitarsi:</w:t>
      </w:r>
    </w:p>
    <w:p w14:paraId="7B85E033"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all'indicazione «servizi R&amp;S» se il contratto è stato aggiudicato mediante procedura negoziata senza indizione di gara conformemente all'articolo 158, </w:t>
      </w:r>
      <w:r w:rsidRPr="004A5029">
        <w:rPr>
          <w:rFonts w:ascii="Times New Roman" w:hAnsi="Times New Roman" w:cs="Times New Roman"/>
          <w:bCs/>
          <w:color w:val="000000" w:themeColor="text1"/>
        </w:rPr>
        <w:t>comma 2, lettera b);</w:t>
      </w:r>
    </w:p>
    <w:p w14:paraId="5C7DD6B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a informazioni che siano almeno tanto dettagliate quanto specificato nell'avviso utilizzato come mezzo di indizione della gara.</w:t>
      </w:r>
    </w:p>
    <w:p w14:paraId="29C70915" w14:textId="20AAE74D"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Le informazioni fornite ai sensi dell'allegato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F1581C"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447E89"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ezione G</w:t>
      </w:r>
      <w:r w:rsidR="005E09C8"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e non destinate alla pubblicazione sono pubblicate</w:t>
      </w:r>
      <w:r w:rsidR="00831E3C" w:rsidRPr="004A5029">
        <w:rPr>
          <w:rFonts w:eastAsia="Calibri" w:cstheme="minorHAnsi"/>
          <w:b/>
          <w:color w:val="000000" w:themeColor="text1"/>
          <w:sz w:val="20"/>
          <w:szCs w:val="20"/>
        </w:rPr>
        <w:t xml:space="preserve"> </w:t>
      </w:r>
      <w:r w:rsidRPr="004A5029">
        <w:rPr>
          <w:rFonts w:ascii="Times New Roman" w:hAnsi="Times New Roman" w:cs="Times New Roman"/>
          <w:color w:val="000000" w:themeColor="text1"/>
        </w:rPr>
        <w:t>solo in forma semplificata e per motivi statistici.</w:t>
      </w:r>
    </w:p>
    <w:p w14:paraId="12C42424" w14:textId="77777777" w:rsidR="00427A36" w:rsidRPr="004A5029" w:rsidRDefault="00427A36" w:rsidP="00427A36">
      <w:pPr>
        <w:jc w:val="both"/>
        <w:rPr>
          <w:rFonts w:ascii="Times New Roman" w:hAnsi="Times New Roman" w:cs="Times New Roman"/>
          <w:color w:val="000000" w:themeColor="text1"/>
        </w:rPr>
      </w:pPr>
    </w:p>
    <w:p w14:paraId="3BAA0824"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164.</w:t>
      </w:r>
    </w:p>
    <w:p w14:paraId="4EC47D6C"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Redazione e modalità di pubblicazione dei bandi e degli avvisi.</w:t>
      </w:r>
    </w:p>
    <w:p w14:paraId="6687B17B" w14:textId="202E0C5A"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I bandi e gli avvisi di cui agli articoli da 161 a 163 contengono le informazioni indicate nell'allegato </w:t>
      </w:r>
      <w:r w:rsidRPr="004A5029">
        <w:rPr>
          <w:rFonts w:ascii="Times New Roman" w:hAnsi="Times New Roman" w:cs="Times New Roman"/>
          <w:bCs/>
          <w:color w:val="000000" w:themeColor="text1"/>
        </w:rPr>
        <w:t>II.6</w:t>
      </w:r>
      <w:r w:rsidRPr="004A5029">
        <w:rPr>
          <w:rFonts w:ascii="Times New Roman" w:hAnsi="Times New Roman" w:cs="Times New Roman"/>
          <w:color w:val="000000" w:themeColor="text1"/>
        </w:rPr>
        <w:t xml:space="preserve">, </w:t>
      </w:r>
      <w:r w:rsidR="00F1581C"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w:t>
      </w:r>
      <w:r w:rsidR="00F1581C" w:rsidRPr="004A5029">
        <w:rPr>
          <w:rFonts w:ascii="Times New Roman" w:hAnsi="Times New Roman" w:cs="Times New Roman"/>
          <w:b/>
          <w:bCs/>
          <w:color w:val="000000" w:themeColor="text1"/>
        </w:rPr>
        <w:t>S</w:t>
      </w:r>
      <w:r w:rsidRPr="004A5029">
        <w:rPr>
          <w:rFonts w:ascii="Times New Roman" w:hAnsi="Times New Roman" w:cs="Times New Roman"/>
          <w:color w:val="000000" w:themeColor="text1"/>
        </w:rPr>
        <w:t xml:space="preserve">ezioni A, B, </w:t>
      </w:r>
      <w:r w:rsidRPr="004A5029">
        <w:rPr>
          <w:rFonts w:ascii="Times New Roman" w:hAnsi="Times New Roman" w:cs="Times New Roman"/>
          <w:bCs/>
          <w:color w:val="000000" w:themeColor="text1"/>
        </w:rPr>
        <w:t>C</w:t>
      </w:r>
      <w:r w:rsidRPr="004A5029">
        <w:rPr>
          <w:rFonts w:ascii="Times New Roman" w:hAnsi="Times New Roman" w:cs="Times New Roman"/>
          <w:color w:val="000000" w:themeColor="text1"/>
        </w:rPr>
        <w:t xml:space="preserve">, D, </w:t>
      </w:r>
      <w:r w:rsidRPr="004A5029">
        <w:rPr>
          <w:rFonts w:ascii="Times New Roman" w:hAnsi="Times New Roman" w:cs="Times New Roman"/>
          <w:bCs/>
          <w:color w:val="000000" w:themeColor="text1"/>
        </w:rPr>
        <w:t>E, F</w:t>
      </w:r>
      <w:r w:rsidRPr="004A5029">
        <w:rPr>
          <w:rFonts w:ascii="Times New Roman" w:hAnsi="Times New Roman" w:cs="Times New Roman"/>
          <w:color w:val="000000" w:themeColor="text1"/>
        </w:rPr>
        <w:t xml:space="preserve">, G e H, nel formato di modelli di formulari, compresi modelli di formulari per le rettifiche, stabiliti dalla Commissione. </w:t>
      </w:r>
      <w:r w:rsidRPr="004A5029">
        <w:rPr>
          <w:rFonts w:ascii="Times New Roman" w:hAnsi="Times New Roman" w:cs="Times New Roman"/>
          <w:bCs/>
          <w:color w:val="000000" w:themeColor="text1"/>
        </w:rPr>
        <w:t xml:space="preserve">Tali bandi e avvisi </w:t>
      </w:r>
      <w:r w:rsidRPr="004A5029">
        <w:rPr>
          <w:rFonts w:ascii="Times New Roman" w:hAnsi="Times New Roman" w:cs="Times New Roman"/>
          <w:color w:val="000000" w:themeColor="text1"/>
        </w:rPr>
        <w:t xml:space="preserve">sono trasmessi all'Ufficio delle pubblicazioni dell'Unione europea </w:t>
      </w:r>
      <w:r w:rsidRPr="004A5029">
        <w:rPr>
          <w:rFonts w:ascii="Times New Roman" w:eastAsia="Calibri" w:hAnsi="Times New Roman" w:cs="Times New Roman"/>
          <w:color w:val="000000" w:themeColor="text1"/>
        </w:rPr>
        <w:t>ai sensi</w:t>
      </w:r>
      <w:r w:rsidRPr="004A5029">
        <w:rPr>
          <w:rFonts w:ascii="Times New Roman" w:eastAsia="Times New Roman" w:hAnsi="Times New Roman" w:cs="Times New Roman"/>
          <w:color w:val="000000" w:themeColor="text1"/>
        </w:rPr>
        <w:t xml:space="preserve"> de</w:t>
      </w:r>
      <w:r w:rsidRPr="004A5029">
        <w:rPr>
          <w:rFonts w:ascii="Times New Roman" w:hAnsi="Times New Roman" w:cs="Times New Roman"/>
          <w:color w:val="000000" w:themeColor="text1"/>
        </w:rPr>
        <w:t xml:space="preserve">ll’articolo 84, in conformità all'allegato </w:t>
      </w:r>
      <w:r w:rsidRPr="004A5029">
        <w:rPr>
          <w:rFonts w:ascii="Times New Roman" w:hAnsi="Times New Roman" w:cs="Times New Roman"/>
          <w:bCs/>
          <w:color w:val="000000" w:themeColor="text1"/>
        </w:rPr>
        <w:t>II.7.</w:t>
      </w:r>
    </w:p>
    <w:p w14:paraId="26B9AECC"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2. I bandi e gli avvisi sono pubblicati per esteso in una delle lingue ufficiali dell’Unione europea, scelta dalle stazioni appaltanti o dagli enti concedenti, e il testo è l'unico facente fede. Le stazioni appaltanti o gli enti concedenti italiani scelgono la lingua italiana, fatte salve le norme vigenti nella Provincia autonoma di Bolzano in materia di bilinguismo. Una sintesi degli elementi importanti di ciascun bando, indicati dalle stazioni appaltanti </w:t>
      </w:r>
      <w:r w:rsidRPr="004A5029">
        <w:rPr>
          <w:rFonts w:ascii="Times New Roman" w:eastAsia="Times New Roman" w:hAnsi="Times New Roman" w:cs="Times New Roman"/>
          <w:bCs/>
          <w:color w:val="000000" w:themeColor="text1"/>
        </w:rPr>
        <w:t xml:space="preserve">o dagli enti concedenti </w:t>
      </w:r>
      <w:r w:rsidRPr="004A5029">
        <w:rPr>
          <w:rFonts w:ascii="Times New Roman" w:eastAsia="Times New Roman" w:hAnsi="Times New Roman" w:cs="Times New Roman"/>
          <w:color w:val="000000" w:themeColor="text1"/>
        </w:rPr>
        <w:t>nel rispetto dei principi di trasparenza e non discriminazione, è pubblicata nelle altre lingue ufficiali.</w:t>
      </w:r>
    </w:p>
    <w:p w14:paraId="6BD5354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L'Ufficio delle pubblicazioni dell'Unione europea garantisce che il testo integrale e la sintesi degli avvisi periodici indicativi di cui all'articolo 161, degli avvisi di indizione di gara che istituiscono un sistema dinamico di acquisizione di cui all'articolo 32, nonché degli avvisi sull'esistenza di un sistema di qualificazione usati come mezzo di indizione di gara di cui all'articolo 155, comma 3, lettera b), continuino a essere pubblicati:</w:t>
      </w:r>
    </w:p>
    <w:p w14:paraId="2B6E679F" w14:textId="1F8BAC0C"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nel caso di avvisi periodici indicativi, per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o fino al ricevimento di un avviso di aggiudicazione di cui all'articolo 163, che indichi che nei </w:t>
      </w:r>
      <w:r w:rsidR="00A62EBA" w:rsidRPr="004A5029">
        <w:rPr>
          <w:rFonts w:ascii="Times New Roman" w:hAnsi="Times New Roman" w:cs="Times New Roman"/>
          <w:b/>
          <w:bCs/>
          <w:strike/>
          <w:color w:val="000000" w:themeColor="text1"/>
        </w:rPr>
        <w:t>12</w:t>
      </w:r>
      <w:r w:rsidR="00A62EBA" w:rsidRPr="004A5029">
        <w:rPr>
          <w:rFonts w:ascii="Times New Roman" w:hAnsi="Times New Roman" w:cs="Times New Roman"/>
          <w:color w:val="000000" w:themeColor="text1"/>
        </w:rPr>
        <w:t xml:space="preserve"> </w:t>
      </w:r>
      <w:r w:rsidR="00A62EBA" w:rsidRPr="004A5029">
        <w:rPr>
          <w:rFonts w:ascii="Times New Roman" w:hAnsi="Times New Roman" w:cs="Times New Roman"/>
          <w:b/>
          <w:bCs/>
          <w:color w:val="000000" w:themeColor="text1"/>
        </w:rPr>
        <w:t>dodici</w:t>
      </w:r>
      <w:r w:rsidRPr="004A5029">
        <w:rPr>
          <w:rFonts w:ascii="Times New Roman" w:hAnsi="Times New Roman" w:cs="Times New Roman"/>
          <w:color w:val="000000" w:themeColor="text1"/>
        </w:rPr>
        <w:t xml:space="preserve"> mesi coperti dall'avviso di indizione di gara non sarà aggiudicato nessun altro appalto; tuttavia, nel caso di appalti per servizi sociali e altri servizi specifici di cui all'allegato XIV alla direttiva 2014/24/UE del Parlamento europeo e del Consiglio, del 26 febbraio 2014, l'avviso periodico indicativo di cui all'articolo 127, comma 1, lettera b), continua a essere pubblicato fino alla scadenza del periodo di validità indicato inizialmente o fino alla ricezione di un avviso di aggiudicazione come previsto all'articolo 163, indicante che non saranno aggiudicati ulteriori appalti nel periodo coperto dall'indizione di gara;</w:t>
      </w:r>
    </w:p>
    <w:p w14:paraId="608077A9"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nel caso di avvisi di indizione di gara che istituiscono un sistema dinamico di acquisizione, per il periodo di validità del sistema dinamico di acquisizione;</w:t>
      </w:r>
    </w:p>
    <w:p w14:paraId="79146FFD"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nel caso di avvisi sull'esistenza di un sistema di qualificazione, per il periodo di validità.</w:t>
      </w:r>
    </w:p>
    <w:p w14:paraId="0B4DA9FE"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w:t>
      </w:r>
      <w:r w:rsidRPr="004A5029">
        <w:rPr>
          <w:rStyle w:val="normaltextrun"/>
          <w:rFonts w:ascii="Times New Roman" w:hAnsi="Times New Roman" w:cs="Times New Roman"/>
          <w:bCs/>
          <w:iCs/>
          <w:color w:val="000000" w:themeColor="text1"/>
        </w:rPr>
        <w:t xml:space="preserve">Le </w:t>
      </w:r>
      <w:r w:rsidRPr="004A5029">
        <w:rPr>
          <w:rFonts w:ascii="Times New Roman" w:hAnsi="Times New Roman" w:cs="Times New Roman"/>
          <w:bCs/>
          <w:iCs/>
          <w:color w:val="000000" w:themeColor="text1"/>
        </w:rPr>
        <w:t>stazioni appaltanti o gli enti concedenti</w:t>
      </w:r>
      <w:r w:rsidRPr="004A5029">
        <w:rPr>
          <w:rFonts w:ascii="Times New Roman" w:hAnsi="Times New Roman" w:cs="Times New Roman"/>
          <w:color w:val="000000" w:themeColor="text1"/>
        </w:rPr>
        <w:t xml:space="preserve"> possono inviare per la pubblicazione avvisi relativi ad appalti pubblici che non sono soggetti all'obbligo di pubblicazione, a condizione che essi siano trasmessi secondo il modello e le modalità precisati al comma 1.</w:t>
      </w:r>
    </w:p>
    <w:p w14:paraId="4D90CDCD"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Per la pubblicazione a livello nazionale si applica l'articolo 85.</w:t>
      </w:r>
    </w:p>
    <w:p w14:paraId="379CA55B" w14:textId="77777777" w:rsidR="00427A36" w:rsidRPr="004A5029" w:rsidRDefault="00427A36" w:rsidP="00427A36">
      <w:pPr>
        <w:jc w:val="both"/>
        <w:rPr>
          <w:rFonts w:ascii="Times New Roman" w:hAnsi="Times New Roman" w:cs="Times New Roman"/>
          <w:color w:val="000000" w:themeColor="text1"/>
        </w:rPr>
      </w:pPr>
    </w:p>
    <w:p w14:paraId="5F24DBA2"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165.</w:t>
      </w:r>
    </w:p>
    <w:p w14:paraId="5E15FCAA" w14:textId="77777777" w:rsidR="00427A36" w:rsidRPr="004A5029" w:rsidRDefault="00427A36" w:rsidP="00427A36">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Inviti ai candidati.</w:t>
      </w:r>
    </w:p>
    <w:p w14:paraId="5A9DC43B"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1. Nelle procedure ristrette, nei dialoghi competitivi, nei partenariati per l'innovazione, nelle procedure negoziate con indizione di gara, l</w:t>
      </w:r>
      <w:r w:rsidRPr="004A5029">
        <w:rPr>
          <w:rStyle w:val="normaltextrun"/>
          <w:rFonts w:ascii="Times New Roman" w:eastAsia="Times New Roman" w:hAnsi="Times New Roman" w:cs="Times New Roman"/>
          <w:color w:val="000000" w:themeColor="text1"/>
        </w:rPr>
        <w:t xml:space="preserve">e </w:t>
      </w:r>
      <w:r w:rsidRPr="004A5029">
        <w:rPr>
          <w:rFonts w:ascii="Times New Roman" w:eastAsia="Times New Roman" w:hAnsi="Times New Roman" w:cs="Times New Roman"/>
          <w:color w:val="000000" w:themeColor="text1"/>
        </w:rPr>
        <w:t>stazioni appaltanti o gli enti concedenti invitano, simultaneamente, e per iscritto i candidati selezionati a presentare le rispettive offerte, a partecipare al dialogo o a negoziare. Con le stesse modalità, l</w:t>
      </w:r>
      <w:r w:rsidRPr="004A5029">
        <w:rPr>
          <w:rStyle w:val="normaltextrun"/>
          <w:rFonts w:ascii="Times New Roman" w:eastAsia="Times New Roman" w:hAnsi="Times New Roman" w:cs="Times New Roman"/>
          <w:color w:val="000000" w:themeColor="text1"/>
        </w:rPr>
        <w:t xml:space="preserve">e </w:t>
      </w:r>
      <w:r w:rsidRPr="004A5029">
        <w:rPr>
          <w:rFonts w:ascii="Times New Roman" w:eastAsia="Times New Roman" w:hAnsi="Times New Roman" w:cs="Times New Roman"/>
          <w:color w:val="000000" w:themeColor="text1"/>
        </w:rPr>
        <w:t>stazioni appaltanti o gli enti concedenti invitano, nel caso di indizione di gara tramite un avviso periodico indicativo, gli operatori economici che già hanno espresso interesse a confermarlo.</w:t>
      </w:r>
    </w:p>
    <w:p w14:paraId="12060F3D" w14:textId="7FA549E5"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Gli inviti indicano l'indirizzo </w:t>
      </w:r>
      <w:r w:rsidRPr="004A5029">
        <w:rPr>
          <w:rFonts w:ascii="Times New Roman" w:hAnsi="Times New Roman" w:cs="Times New Roman"/>
          <w:bCs/>
          <w:color w:val="000000" w:themeColor="text1"/>
        </w:rPr>
        <w:t>digitale</w:t>
      </w:r>
      <w:r w:rsidRPr="004A5029">
        <w:rPr>
          <w:rFonts w:ascii="Times New Roman" w:hAnsi="Times New Roman" w:cs="Times New Roman"/>
          <w:color w:val="000000" w:themeColor="text1"/>
        </w:rPr>
        <w:t xml:space="preserve"> al quale sono stati resi direttamente disponibili i documenti di gara e le informazioni indicate di</w:t>
      </w:r>
      <w:r w:rsidRPr="004A5029">
        <w:rPr>
          <w:rFonts w:ascii="Times New Roman" w:eastAsia="Calibri" w:hAnsi="Times New Roman" w:cs="Times New Roman"/>
          <w:color w:val="000000" w:themeColor="text1"/>
        </w:rPr>
        <w:t xml:space="preserve"> cui all’</w:t>
      </w:r>
      <w:r w:rsidRPr="004A5029">
        <w:rPr>
          <w:rFonts w:ascii="Times New Roman" w:hAnsi="Times New Roman" w:cs="Times New Roman"/>
          <w:color w:val="000000" w:themeColor="text1"/>
        </w:rPr>
        <w:t xml:space="preserve">allegato </w:t>
      </w:r>
      <w:r w:rsidRPr="004A5029">
        <w:rPr>
          <w:rFonts w:ascii="Times New Roman" w:hAnsi="Times New Roman" w:cs="Times New Roman"/>
          <w:bCs/>
          <w:color w:val="000000" w:themeColor="text1"/>
        </w:rPr>
        <w:t>II.9</w:t>
      </w:r>
      <w:r w:rsidRPr="004A5029">
        <w:rPr>
          <w:rFonts w:ascii="Times New Roman" w:hAnsi="Times New Roman" w:cs="Times New Roman"/>
          <w:color w:val="000000" w:themeColor="text1"/>
        </w:rPr>
        <w:t xml:space="preserve">, </w:t>
      </w:r>
      <w:r w:rsidR="00F1581C" w:rsidRPr="004A5029">
        <w:rPr>
          <w:rFonts w:ascii="Times New Roman" w:hAnsi="Times New Roman" w:cs="Times New Roman"/>
          <w:b/>
          <w:bCs/>
          <w:color w:val="000000" w:themeColor="text1"/>
        </w:rPr>
        <w:t>P</w:t>
      </w:r>
      <w:r w:rsidRPr="004A5029">
        <w:rPr>
          <w:rFonts w:ascii="Times New Roman" w:hAnsi="Times New Roman" w:cs="Times New Roman"/>
          <w:color w:val="000000" w:themeColor="text1"/>
        </w:rPr>
        <w:t xml:space="preserve">arte II. Se tali documenti non sono disponibili in modo gratuito, illimitato e diretto, per i motivi di cui all'articolo 88 e non sono disponibili con altri mezzi, gli inviti sono corredati </w:t>
      </w:r>
      <w:r w:rsidRPr="004A5029">
        <w:rPr>
          <w:rFonts w:ascii="Times New Roman" w:hAnsi="Times New Roman" w:cs="Times New Roman"/>
          <w:bCs/>
          <w:color w:val="000000" w:themeColor="text1"/>
        </w:rPr>
        <w:t>del collegamento ipertestuale ai documenti di gara.</w:t>
      </w:r>
    </w:p>
    <w:p w14:paraId="5ABF93C4" w14:textId="77777777" w:rsidR="00427A36" w:rsidRPr="004A5029" w:rsidRDefault="00427A36" w:rsidP="00427A36">
      <w:pPr>
        <w:jc w:val="both"/>
        <w:rPr>
          <w:rFonts w:ascii="Times New Roman" w:hAnsi="Times New Roman" w:cs="Times New Roman"/>
          <w:color w:val="000000" w:themeColor="text1"/>
        </w:rPr>
      </w:pPr>
    </w:p>
    <w:p w14:paraId="67309B01"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166.</w:t>
      </w:r>
    </w:p>
    <w:p w14:paraId="35FF0504"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Informazioni a coloro che hanno chiesto una qualificazione, ai candidati e agli offerenti.</w:t>
      </w:r>
    </w:p>
    <w:p w14:paraId="5F069BC7"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Per quanto riguarda le informazioni a coloro che hanno chiesto una qualificazione, ai candidati e agli offerenti, si applicano le disposizioni di cui all'articolo 90 e ai commi 2, 3 e 4 del presente articolo.</w:t>
      </w:r>
    </w:p>
    <w:p w14:paraId="5D180513"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2.</w:t>
      </w:r>
      <w:r w:rsidRPr="004A5029">
        <w:rPr>
          <w:rStyle w:val="normaltextrun"/>
          <w:rFonts w:ascii="Times New Roman" w:eastAsia="Times New Roman" w:hAnsi="Times New Roman" w:cs="Times New Roman"/>
          <w:bCs/>
          <w:color w:val="000000" w:themeColor="text1"/>
        </w:rPr>
        <w:t xml:space="preserve"> Le </w:t>
      </w:r>
      <w:r w:rsidRPr="004A5029">
        <w:rPr>
          <w:rFonts w:ascii="Times New Roman" w:eastAsia="Times New Roman" w:hAnsi="Times New Roman" w:cs="Times New Roman"/>
          <w:bCs/>
          <w:color w:val="000000" w:themeColor="text1"/>
        </w:rPr>
        <w:t>stazioni appaltanti o gli enti concedenti</w:t>
      </w:r>
      <w:r w:rsidRPr="004A5029">
        <w:rPr>
          <w:rFonts w:ascii="Times New Roman" w:eastAsia="Times New Roman" w:hAnsi="Times New Roman" w:cs="Times New Roman"/>
          <w:color w:val="000000" w:themeColor="text1"/>
        </w:rPr>
        <w:t xml:space="preserve"> che istituiscono o gestiscono un sistema di qualificazione informano i richiedenti della decisione assunta entro sei mesi dalla presentazione della domanda. Se la decisione richiede più di quattro mesi, entro due mesi dalla presentazione della domanda sono comunicate le ragioni della proroga ed è indicato il nuovo termine. La stazione appaltante o l’ente concedente comunica al richiedente le ragioni della proroga del termine e indica la data entro cui interverrà la decisione.</w:t>
      </w:r>
    </w:p>
    <w:p w14:paraId="319E9B3C" w14:textId="1B6DCC6C"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I richiedenti la cui qualificazione è respinta sono informati della decisione e delle relative motivazioni </w:t>
      </w:r>
      <w:r w:rsidRPr="004A5029">
        <w:rPr>
          <w:rFonts w:ascii="Times New Roman" w:hAnsi="Times New Roman" w:cs="Times New Roman"/>
          <w:bCs/>
          <w:color w:val="000000" w:themeColor="text1"/>
        </w:rPr>
        <w:t>immediatamente e comunque</w:t>
      </w:r>
      <w:r w:rsidRPr="004A5029">
        <w:rPr>
          <w:rFonts w:ascii="Times New Roman" w:hAnsi="Times New Roman" w:cs="Times New Roman"/>
          <w:color w:val="000000" w:themeColor="text1"/>
        </w:rPr>
        <w:t xml:space="preserve"> entro </w:t>
      </w:r>
      <w:r w:rsidR="003809BD" w:rsidRPr="004A5029">
        <w:rPr>
          <w:rFonts w:ascii="Times New Roman" w:hAnsi="Times New Roman" w:cs="Times New Roman"/>
          <w:bCs/>
          <w:color w:val="000000" w:themeColor="text1"/>
        </w:rPr>
        <w:t xml:space="preserve">quindici </w:t>
      </w:r>
      <w:r w:rsidRPr="004A5029">
        <w:rPr>
          <w:rFonts w:ascii="Times New Roman" w:hAnsi="Times New Roman" w:cs="Times New Roman"/>
          <w:color w:val="000000" w:themeColor="text1"/>
        </w:rPr>
        <w:t>giorni dalla data della decisione di diniego. Le motivazioni si fondano sui criteri di qualificazione di cui all’articolo 168.</w:t>
      </w:r>
    </w:p>
    <w:p w14:paraId="1DEB0D34" w14:textId="5625EA74"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4.  Le stazioni appaltanti o gli enti concedenti possono revocare la qualificazione solo per ragioni fondate sui criteri di qualificazione di cui all’articolo 168, informando per iscritto l’operatore economico delle ragioni a fondamento della stessa, almeno </w:t>
      </w:r>
      <w:r w:rsidRPr="004A5029">
        <w:rPr>
          <w:rFonts w:ascii="Times New Roman" w:eastAsia="Times New Roman" w:hAnsi="Times New Roman" w:cs="Times New Roman"/>
          <w:b/>
          <w:bCs/>
          <w:strike/>
          <w:color w:val="000000" w:themeColor="text1"/>
        </w:rPr>
        <w:t>15</w:t>
      </w:r>
      <w:r w:rsidRPr="004A5029">
        <w:rPr>
          <w:rFonts w:ascii="Times New Roman" w:eastAsia="Times New Roman" w:hAnsi="Times New Roman" w:cs="Times New Roman"/>
          <w:color w:val="000000" w:themeColor="text1"/>
        </w:rPr>
        <w:t xml:space="preserve"> </w:t>
      </w:r>
      <w:r w:rsidR="004E4B92" w:rsidRPr="004A5029">
        <w:rPr>
          <w:rFonts w:ascii="Times New Roman" w:eastAsia="Times New Roman" w:hAnsi="Times New Roman" w:cs="Times New Roman"/>
          <w:b/>
          <w:bCs/>
          <w:color w:val="000000" w:themeColor="text1"/>
        </w:rPr>
        <w:t>quindici</w:t>
      </w:r>
      <w:r w:rsidR="004E4B92"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giorni prima della data fissata per la decisione.</w:t>
      </w:r>
    </w:p>
    <w:p w14:paraId="71DCB018" w14:textId="77777777" w:rsidR="00427A36" w:rsidRPr="004A5029" w:rsidRDefault="00427A36" w:rsidP="00427A36">
      <w:pPr>
        <w:jc w:val="both"/>
        <w:rPr>
          <w:rFonts w:ascii="Times New Roman" w:hAnsi="Times New Roman" w:cs="Times New Roman"/>
          <w:color w:val="000000" w:themeColor="text1"/>
        </w:rPr>
      </w:pPr>
    </w:p>
    <w:p w14:paraId="4B644A8D"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br w:type="page"/>
      </w:r>
    </w:p>
    <w:p w14:paraId="449FEE20" w14:textId="77777777" w:rsidR="00DC7D5C" w:rsidRPr="004A5029" w:rsidRDefault="00427A36" w:rsidP="00427A36">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PARTE IV </w:t>
      </w:r>
    </w:p>
    <w:p w14:paraId="436B338C" w14:textId="03829BCE" w:rsidR="00427A36" w:rsidRPr="004A5029" w:rsidRDefault="00427A36" w:rsidP="00427A36">
      <w:pPr>
        <w:jc w:val="center"/>
        <w:rPr>
          <w:rStyle w:val="Rimandonotaapidipagina"/>
          <w:rFonts w:ascii="Times New Roman" w:hAnsi="Times New Roman" w:cs="Times New Roman"/>
          <w:b/>
          <w:bCs/>
          <w:color w:val="000000" w:themeColor="text1"/>
          <w:highlight w:val="yellow"/>
        </w:rPr>
      </w:pPr>
      <w:r w:rsidRPr="004A5029">
        <w:rPr>
          <w:rFonts w:ascii="Times New Roman" w:hAnsi="Times New Roman" w:cs="Times New Roman"/>
          <w:b/>
          <w:bCs/>
          <w:color w:val="000000" w:themeColor="text1"/>
        </w:rPr>
        <w:t>DELLA SELEZIONE DEI PARTECIPANTI E DELLE OFFERTE</w:t>
      </w:r>
    </w:p>
    <w:p w14:paraId="082C48EB" w14:textId="77777777" w:rsidR="00427A36" w:rsidRPr="004A5029" w:rsidRDefault="00427A36" w:rsidP="00427A36">
      <w:pPr>
        <w:rPr>
          <w:rFonts w:ascii="Times New Roman" w:hAnsi="Times New Roman" w:cs="Times New Roman"/>
          <w:color w:val="000000" w:themeColor="text1"/>
        </w:rPr>
      </w:pPr>
    </w:p>
    <w:p w14:paraId="310DA02F"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167.</w:t>
      </w:r>
    </w:p>
    <w:p w14:paraId="73B77981" w14:textId="77777777" w:rsidR="00427A36" w:rsidRPr="004A5029" w:rsidRDefault="00427A36" w:rsidP="00427A36">
      <w:pPr>
        <w:jc w:val="both"/>
        <w:textAlignment w:val="baseline"/>
        <w:rPr>
          <w:rFonts w:ascii="Times New Roman" w:eastAsia="Times New Roman" w:hAnsi="Times New Roman" w:cs="Times New Roman"/>
          <w:color w:val="000000" w:themeColor="text1"/>
          <w:lang w:eastAsia="it-IT"/>
        </w:rPr>
      </w:pPr>
      <w:r w:rsidRPr="004A5029">
        <w:rPr>
          <w:rFonts w:ascii="Times New Roman" w:hAnsi="Times New Roman" w:cs="Times New Roman"/>
          <w:i/>
          <w:color w:val="000000" w:themeColor="text1"/>
        </w:rPr>
        <w:t>Ulteriori disposizioni applicabili nella scelta del contraente.</w:t>
      </w:r>
    </w:p>
    <w:p w14:paraId="38D745A0" w14:textId="77777777" w:rsidR="00427A36" w:rsidRPr="004A5029" w:rsidRDefault="00427A36" w:rsidP="00427A36">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 Per la selezione dei partecipanti e delle offerte nelle procedure di scelta del contraente nei settori speciali si applicano le seguenti disposizioni:</w:t>
      </w:r>
    </w:p>
    <w:p w14:paraId="35780BA0" w14:textId="77777777" w:rsidR="00427A36" w:rsidRPr="004A5029" w:rsidRDefault="00427A36" w:rsidP="00427A36">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a) le stazioni appaltanti o gli enti concedenti che sono amministrazioni pubbliche nominano una commissione giudicatrice;</w:t>
      </w:r>
    </w:p>
    <w:p w14:paraId="5B7FDFB8" w14:textId="77777777"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b) sono rispettati i termini per la presentazione delle domande di partecipazione secondo quanto previsto dall’articolo 92, comma 1;</w:t>
      </w:r>
    </w:p>
    <w:p w14:paraId="647FC7D2" w14:textId="60F3E550"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c) salvo quanto stabilito dagli articoli 168 e 169, è accertata l’assenza delle cause di esclusione previste dagli articoli 94, 95, con riferimento agli accordi internazionali elencati nell’allegato XIV alla direttiva 2014/25/UE del Parlamento europeo e del Consiglio del 26 febbraio 2014, 96, 97 e 98 ed è richiesta la documentazione prevista dall’articolo 99;</w:t>
      </w:r>
    </w:p>
    <w:p w14:paraId="1F2CD56F" w14:textId="77777777"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d) salvo quanto stabilito dagli articoli 168 e 169, è richiesto il possesso dei requisiti di partecipazione previsti dagli articoli 100 e 103;</w:t>
      </w:r>
    </w:p>
    <w:p w14:paraId="1576A6C5" w14:textId="77777777"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e) è consentito il soccorso istruttorio con le modalità e nei limiti previsti dall’articolo 101; </w:t>
      </w:r>
    </w:p>
    <w:p w14:paraId="01DCA149" w14:textId="77777777"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f) è stabilito che gli operatori economici presentino la documentazione prevista dagli articoli 91 e 105;</w:t>
      </w:r>
    </w:p>
    <w:p w14:paraId="1B43E6A4" w14:textId="77777777" w:rsidR="00427A36" w:rsidRPr="004A5029" w:rsidRDefault="00427A36" w:rsidP="00427A36">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g) è consentito il ricorso all’avvalimento secondo quanto previsto dall’articolo 104;</w:t>
      </w:r>
    </w:p>
    <w:p w14:paraId="37CA59D3" w14:textId="1130CD35" w:rsidR="00427A36" w:rsidRPr="004A5029" w:rsidRDefault="00427A36" w:rsidP="00427A36">
      <w:pPr>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 xml:space="preserve">h) è verificata la conformità delle offerte e aggiudicato l’appalto secondo quanto previsto dagli </w:t>
      </w:r>
      <w:r w:rsidRPr="004A5029">
        <w:rPr>
          <w:rFonts w:ascii="Times New Roman" w:eastAsia="Calibri" w:hAnsi="Times New Roman" w:cs="Times New Roman"/>
          <w:b/>
          <w:color w:val="000000" w:themeColor="text1"/>
        </w:rPr>
        <w:t xml:space="preserve">articoli </w:t>
      </w:r>
      <w:r w:rsidRPr="004A5029">
        <w:rPr>
          <w:rFonts w:ascii="Times New Roman" w:eastAsia="Calibri" w:hAnsi="Times New Roman" w:cs="Times New Roman"/>
          <w:b/>
          <w:strike/>
          <w:color w:val="000000" w:themeColor="text1"/>
        </w:rPr>
        <w:t>105</w:t>
      </w:r>
      <w:r w:rsidR="006B6A53" w:rsidRPr="004A5029">
        <w:rPr>
          <w:rFonts w:ascii="Times New Roman" w:eastAsia="Calibri" w:hAnsi="Times New Roman" w:cs="Times New Roman"/>
          <w:b/>
          <w:color w:val="000000" w:themeColor="text1"/>
        </w:rPr>
        <w:t xml:space="preserve"> 107</w:t>
      </w:r>
      <w:r w:rsidRPr="004A5029">
        <w:rPr>
          <w:rFonts w:ascii="Times New Roman" w:eastAsia="Calibri" w:hAnsi="Times New Roman" w:cs="Times New Roman"/>
          <w:b/>
          <w:color w:val="000000" w:themeColor="text1"/>
        </w:rPr>
        <w:t xml:space="preserve">, </w:t>
      </w:r>
      <w:r w:rsidRPr="004A5029">
        <w:rPr>
          <w:rFonts w:ascii="Times New Roman" w:eastAsia="Calibri" w:hAnsi="Times New Roman" w:cs="Times New Roman"/>
          <w:bCs/>
          <w:color w:val="000000" w:themeColor="text1"/>
        </w:rPr>
        <w:t>108 e 110.</w:t>
      </w:r>
    </w:p>
    <w:p w14:paraId="104B70DF" w14:textId="77777777" w:rsidR="00427A36" w:rsidRPr="004A5029" w:rsidRDefault="00427A36" w:rsidP="00427A36">
      <w:pPr>
        <w:jc w:val="both"/>
        <w:rPr>
          <w:rFonts w:ascii="Times New Roman" w:hAnsi="Times New Roman" w:cs="Times New Roman"/>
          <w:i/>
          <w:iCs/>
          <w:color w:val="000000" w:themeColor="text1"/>
        </w:rPr>
      </w:pPr>
      <w:r w:rsidRPr="004A5029">
        <w:rPr>
          <w:rFonts w:ascii="Times New Roman" w:eastAsia="Calibri" w:hAnsi="Times New Roman" w:cs="Times New Roman"/>
          <w:color w:val="000000" w:themeColor="text1"/>
        </w:rPr>
        <w:t xml:space="preserve">2. Quando selezionano i partecipanti a una procedura ristretta o negoziata, a un dialogo competitivo o per un partenariato per l’innovazione, quando decidono sulla qualificazione </w:t>
      </w:r>
      <w:r w:rsidRPr="004A5029">
        <w:rPr>
          <w:rFonts w:ascii="Times New Roman" w:eastAsia="Calibri" w:hAnsi="Times New Roman" w:cs="Times New Roman"/>
          <w:bCs/>
          <w:color w:val="000000" w:themeColor="text1"/>
        </w:rPr>
        <w:t>ai sensi dell’articolo 168</w:t>
      </w:r>
      <w:r w:rsidRPr="004A5029">
        <w:rPr>
          <w:rFonts w:ascii="Times New Roman" w:eastAsia="Calibri" w:hAnsi="Times New Roman" w:cs="Times New Roman"/>
          <w:color w:val="000000" w:themeColor="text1"/>
        </w:rPr>
        <w:t xml:space="preserve"> o quando </w:t>
      </w:r>
      <w:r w:rsidRPr="004A5029">
        <w:rPr>
          <w:rFonts w:ascii="Times New Roman" w:eastAsia="Calibri" w:hAnsi="Times New Roman" w:cs="Times New Roman"/>
          <w:bCs/>
          <w:color w:val="000000" w:themeColor="text1"/>
        </w:rPr>
        <w:t>dispongono l’aggiornamento dei sistemi di qualificazione</w:t>
      </w:r>
      <w:r w:rsidRPr="004A5029">
        <w:rPr>
          <w:rFonts w:ascii="Times New Roman" w:eastAsia="Calibri" w:hAnsi="Times New Roman" w:cs="Times New Roman"/>
          <w:color w:val="000000" w:themeColor="text1"/>
        </w:rPr>
        <w:t>,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o gli enti concedenti</w:t>
      </w:r>
      <w:r w:rsidRPr="004A5029">
        <w:rPr>
          <w:rFonts w:ascii="Times New Roman" w:eastAsia="Calibri" w:hAnsi="Times New Roman" w:cs="Times New Roman"/>
          <w:color w:val="000000" w:themeColor="text1"/>
        </w:rPr>
        <w:t>:</w:t>
      </w:r>
    </w:p>
    <w:p w14:paraId="74ADEDFE" w14:textId="77777777" w:rsidR="00427A36" w:rsidRPr="004A5029" w:rsidRDefault="00427A36" w:rsidP="00427A36">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a) non impongono condizioni amministrative, tecniche o finanziarie a taluni operatori economici senza imporle ad altri;</w:t>
      </w:r>
    </w:p>
    <w:p w14:paraId="79F4FD1A"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b) non esigono prove o giustificativi </w:t>
      </w:r>
      <w:r w:rsidRPr="004A5029">
        <w:rPr>
          <w:rFonts w:ascii="Times New Roman" w:eastAsia="Calibri" w:hAnsi="Times New Roman" w:cs="Times New Roman"/>
          <w:b/>
          <w:bCs/>
          <w:strike/>
          <w:color w:val="000000" w:themeColor="text1"/>
        </w:rPr>
        <w:t>già</w:t>
      </w:r>
      <w:r w:rsidRPr="004A5029">
        <w:rPr>
          <w:rFonts w:ascii="Times New Roman" w:eastAsia="Calibri" w:hAnsi="Times New Roman" w:cs="Times New Roman"/>
          <w:strike/>
          <w:color w:val="000000" w:themeColor="text1"/>
        </w:rPr>
        <w:t xml:space="preserve"> </w:t>
      </w:r>
      <w:r w:rsidRPr="004A5029">
        <w:rPr>
          <w:rFonts w:ascii="Times New Roman" w:eastAsia="Calibri" w:hAnsi="Times New Roman" w:cs="Times New Roman"/>
          <w:color w:val="000000" w:themeColor="text1"/>
        </w:rPr>
        <w:t>presenti nella documentazione valida già a disposizione.</w:t>
      </w:r>
    </w:p>
    <w:p w14:paraId="2677290C" w14:textId="77777777" w:rsidR="00427A36" w:rsidRPr="004A5029" w:rsidRDefault="00427A36" w:rsidP="00427A36">
      <w:pPr>
        <w:jc w:val="both"/>
        <w:rPr>
          <w:rFonts w:ascii="Times New Roman" w:hAnsi="Times New Roman" w:cs="Times New Roman"/>
          <w:color w:val="000000" w:themeColor="text1"/>
        </w:rPr>
      </w:pPr>
    </w:p>
    <w:p w14:paraId="7635C9D6"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168.</w:t>
      </w:r>
    </w:p>
    <w:p w14:paraId="6CE785D4" w14:textId="77777777" w:rsidR="00427A36" w:rsidRPr="004A5029" w:rsidRDefault="00427A36" w:rsidP="00427A36">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Procedure di gara con sistemi di qualificazione.</w:t>
      </w:r>
    </w:p>
    <w:p w14:paraId="795B8C80" w14:textId="77777777" w:rsidR="00427A36" w:rsidRPr="004A5029" w:rsidRDefault="00427A36" w:rsidP="00427A36">
      <w:pPr>
        <w:jc w:val="both"/>
        <w:rPr>
          <w:rFonts w:ascii="Times New Roman" w:hAnsi="Times New Roman" w:cs="Times New Roman"/>
          <w:bCs/>
          <w:color w:val="000000" w:themeColor="text1"/>
        </w:rPr>
      </w:pPr>
      <w:r w:rsidRPr="004A5029">
        <w:rPr>
          <w:rFonts w:ascii="Times New Roman" w:eastAsia="Calibri" w:hAnsi="Times New Roman" w:cs="Times New Roman"/>
          <w:color w:val="000000" w:themeColor="text1"/>
        </w:rPr>
        <w:t>1.  Ai sensi</w:t>
      </w:r>
      <w:r w:rsidRPr="004A5029">
        <w:rPr>
          <w:rFonts w:ascii="Times New Roman" w:eastAsia="Calibri" w:hAnsi="Times New Roman" w:cs="Times New Roman"/>
          <w:bCs/>
          <w:color w:val="000000" w:themeColor="text1"/>
        </w:rPr>
        <w:t xml:space="preserve"> dell’articolo 141, comma 4, lettera a),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o gli enti concedenti</w:t>
      </w:r>
      <w:r w:rsidRPr="004A5029">
        <w:rPr>
          <w:rFonts w:ascii="Times New Roman" w:eastAsia="Calibri" w:hAnsi="Times New Roman" w:cs="Times New Roman"/>
          <w:color w:val="000000" w:themeColor="text1"/>
        </w:rPr>
        <w:t xml:space="preserve"> possono istituire e gestire un sistema di qualificazione degli operatori economici. Gli operatori economici possono chiedere in qualsiasi momento di essere qualificati.</w:t>
      </w:r>
    </w:p>
    <w:p w14:paraId="6BEECDB1" w14:textId="088BA65E"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2. </w:t>
      </w:r>
      <w:r w:rsidRPr="004A5029">
        <w:rPr>
          <w:rFonts w:ascii="Times New Roman" w:eastAsia="Calibri" w:hAnsi="Times New Roman" w:cs="Times New Roman"/>
          <w:bCs/>
          <w:color w:val="000000" w:themeColor="text1"/>
        </w:rPr>
        <w:t>Con propri atti, pubblicati sui propri siti istituzionali e, comunque, trasmessi agli operatori economici interessati che ne facciano richiesta</w:t>
      </w:r>
      <w:r w:rsidRPr="004A5029">
        <w:rPr>
          <w:rFonts w:ascii="Times New Roman" w:eastAsia="Calibri" w:hAnsi="Times New Roman" w:cs="Times New Roman"/>
          <w:color w:val="000000" w:themeColor="text1"/>
        </w:rPr>
        <w:t>, l</w:t>
      </w:r>
      <w:r w:rsidRPr="004A5029">
        <w:rPr>
          <w:rStyle w:val="normaltextrun"/>
          <w:rFonts w:ascii="Times New Roman" w:hAnsi="Times New Roman" w:cs="Times New Roman"/>
          <w:bCs/>
          <w:color w:val="000000" w:themeColor="text1"/>
        </w:rPr>
        <w:t xml:space="preserve">e </w:t>
      </w:r>
      <w:r w:rsidRPr="004A5029">
        <w:rPr>
          <w:rFonts w:ascii="Times New Roman" w:hAnsi="Times New Roman" w:cs="Times New Roman"/>
          <w:bCs/>
          <w:color w:val="000000" w:themeColor="text1"/>
        </w:rPr>
        <w:t>stazioni appaltanti o gli enti concedenti</w:t>
      </w:r>
      <w:r w:rsidRPr="004A5029">
        <w:rPr>
          <w:rFonts w:ascii="Times New Roman" w:eastAsia="Calibri" w:hAnsi="Times New Roman" w:cs="Times New Roman"/>
          <w:color w:val="000000" w:themeColor="text1"/>
        </w:rPr>
        <w:t xml:space="preserve"> stabiliscono norme e criteri oggettivi per </w:t>
      </w:r>
      <w:r w:rsidRPr="004A5029">
        <w:rPr>
          <w:rFonts w:ascii="Times New Roman" w:eastAsia="Calibri" w:hAnsi="Times New Roman" w:cs="Times New Roman"/>
          <w:bCs/>
          <w:color w:val="000000" w:themeColor="text1"/>
        </w:rPr>
        <w:t>il funzionamento del sistema di qualificazione, che può essere articolato in vari stadi di qualificazione, l’eventuale aggiornamento periodico dello stesso e la sua durata</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Essi disciplinano i requisiti relativi alle capacità economiche e finanziarie e alle capacità tecniche e professionali necessarie all’iscrizione al sistema; i requisiti possono anche essere quelli previsti dagli articoli 100 e 103 ed in tal caso si applicano gli articoli 91 e 105. </w:t>
      </w:r>
      <w:r w:rsidRPr="004A5029">
        <w:rPr>
          <w:rFonts w:ascii="Times New Roman" w:eastAsia="Calibri" w:hAnsi="Times New Roman" w:cs="Times New Roman"/>
          <w:color w:val="000000" w:themeColor="text1"/>
        </w:rPr>
        <w:t>Quando i criteri per l’iscrizione comportano il possesso di specifiche tecniche si applicano gli articoli 79, 80 e 105.</w:t>
      </w:r>
    </w:p>
    <w:p w14:paraId="697552A2"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3. </w:t>
      </w:r>
      <w:r w:rsidRPr="004A5029">
        <w:rPr>
          <w:rStyle w:val="normaltextrun"/>
          <w:rFonts w:ascii="Times New Roman" w:hAnsi="Times New Roman" w:cs="Times New Roman"/>
          <w:bCs/>
          <w:color w:val="000000" w:themeColor="text1"/>
        </w:rPr>
        <w:t xml:space="preserve">Le </w:t>
      </w:r>
      <w:r w:rsidRPr="004A5029">
        <w:rPr>
          <w:rFonts w:ascii="Times New Roman" w:hAnsi="Times New Roman" w:cs="Times New Roman"/>
          <w:bCs/>
          <w:color w:val="000000" w:themeColor="text1"/>
        </w:rPr>
        <w:t>stazioni appaltanti o gli enti concedenti</w:t>
      </w:r>
      <w:r w:rsidRPr="004A5029">
        <w:rPr>
          <w:rFonts w:ascii="Times New Roman" w:eastAsia="Calibri" w:hAnsi="Times New Roman" w:cs="Times New Roman"/>
          <w:bCs/>
          <w:color w:val="000000" w:themeColor="text1"/>
        </w:rPr>
        <w:t xml:space="preserve"> prevedono negli atti di cui al comma 2 che non possono essere iscritti gli operatori economici </w:t>
      </w:r>
      <w:r w:rsidRPr="004A5029">
        <w:rPr>
          <w:rFonts w:ascii="Times New Roman" w:hAnsi="Times New Roman" w:cs="Times New Roman"/>
          <w:bCs/>
          <w:color w:val="000000" w:themeColor="text1"/>
        </w:rPr>
        <w:t xml:space="preserve">per i quali sussistano cause di esclusione ai sensi del combinato disposto degli articoli 94, 95, 96, 97, 98 e 169, </w:t>
      </w:r>
      <w:r w:rsidRPr="004A5029">
        <w:rPr>
          <w:rFonts w:ascii="Times New Roman" w:eastAsia="Calibri" w:hAnsi="Times New Roman" w:cs="Times New Roman"/>
          <w:bCs/>
          <w:color w:val="000000" w:themeColor="text1"/>
        </w:rPr>
        <w:t>e consentono in ogni caso di acquisire i requisiti di capacità richiesti per l’iscrizione secondo le modalità previste dall’articolo 104.</w:t>
      </w:r>
      <w:r w:rsidRPr="004A5029">
        <w:rPr>
          <w:rFonts w:ascii="Times New Roman" w:hAnsi="Times New Roman" w:cs="Times New Roman"/>
          <w:bCs/>
          <w:color w:val="000000" w:themeColor="text1"/>
        </w:rPr>
        <w:t xml:space="preserve"> </w:t>
      </w:r>
      <w:r w:rsidRPr="004A5029">
        <w:rPr>
          <w:rFonts w:ascii="Times New Roman" w:eastAsia="Calibri" w:hAnsi="Times New Roman" w:cs="Times New Roman"/>
          <w:bCs/>
          <w:color w:val="000000" w:themeColor="text1"/>
        </w:rPr>
        <w:t>Le norme e i criteri possono essere sempre aggiornati</w:t>
      </w:r>
      <w:r w:rsidRPr="004A5029">
        <w:rPr>
          <w:rFonts w:ascii="Times New Roman" w:eastAsia="Calibri" w:hAnsi="Times New Roman" w:cs="Times New Roman"/>
          <w:color w:val="000000" w:themeColor="text1"/>
        </w:rPr>
        <w:t>, dandone comunicazione agli operatori economici iscritti.</w:t>
      </w:r>
    </w:p>
    <w:p w14:paraId="3ED793D0"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4. Gli operatori qualificati sono iscritti in un elenco, che può essere diviso in categorie in base al tipo di appalti per i quali la qualificazione è valida. </w:t>
      </w:r>
    </w:p>
    <w:p w14:paraId="176D4E2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5. La stazione appaltante o l’ente concedente che istituisce e gestisce il sistema di qualificazione stabilisce i documenti, i certificati e le dichiarazioni sostitutive che devono corredare la domanda di iscrizione, e non può chiedere certificati o documenti che riproducono documenti validi già nella sua disponibilità. I documenti, i certificati e le dichiarazioni sostitutive, se redatti in una lingua diversa dall’italiano, sono accompagnati da una traduzione in lingua italiana certificata conforme al testo originale dalle autorità diplomatiche o consolari italiane del Paese in cui sono stati redatti, oppure da un traduttore ufficiale.</w:t>
      </w:r>
    </w:p>
    <w:p w14:paraId="3636A165"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 xml:space="preserve">6. I contratti specifici per i lavori, le forniture e i servizi contemplati dal sistema di qualificazione sono aggiudicati con procedure ristrette o procedure negoziate cui possono partecipare o presentare offerta gli operatori </w:t>
      </w:r>
      <w:r w:rsidRPr="004A5029">
        <w:rPr>
          <w:rFonts w:ascii="Times New Roman" w:eastAsia="Calibri" w:hAnsi="Times New Roman" w:cs="Times New Roman"/>
          <w:b/>
          <w:bCs/>
          <w:strike/>
          <w:color w:val="000000" w:themeColor="text1"/>
        </w:rPr>
        <w:t>che siano</w:t>
      </w:r>
      <w:r w:rsidRPr="004A5029">
        <w:rPr>
          <w:rFonts w:ascii="Times New Roman" w:eastAsia="Calibri" w:hAnsi="Times New Roman" w:cs="Times New Roman"/>
          <w:color w:val="000000" w:themeColor="text1"/>
        </w:rPr>
        <w:t xml:space="preserve"> iscritti nel sistema di qualificazione.</w:t>
      </w:r>
    </w:p>
    <w:p w14:paraId="249BF8C6" w14:textId="77777777" w:rsidR="00427A36" w:rsidRPr="004A5029" w:rsidRDefault="00427A36" w:rsidP="00427A36">
      <w:pPr>
        <w:jc w:val="both"/>
        <w:rPr>
          <w:rFonts w:ascii="Times New Roman" w:hAnsi="Times New Roman" w:cs="Times New Roman"/>
          <w:color w:val="000000" w:themeColor="text1"/>
        </w:rPr>
      </w:pPr>
    </w:p>
    <w:p w14:paraId="078AEF7F"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169.</w:t>
      </w:r>
    </w:p>
    <w:p w14:paraId="42C979E8"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Procedure di gara regolamentate.</w:t>
      </w:r>
    </w:p>
    <w:p w14:paraId="2637BEDF" w14:textId="77777777" w:rsidR="00427A36" w:rsidRPr="000246EF" w:rsidRDefault="00427A36" w:rsidP="00427A36">
      <w:pPr>
        <w:jc w:val="both"/>
        <w:rPr>
          <w:rFonts w:ascii="Times New Roman" w:eastAsia="Times New Roman" w:hAnsi="Times New Roman" w:cs="Times New Roman"/>
          <w:color w:val="000000" w:themeColor="text1"/>
        </w:rPr>
      </w:pPr>
      <w:r w:rsidRPr="000246EF">
        <w:rPr>
          <w:rFonts w:ascii="Times New Roman" w:eastAsia="Times New Roman" w:hAnsi="Times New Roman" w:cs="Times New Roman"/>
          <w:color w:val="000000" w:themeColor="text1"/>
        </w:rPr>
        <w:t>1. Con propri atti, pubblicati sui propri siti istituzionali e, comunque, accessibili a tutti gli operatori economici interessati, ferme le cause di esclusione automatica di cui all’articolo 94, le imprese pubbliche e i soggetti titolari di diritti speciali esclusivi possono stabilire preventivamente quali condotte costituiscono gravi illeciti professionali agli effetti degli articoli 95, comma 1, lettera e) e 98.</w:t>
      </w:r>
    </w:p>
    <w:p w14:paraId="60FB2149" w14:textId="77777777" w:rsidR="00427A36" w:rsidRPr="004A5029" w:rsidRDefault="00427A36" w:rsidP="00427A36">
      <w:pPr>
        <w:jc w:val="both"/>
        <w:rPr>
          <w:rFonts w:ascii="Times New Roman" w:hAnsi="Times New Roman" w:cs="Times New Roman"/>
          <w:color w:val="000000" w:themeColor="text1"/>
        </w:rPr>
      </w:pPr>
      <w:r w:rsidRPr="00D77AAD">
        <w:rPr>
          <w:rFonts w:ascii="Times New Roman" w:hAnsi="Times New Roman" w:cs="Times New Roman"/>
          <w:color w:val="000000" w:themeColor="text1"/>
        </w:rPr>
        <w:t>2.</w:t>
      </w:r>
      <w:r w:rsidRPr="004A5029">
        <w:rPr>
          <w:rFonts w:ascii="Times New Roman" w:hAnsi="Times New Roman" w:cs="Times New Roman"/>
          <w:color w:val="000000" w:themeColor="text1"/>
        </w:rPr>
        <w:t xml:space="preserve"> Qualora l</w:t>
      </w:r>
      <w:r w:rsidRPr="004A5029">
        <w:rPr>
          <w:rStyle w:val="normaltextrun"/>
          <w:rFonts w:ascii="Times New Roman" w:hAnsi="Times New Roman" w:cs="Times New Roman"/>
          <w:bCs/>
          <w:iCs/>
          <w:color w:val="000000" w:themeColor="text1"/>
        </w:rPr>
        <w:t xml:space="preserve">e </w:t>
      </w:r>
      <w:r w:rsidRPr="004A5029">
        <w:rPr>
          <w:rFonts w:ascii="Times New Roman" w:hAnsi="Times New Roman" w:cs="Times New Roman"/>
          <w:bCs/>
          <w:iCs/>
          <w:color w:val="000000" w:themeColor="text1"/>
        </w:rPr>
        <w:t>stazioni appaltanti o gli enti concedenti</w:t>
      </w:r>
      <w:r w:rsidRPr="004A5029">
        <w:rPr>
          <w:rFonts w:ascii="Times New Roman" w:hAnsi="Times New Roman" w:cs="Times New Roman"/>
          <w:color w:val="000000" w:themeColor="text1"/>
        </w:rPr>
        <w:t xml:space="preserve"> si trovino nella necessità di garantire un equilibrio adeguato tra le caratteristiche specifiche della procedura di appalto e i mezzi necessari alla sua realizzazione, nelle procedure ristrette o negoziate, nei dialoghi competitivi oppure nei partenariati per l’innovazione possono definire norme e criteri oggettivi che rispecchino tale necessità e consentano alla stazione appaltante o all’ente concedente di ridurre il numero di candidati che saranno invitati a presentare un’offerta. Il numero dei candidati prescelti tiene conto dell’esigenza di garantire una adeguata concorrenza.</w:t>
      </w:r>
    </w:p>
    <w:p w14:paraId="0EF46479" w14:textId="77777777" w:rsidR="00427A36" w:rsidRPr="004A5029" w:rsidRDefault="00427A36" w:rsidP="00427A36">
      <w:pPr>
        <w:jc w:val="both"/>
        <w:rPr>
          <w:rFonts w:ascii="Times New Roman" w:hAnsi="Times New Roman" w:cs="Times New Roman"/>
          <w:color w:val="000000" w:themeColor="text1"/>
        </w:rPr>
      </w:pPr>
    </w:p>
    <w:p w14:paraId="147BAC5E"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170.</w:t>
      </w:r>
    </w:p>
    <w:p w14:paraId="5C250267"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Offerte contenenti prodotti originari di Paesi terzi.</w:t>
      </w:r>
    </w:p>
    <w:p w14:paraId="3666309D" w14:textId="0B4051F9"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Fatti salvi gli obblighi assunti nei confronti dei Paesi terzi, il presente articolo si applica a offerte contenenti prodotti originari di Paesi terzi con </w:t>
      </w:r>
      <w:r w:rsidRPr="004A5029">
        <w:rPr>
          <w:rFonts w:ascii="Times New Roman" w:hAnsi="Times New Roman" w:cs="Times New Roman"/>
          <w:b/>
          <w:bCs/>
          <w:strike/>
          <w:color w:val="000000" w:themeColor="text1"/>
        </w:rPr>
        <w:t>cui</w:t>
      </w:r>
      <w:r w:rsidRPr="004A5029">
        <w:rPr>
          <w:rFonts w:ascii="Times New Roman" w:hAnsi="Times New Roman" w:cs="Times New Roman"/>
          <w:b/>
          <w:bCs/>
          <w:color w:val="000000" w:themeColor="text1"/>
        </w:rPr>
        <w:t xml:space="preserve"> </w:t>
      </w:r>
      <w:r w:rsidR="00073270" w:rsidRPr="004A5029">
        <w:rPr>
          <w:rFonts w:ascii="Times New Roman" w:hAnsi="Times New Roman" w:cs="Times New Roman"/>
          <w:b/>
          <w:bCs/>
          <w:color w:val="000000" w:themeColor="text1"/>
        </w:rPr>
        <w:t xml:space="preserve">i quali </w:t>
      </w:r>
      <w:r w:rsidRPr="004A5029">
        <w:rPr>
          <w:rFonts w:ascii="Times New Roman" w:hAnsi="Times New Roman" w:cs="Times New Roman"/>
          <w:color w:val="000000" w:themeColor="text1"/>
        </w:rPr>
        <w:t xml:space="preserve">l'Unione europea non ha concluso, in un contesto multilaterale o bilaterale, un accordo che garantisca un accesso comparabile ed effettivo delle imprese dell'Unione </w:t>
      </w:r>
      <w:r w:rsidR="00BE292F" w:rsidRPr="004A5029">
        <w:rPr>
          <w:rFonts w:ascii="Times New Roman" w:hAnsi="Times New Roman" w:cs="Times New Roman"/>
          <w:b/>
          <w:bCs/>
          <w:color w:val="000000" w:themeColor="text1"/>
        </w:rPr>
        <w:t xml:space="preserve">europea </w:t>
      </w:r>
      <w:r w:rsidRPr="004A5029">
        <w:rPr>
          <w:rFonts w:ascii="Times New Roman" w:hAnsi="Times New Roman" w:cs="Times New Roman"/>
          <w:color w:val="000000" w:themeColor="text1"/>
        </w:rPr>
        <w:t xml:space="preserve">ai mercati di tali </w:t>
      </w:r>
      <w:r w:rsidR="006A1D1B" w:rsidRPr="004A5029">
        <w:rPr>
          <w:rFonts w:ascii="Times New Roman" w:hAnsi="Times New Roman" w:cs="Times New Roman"/>
          <w:color w:val="000000" w:themeColor="text1"/>
        </w:rPr>
        <w:t>P</w:t>
      </w:r>
      <w:r w:rsidRPr="004A5029">
        <w:rPr>
          <w:rFonts w:ascii="Times New Roman" w:hAnsi="Times New Roman" w:cs="Times New Roman"/>
          <w:color w:val="000000" w:themeColor="text1"/>
        </w:rPr>
        <w:t>aesi terzi.</w:t>
      </w:r>
    </w:p>
    <w:p w14:paraId="2187A4AD" w14:textId="2B904A71"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Qualsiasi offerta presentata per l'aggiudicazione di un appalto di forniture può essere respinta se la parte dei prodotti originari di Paesi terzi, ai sensi del </w:t>
      </w:r>
      <w:hyperlink r:id="rId35" w:anchor="id=10LX0000790383ART0,__m=document" w:history="1">
        <w:r w:rsidRPr="004A5029">
          <w:rPr>
            <w:rFonts w:ascii="Times New Roman" w:hAnsi="Times New Roman" w:cs="Times New Roman"/>
            <w:color w:val="000000" w:themeColor="text1"/>
          </w:rPr>
          <w:t>regolamento (UE) n. 952/2013</w:t>
        </w:r>
      </w:hyperlink>
      <w:r w:rsidRPr="004A5029">
        <w:rPr>
          <w:rFonts w:ascii="Times New Roman" w:hAnsi="Times New Roman" w:cs="Times New Roman"/>
          <w:color w:val="000000" w:themeColor="text1"/>
        </w:rPr>
        <w:t xml:space="preserve"> del Parlamento europeo e del Consiglio, </w:t>
      </w:r>
      <w:r w:rsidR="006A1D1B" w:rsidRPr="004A5029">
        <w:rPr>
          <w:rFonts w:ascii="Times New Roman" w:hAnsi="Times New Roman" w:cs="Times New Roman"/>
          <w:color w:val="000000" w:themeColor="text1"/>
        </w:rPr>
        <w:t xml:space="preserve">del 9 ottobre 2013, </w:t>
      </w:r>
      <w:r w:rsidRPr="004A5029">
        <w:rPr>
          <w:rFonts w:ascii="Times New Roman" w:hAnsi="Times New Roman" w:cs="Times New Roman"/>
          <w:color w:val="000000" w:themeColor="text1"/>
        </w:rPr>
        <w:t>supera il 50 per cento del valore totale dei prodotti che compongono l'offerta. In caso di mancato respingimento dell'offerta a norma del presente comma, la stazione appaltante o l’ente concedente motiva debitamente le ragioni della scelta e trasmette all'Autorità la relativa documentazione. Ai fini del presente articolo, i software impiegati negli impianti delle reti di telecomunicazione sono considerati prodotti.</w:t>
      </w:r>
    </w:p>
    <w:p w14:paraId="249C1C43" w14:textId="3790B05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Salvo il disposto del terzo periodo del presente comma, se due o più offerte si equivalgono in base ai criteri di aggiudicazione di cui all'articolo </w:t>
      </w:r>
      <w:r w:rsidRPr="004A5029">
        <w:rPr>
          <w:rFonts w:ascii="Times New Roman" w:eastAsia="Calibri" w:hAnsi="Times New Roman" w:cs="Times New Roman"/>
          <w:color w:val="000000" w:themeColor="text1"/>
        </w:rPr>
        <w:t>108</w:t>
      </w:r>
      <w:r w:rsidRPr="004A5029">
        <w:rPr>
          <w:rFonts w:ascii="Times New Roman" w:hAnsi="Times New Roman" w:cs="Times New Roman"/>
          <w:color w:val="000000" w:themeColor="text1"/>
        </w:rPr>
        <w:t xml:space="preserve">,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preferita l'offerta che non può essere respinta a norma del comma 2 del presente articolo. Il valore delle offerte è considerato equivalente, ai fini del presente articolo, se la differenza di prezzo non supera il 3 per cento. Tuttavia, un'offerta non è preferita ad un'altra in virtù del presente comma, se la stazione appaltante o l’ente concedente, accettandola, è tenuto ad acquistare materiale con caratteristiche tecniche diverse da quelle del materiale già esistente, con conseguente incompatibilità o difficoltà tecniche di uso o di manutenzione o costi sproporzionati.</w:t>
      </w:r>
    </w:p>
    <w:p w14:paraId="09DE2671" w14:textId="6F02DAFC"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Ai fini del presente articolo, per determinare la parte dei prodotti originari dei Paesi terzi di cui al comma 2, sono esclusi i Paesi terzi ai quali, con decisione del Consiglio dell'Unione europea ai sensi del comma 1, è stato esteso il beneficio del codice.</w:t>
      </w:r>
    </w:p>
    <w:p w14:paraId="3AB58C42" w14:textId="2B2F5CA9" w:rsidR="00427A36" w:rsidRPr="004A5029" w:rsidRDefault="00E06FE4" w:rsidP="00427A36">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5. In coerenza con quanto previsto dal comma 2, tra i criteri di valutazione dell’offerta economicamente più vantaggiosa di cui all’articolo 108, comma 4</w:t>
      </w:r>
      <w:r w:rsidR="007A490D" w:rsidRPr="004A5029">
        <w:rPr>
          <w:rFonts w:ascii="Times New Roman" w:hAnsi="Times New Roman" w:cs="Times New Roman"/>
          <w:b/>
          <w:bCs/>
          <w:color w:val="000000" w:themeColor="text1"/>
        </w:rPr>
        <w:t>,</w:t>
      </w:r>
      <w:r w:rsidRPr="004A5029">
        <w:rPr>
          <w:rFonts w:ascii="Times New Roman" w:hAnsi="Times New Roman" w:cs="Times New Roman"/>
          <w:b/>
          <w:bCs/>
          <w:color w:val="000000" w:themeColor="text1"/>
        </w:rPr>
        <w:t xml:space="preserve"> può essere considerato dalla stazione appaltante, per ciascuna delle voci merceologiche che compongono l’offerta, il valore percentuale dei prodotti originari di Paesi terzi</w:t>
      </w:r>
      <w:r w:rsidR="00635C41" w:rsidRPr="004A5029">
        <w:rPr>
          <w:rFonts w:ascii="Times New Roman" w:hAnsi="Times New Roman" w:cs="Times New Roman"/>
          <w:b/>
          <w:bCs/>
          <w:color w:val="000000" w:themeColor="text1"/>
        </w:rPr>
        <w:t>,</w:t>
      </w:r>
      <w:r w:rsidRPr="004A5029">
        <w:rPr>
          <w:rFonts w:ascii="Times New Roman" w:hAnsi="Times New Roman" w:cs="Times New Roman"/>
          <w:b/>
          <w:bCs/>
          <w:color w:val="000000" w:themeColor="text1"/>
        </w:rPr>
        <w:t xml:space="preserve"> ai sensi del </w:t>
      </w:r>
      <w:r w:rsidR="007A490D" w:rsidRPr="004A5029">
        <w:rPr>
          <w:rFonts w:ascii="Times New Roman" w:hAnsi="Times New Roman" w:cs="Times New Roman"/>
          <w:b/>
          <w:bCs/>
          <w:color w:val="000000" w:themeColor="text1"/>
        </w:rPr>
        <w:t>r</w:t>
      </w:r>
      <w:r w:rsidRPr="004A5029">
        <w:rPr>
          <w:rFonts w:ascii="Times New Roman" w:hAnsi="Times New Roman" w:cs="Times New Roman"/>
          <w:b/>
          <w:bCs/>
          <w:color w:val="000000" w:themeColor="text1"/>
        </w:rPr>
        <w:t xml:space="preserve">egolamento (UE) n. 952/2013 del Parlamento europeo e del Consiglio, </w:t>
      </w:r>
      <w:r w:rsidR="007A490D" w:rsidRPr="004A5029">
        <w:rPr>
          <w:rFonts w:ascii="Times New Roman" w:hAnsi="Times New Roman" w:cs="Times New Roman"/>
          <w:b/>
          <w:bCs/>
          <w:color w:val="000000" w:themeColor="text1"/>
        </w:rPr>
        <w:t xml:space="preserve">del 9 ottobre 2013, </w:t>
      </w:r>
      <w:r w:rsidRPr="004A5029">
        <w:rPr>
          <w:rFonts w:ascii="Times New Roman" w:hAnsi="Times New Roman" w:cs="Times New Roman"/>
          <w:b/>
          <w:bCs/>
          <w:color w:val="000000" w:themeColor="text1"/>
        </w:rPr>
        <w:t xml:space="preserve">rispetto al valore totale dei prodotti che compongono l’offerta. Le stazioni appaltanti garantiscono che il criterio di cui al primo periodo sia applicato nel rispetto dei principi di non discriminazione nei rapporti con i Paesi </w:t>
      </w:r>
      <w:r w:rsidR="007A490D" w:rsidRPr="004A5029">
        <w:rPr>
          <w:rFonts w:ascii="Times New Roman" w:hAnsi="Times New Roman" w:cs="Times New Roman"/>
          <w:b/>
          <w:bCs/>
          <w:color w:val="000000" w:themeColor="text1"/>
        </w:rPr>
        <w:t>t</w:t>
      </w:r>
      <w:r w:rsidRPr="004A5029">
        <w:rPr>
          <w:rFonts w:ascii="Times New Roman" w:hAnsi="Times New Roman" w:cs="Times New Roman"/>
          <w:b/>
          <w:bCs/>
          <w:color w:val="000000" w:themeColor="text1"/>
        </w:rPr>
        <w:t>erzi e proporzionalità.</w:t>
      </w:r>
    </w:p>
    <w:p w14:paraId="1F37AE66" w14:textId="77777777" w:rsidR="00E06FE4" w:rsidRPr="004A5029" w:rsidRDefault="00E06FE4" w:rsidP="00427A36">
      <w:pPr>
        <w:jc w:val="both"/>
        <w:rPr>
          <w:rFonts w:ascii="Times New Roman" w:hAnsi="Times New Roman" w:cs="Times New Roman"/>
          <w:color w:val="000000" w:themeColor="text1"/>
        </w:rPr>
      </w:pPr>
    </w:p>
    <w:p w14:paraId="3D108F92"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171.</w:t>
      </w:r>
    </w:p>
    <w:p w14:paraId="2DA1737A" w14:textId="77777777" w:rsidR="00427A36" w:rsidRPr="004A5029" w:rsidRDefault="00427A36" w:rsidP="00427A36">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Relazioni con Paesi terzi in materia di lavori, servizi e forniture.</w:t>
      </w:r>
    </w:p>
    <w:p w14:paraId="7C2393B9" w14:textId="79B289E4" w:rsidR="00427A36" w:rsidRPr="004A5029" w:rsidRDefault="00427A36" w:rsidP="00427A36">
      <w:pPr>
        <w:jc w:val="both"/>
        <w:rPr>
          <w:rFonts w:ascii="Times New Roman" w:eastAsia="Times New Roman" w:hAnsi="Times New Roman" w:cs="Times New Roman"/>
          <w:color w:val="000000" w:themeColor="text1"/>
          <w:lang w:eastAsia="it-IT"/>
        </w:rPr>
      </w:pPr>
      <w:r w:rsidRPr="004A5029">
        <w:rPr>
          <w:rFonts w:ascii="Times New Roman" w:eastAsia="Times New Roman" w:hAnsi="Times New Roman" w:cs="Times New Roman"/>
          <w:color w:val="000000" w:themeColor="text1"/>
          <w:lang w:eastAsia="it-IT"/>
        </w:rPr>
        <w:t xml:space="preserve">1. Su segnalazione da parte del </w:t>
      </w:r>
      <w:r w:rsidRPr="004A5029">
        <w:rPr>
          <w:rFonts w:ascii="Times New Roman" w:eastAsiaTheme="minorEastAsia" w:hAnsi="Times New Roman" w:cs="Times New Roman"/>
          <w:color w:val="000000" w:themeColor="text1"/>
          <w:lang w:eastAsia="it-IT"/>
        </w:rPr>
        <w:t xml:space="preserve">Ministero delle imprese e del made in Italy </w:t>
      </w:r>
      <w:r w:rsidRPr="004A5029">
        <w:rPr>
          <w:rFonts w:ascii="Times New Roman" w:eastAsia="Times New Roman" w:hAnsi="Times New Roman" w:cs="Times New Roman"/>
          <w:color w:val="000000" w:themeColor="text1"/>
          <w:lang w:eastAsia="it-IT"/>
        </w:rPr>
        <w:t xml:space="preserve">o del Ministero degli affari esteri e della cooperazione internazionale, la Cabina di regia di cui all'articolo </w:t>
      </w:r>
      <w:r w:rsidRPr="004A5029">
        <w:rPr>
          <w:rFonts w:ascii="Times New Roman" w:eastAsia="Calibri" w:hAnsi="Times New Roman" w:cs="Times New Roman"/>
          <w:color w:val="000000" w:themeColor="text1"/>
        </w:rPr>
        <w:t>221</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lang w:eastAsia="it-IT"/>
        </w:rPr>
        <w:t xml:space="preserve">informa la Commissione europea di ogni difficoltà d'ordine generale, di fatto o di diritto, incontrata dalle imprese italiane nell'ottenere l'aggiudicazione di appalti di servizi in Paesi terzi e da esse riferita con particolare riferimento all'inosservanza delle disposizioni internazionali di diritto del lavoro elencate nell’allegato XIV alla </w:t>
      </w:r>
      <w:r w:rsidR="00C353A3" w:rsidRPr="004A5029">
        <w:rPr>
          <w:rFonts w:ascii="Times New Roman" w:eastAsia="Times New Roman" w:hAnsi="Times New Roman" w:cs="Times New Roman"/>
          <w:color w:val="000000" w:themeColor="text1"/>
          <w:lang w:eastAsia="it-IT"/>
        </w:rPr>
        <w:t>d</w:t>
      </w:r>
      <w:r w:rsidRPr="004A5029">
        <w:rPr>
          <w:rFonts w:ascii="Times New Roman" w:eastAsia="Times New Roman" w:hAnsi="Times New Roman" w:cs="Times New Roman"/>
          <w:color w:val="000000" w:themeColor="text1"/>
          <w:lang w:eastAsia="it-IT"/>
        </w:rPr>
        <w:t>irettiva 2014/25/UE del Parlamento europeo e del Consiglio, del 26 febbraio 2014.</w:t>
      </w:r>
    </w:p>
    <w:p w14:paraId="29B6F1D5"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Sono fatti salvi gli impegni assunti nei confronti dei Paesi terzi derivanti da accordi internazionali in materia di appalti pubblici, in particolare nel quadro dell'Organizzazione mondiale del commercio.</w:t>
      </w:r>
    </w:p>
    <w:p w14:paraId="4EA9BA15" w14:textId="77777777" w:rsidR="00427A36" w:rsidRPr="004A5029" w:rsidRDefault="00427A36" w:rsidP="00427A36">
      <w:pPr>
        <w:jc w:val="both"/>
        <w:rPr>
          <w:rFonts w:ascii="Times New Roman" w:hAnsi="Times New Roman" w:cs="Times New Roman"/>
          <w:color w:val="000000" w:themeColor="text1"/>
        </w:rPr>
      </w:pPr>
    </w:p>
    <w:p w14:paraId="34326DBD" w14:textId="77777777" w:rsidR="00427A36" w:rsidRPr="004A5029" w:rsidRDefault="00427A36" w:rsidP="00427A36">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172.</w:t>
      </w:r>
    </w:p>
    <w:p w14:paraId="4D81147F" w14:textId="77777777" w:rsidR="00427A36" w:rsidRPr="004A5029" w:rsidRDefault="00427A36" w:rsidP="00427A36">
      <w:pPr>
        <w:jc w:val="both"/>
        <w:textAlignment w:val="baseline"/>
        <w:rPr>
          <w:rFonts w:ascii="Times New Roman" w:hAnsi="Times New Roman" w:cs="Times New Roman"/>
          <w:color w:val="000000" w:themeColor="text1"/>
        </w:rPr>
      </w:pPr>
      <w:r w:rsidRPr="004A5029">
        <w:rPr>
          <w:rFonts w:ascii="Times New Roman" w:hAnsi="Times New Roman" w:cs="Times New Roman"/>
          <w:i/>
          <w:color w:val="000000" w:themeColor="text1"/>
        </w:rPr>
        <w:t>Relazioni uniche sulle procedure di aggiudicazione degli appalti.</w:t>
      </w:r>
    </w:p>
    <w:p w14:paraId="37CCF5A7"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1. Le stazioni appaltanti o gli enti concedenti conservano le informazioni appropriate relative a ogni appalto o accordo quadro disciplinato dal codice e ogniqualvolta sia istituito un sistema dinamico di acquisizione. Tali informazioni sono sufficienti a consentire loro, in una fase successiva, di giustificare le decisioni riguardanti:</w:t>
      </w:r>
    </w:p>
    <w:p w14:paraId="5EA3BB7B"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a) la qualificazione e la selezione degli operatori economici e l'aggiudicazione degli appalti;</w:t>
      </w:r>
    </w:p>
    <w:p w14:paraId="4FCF216E"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b) l'utilizzazione di procedure negoziate non precedute da una gara a norma dell'articolo 76;</w:t>
      </w:r>
    </w:p>
    <w:p w14:paraId="6793444F" w14:textId="3B747204"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c) la mancata applicazione delle disposizioni sulle tecniche e strumenti per gli appalti e strumenti digitali e aggregati e delle disposizioni sullo svolgimento delle procedure di scelta del contraente del presente codice</w:t>
      </w:r>
      <w:r w:rsidR="00073270" w:rsidRPr="004A5029">
        <w:rPr>
          <w:rFonts w:ascii="Times New Roman" w:eastAsia="Times New Roman" w:hAnsi="Times New Roman" w:cs="Times New Roman"/>
          <w:b/>
          <w:bCs/>
          <w:color w:val="000000" w:themeColor="text1"/>
        </w:rPr>
        <w:t>,</w:t>
      </w:r>
      <w:r w:rsidRPr="004A5029">
        <w:rPr>
          <w:rFonts w:ascii="Times New Roman" w:eastAsia="Times New Roman" w:hAnsi="Times New Roman" w:cs="Times New Roman"/>
          <w:color w:val="000000" w:themeColor="text1"/>
        </w:rPr>
        <w:t xml:space="preserve"> in virtù delle deroghe ivi previste;</w:t>
      </w:r>
    </w:p>
    <w:p w14:paraId="48412F3F" w14:textId="77777777"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d) se del caso, le ragioni per le quali per la trasmissione in via digitale sono stati usati mezzi di comunicazione diversi dai mezzi digitali.</w:t>
      </w:r>
    </w:p>
    <w:p w14:paraId="167B67ED" w14:textId="5984A199" w:rsidR="00427A36" w:rsidRPr="004A5029" w:rsidRDefault="00427A36" w:rsidP="00427A36">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2. Se l'avviso di aggiudicazione dell'appalto stilato a norma dell'articolo 111 o dell'articolo 127, comma 3, contiene le informazioni richieste </w:t>
      </w:r>
      <w:r w:rsidR="006A1D1B" w:rsidRPr="004A5029">
        <w:rPr>
          <w:rFonts w:ascii="Times New Roman" w:eastAsia="Times New Roman" w:hAnsi="Times New Roman" w:cs="Times New Roman"/>
          <w:color w:val="000000" w:themeColor="text1"/>
        </w:rPr>
        <w:t>d</w:t>
      </w:r>
      <w:r w:rsidRPr="004A5029">
        <w:rPr>
          <w:rFonts w:ascii="Times New Roman" w:eastAsia="Times New Roman" w:hAnsi="Times New Roman" w:cs="Times New Roman"/>
          <w:color w:val="000000" w:themeColor="text1"/>
        </w:rPr>
        <w:t>al comma 1, l</w:t>
      </w:r>
      <w:r w:rsidRPr="004A5029">
        <w:rPr>
          <w:rStyle w:val="normaltextrun"/>
          <w:rFonts w:ascii="Times New Roman" w:eastAsia="Times New Roman" w:hAnsi="Times New Roman" w:cs="Times New Roman"/>
          <w:color w:val="000000" w:themeColor="text1"/>
        </w:rPr>
        <w:t xml:space="preserve">e </w:t>
      </w:r>
      <w:r w:rsidRPr="004A5029">
        <w:rPr>
          <w:rFonts w:ascii="Times New Roman" w:eastAsia="Times New Roman" w:hAnsi="Times New Roman" w:cs="Times New Roman"/>
          <w:color w:val="000000" w:themeColor="text1"/>
        </w:rPr>
        <w:t>stazioni appaltanti o gli enti concedenti possono fare riferimento a tale avviso.</w:t>
      </w:r>
    </w:p>
    <w:p w14:paraId="767E674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w:t>
      </w:r>
      <w:r w:rsidRPr="004A5029">
        <w:rPr>
          <w:rStyle w:val="normaltextrun"/>
          <w:rFonts w:ascii="Times New Roman" w:hAnsi="Times New Roman" w:cs="Times New Roman"/>
          <w:bCs/>
          <w:iCs/>
          <w:color w:val="000000" w:themeColor="text1"/>
        </w:rPr>
        <w:t xml:space="preserve">Le </w:t>
      </w:r>
      <w:r w:rsidRPr="004A5029">
        <w:rPr>
          <w:rFonts w:ascii="Times New Roman" w:hAnsi="Times New Roman" w:cs="Times New Roman"/>
          <w:bCs/>
          <w:iCs/>
          <w:color w:val="000000" w:themeColor="text1"/>
        </w:rPr>
        <w:t>stazioni appaltanti o gli enti concedenti</w:t>
      </w:r>
      <w:r w:rsidRPr="004A5029">
        <w:rPr>
          <w:rFonts w:ascii="Times New Roman" w:hAnsi="Times New Roman" w:cs="Times New Roman"/>
          <w:color w:val="000000" w:themeColor="text1"/>
        </w:rPr>
        <w:t xml:space="preserve"> documentano lo svolgimento di tutte le procedure di aggiudicazione, indipendentemente dal fatto che esse siano condotte con mezzi digitali o meno. A tale scopo, garantiscono la conservazione di una documentazione sufficiente a giustificare decisioni adottate in tutte le fasi della procedura di appalto, in particolare la documentazione relativa alle comunicazioni con gli operatori economici e le deliberazioni interne, la preparazione dei documenti di gara, il dialogo o la negoziazione se previsti, la selezione e l'aggiudicazione dell'appalto. La documentazione è conservata per almeno cinque anni a partire dalla data di aggiudicazione dell'appalto, oppure, in caso di pendenza di una controversia, fino al passaggio in giudicato della relativa sentenza.</w:t>
      </w:r>
    </w:p>
    <w:p w14:paraId="0E26732F" w14:textId="77777777" w:rsidR="00427A36" w:rsidRPr="004A5029" w:rsidRDefault="00427A36" w:rsidP="00427A36">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Le informazioni o la documentazione o i principali elementi sono comunicati alla Cabina di regia di cui all'articolo 221, per l'eventuale successiva comunicazione alla Commissione europea o alle autorità, agli organismi o alle strutture competenti.</w:t>
      </w:r>
    </w:p>
    <w:p w14:paraId="7332107B" w14:textId="77777777" w:rsidR="00427A36" w:rsidRPr="004A5029" w:rsidRDefault="00427A36" w:rsidP="00427A36">
      <w:pPr>
        <w:jc w:val="both"/>
        <w:rPr>
          <w:rFonts w:ascii="Times New Roman" w:hAnsi="Times New Roman" w:cs="Times New Roman"/>
          <w:color w:val="000000" w:themeColor="text1"/>
        </w:rPr>
      </w:pPr>
    </w:p>
    <w:p w14:paraId="6BFDC89C" w14:textId="77777777" w:rsidR="00427A36" w:rsidRPr="004A5029" w:rsidRDefault="00427A36" w:rsidP="00427A36">
      <w:pPr>
        <w:jc w:val="both"/>
        <w:textAlignment w:val="baseline"/>
        <w:rPr>
          <w:rFonts w:ascii="Times New Roman" w:eastAsia="Times New Roman" w:hAnsi="Times New Roman" w:cs="Times New Roman"/>
          <w:b/>
          <w:bCs/>
          <w:color w:val="000000" w:themeColor="text1"/>
          <w:lang w:eastAsia="it-IT"/>
        </w:rPr>
      </w:pPr>
      <w:r w:rsidRPr="004A5029">
        <w:rPr>
          <w:rFonts w:ascii="Times New Roman" w:eastAsia="Times New Roman" w:hAnsi="Times New Roman" w:cs="Times New Roman"/>
          <w:b/>
          <w:bCs/>
          <w:color w:val="000000" w:themeColor="text1"/>
          <w:lang w:eastAsia="it-IT"/>
        </w:rPr>
        <w:t>Articolo 173.</w:t>
      </w:r>
    </w:p>
    <w:p w14:paraId="0986C03D" w14:textId="77777777" w:rsidR="00427A36" w:rsidRPr="004A5029" w:rsidRDefault="00427A36" w:rsidP="00427A36">
      <w:pPr>
        <w:jc w:val="both"/>
        <w:textAlignment w:val="baseline"/>
        <w:rPr>
          <w:rFonts w:ascii="Times New Roman" w:hAnsi="Times New Roman" w:cs="Times New Roman"/>
          <w:i/>
          <w:color w:val="000000" w:themeColor="text1"/>
        </w:rPr>
      </w:pPr>
      <w:r w:rsidRPr="004A5029">
        <w:rPr>
          <w:rFonts w:ascii="Times New Roman" w:eastAsia="Times New Roman" w:hAnsi="Times New Roman" w:cs="Times New Roman"/>
          <w:bCs/>
          <w:i/>
          <w:color w:val="000000" w:themeColor="text1"/>
          <w:lang w:eastAsia="it-IT"/>
        </w:rPr>
        <w:t>Servizi sociali e altri servizi assimilati.</w:t>
      </w:r>
    </w:p>
    <w:p w14:paraId="2BC654CC" w14:textId="0832DE1F" w:rsidR="0083753D" w:rsidRPr="004A5029" w:rsidRDefault="00427A36" w:rsidP="006035AE">
      <w:pPr>
        <w:pStyle w:val="provvr0"/>
        <w:spacing w:before="0" w:beforeAutospacing="0" w:after="160" w:afterAutospacing="0" w:line="259" w:lineRule="auto"/>
        <w:jc w:val="both"/>
        <w:rPr>
          <w:b/>
          <w:bCs/>
          <w:color w:val="000000" w:themeColor="text1"/>
          <w:sz w:val="22"/>
          <w:szCs w:val="22"/>
        </w:rPr>
      </w:pPr>
      <w:r w:rsidRPr="004A5029">
        <w:rPr>
          <w:rStyle w:val="provvnumcomma"/>
          <w:bCs/>
          <w:color w:val="000000" w:themeColor="text1"/>
          <w:sz w:val="22"/>
          <w:szCs w:val="22"/>
        </w:rPr>
        <w:t>1.</w:t>
      </w:r>
      <w:r w:rsidRPr="004A5029">
        <w:rPr>
          <w:bCs/>
          <w:color w:val="000000" w:themeColor="text1"/>
          <w:sz w:val="22"/>
          <w:szCs w:val="22"/>
        </w:rPr>
        <w:t xml:space="preserve"> Fermo restando quanto previsto dall’articolo </w:t>
      </w:r>
      <w:r w:rsidRPr="004A5029">
        <w:rPr>
          <w:b/>
          <w:strike/>
          <w:color w:val="000000" w:themeColor="text1"/>
          <w:sz w:val="22"/>
          <w:szCs w:val="22"/>
        </w:rPr>
        <w:t>114</w:t>
      </w:r>
      <w:r w:rsidR="00E7620F" w:rsidRPr="004A5029">
        <w:rPr>
          <w:b/>
          <w:strike/>
          <w:color w:val="000000" w:themeColor="text1"/>
          <w:sz w:val="22"/>
          <w:szCs w:val="22"/>
        </w:rPr>
        <w:t xml:space="preserve"> </w:t>
      </w:r>
      <w:r w:rsidR="00E7620F" w:rsidRPr="004A5029">
        <w:rPr>
          <w:b/>
          <w:color w:val="000000" w:themeColor="text1"/>
          <w:sz w:val="22"/>
          <w:szCs w:val="22"/>
        </w:rPr>
        <w:t>141</w:t>
      </w:r>
      <w:r w:rsidRPr="004A5029">
        <w:rPr>
          <w:bCs/>
          <w:color w:val="000000" w:themeColor="text1"/>
          <w:sz w:val="22"/>
          <w:szCs w:val="22"/>
        </w:rPr>
        <w:t>, comma 2, per l’aggiudicazione</w:t>
      </w:r>
      <w:r w:rsidRPr="004A5029">
        <w:rPr>
          <w:color w:val="000000" w:themeColor="text1"/>
          <w:sz w:val="22"/>
          <w:szCs w:val="22"/>
        </w:rPr>
        <w:t xml:space="preserve"> degli appalti di servizi sociali e di altri servizi assimilati di cui all'allegato XIV alla direttiva 2014/24/UE del Parlamento europeo e del Consiglio, del 26 febbraio 2014 nei settori speciali di cui al presente Libr</w:t>
      </w:r>
      <w:r w:rsidRPr="004A5029">
        <w:rPr>
          <w:bCs/>
          <w:color w:val="000000" w:themeColor="text1"/>
          <w:sz w:val="22"/>
          <w:szCs w:val="22"/>
        </w:rPr>
        <w:t>o si applicano gli articoli 127,</w:t>
      </w:r>
      <w:r w:rsidR="00435C20" w:rsidRPr="004A5029">
        <w:rPr>
          <w:bCs/>
          <w:color w:val="000000" w:themeColor="text1"/>
          <w:sz w:val="22"/>
          <w:szCs w:val="22"/>
        </w:rPr>
        <w:t xml:space="preserve"> </w:t>
      </w:r>
      <w:r w:rsidRPr="004A5029">
        <w:rPr>
          <w:bCs/>
          <w:color w:val="000000" w:themeColor="text1"/>
          <w:sz w:val="22"/>
          <w:szCs w:val="22"/>
        </w:rPr>
        <w:t>128, 129, 130</w:t>
      </w:r>
      <w:r w:rsidRPr="004A5029">
        <w:rPr>
          <w:b/>
          <w:strike/>
          <w:color w:val="000000" w:themeColor="text1"/>
          <w:sz w:val="22"/>
          <w:szCs w:val="22"/>
        </w:rPr>
        <w:t>,</w:t>
      </w:r>
      <w:r w:rsidRPr="004A5029">
        <w:rPr>
          <w:b/>
          <w:color w:val="000000" w:themeColor="text1"/>
          <w:sz w:val="22"/>
          <w:szCs w:val="22"/>
        </w:rPr>
        <w:t xml:space="preserve"> </w:t>
      </w:r>
      <w:r w:rsidR="00DF7EB9" w:rsidRPr="004A5029">
        <w:rPr>
          <w:b/>
          <w:color w:val="000000" w:themeColor="text1"/>
          <w:sz w:val="22"/>
          <w:szCs w:val="22"/>
        </w:rPr>
        <w:t xml:space="preserve">e </w:t>
      </w:r>
      <w:r w:rsidRPr="004A5029">
        <w:rPr>
          <w:bCs/>
          <w:color w:val="000000" w:themeColor="text1"/>
          <w:sz w:val="22"/>
          <w:szCs w:val="22"/>
        </w:rPr>
        <w:t>131</w:t>
      </w:r>
      <w:r w:rsidRPr="004A5029">
        <w:rPr>
          <w:bCs/>
          <w:strike/>
          <w:color w:val="000000" w:themeColor="text1"/>
          <w:sz w:val="22"/>
          <w:szCs w:val="22"/>
        </w:rPr>
        <w:t xml:space="preserve"> e 132</w:t>
      </w:r>
      <w:r w:rsidRPr="004A5029">
        <w:rPr>
          <w:bCs/>
          <w:color w:val="000000" w:themeColor="text1"/>
          <w:sz w:val="22"/>
          <w:szCs w:val="22"/>
        </w:rPr>
        <w:t xml:space="preserve">, </w:t>
      </w:r>
      <w:r w:rsidRPr="004A5029">
        <w:rPr>
          <w:color w:val="000000" w:themeColor="text1"/>
          <w:sz w:val="22"/>
          <w:szCs w:val="22"/>
        </w:rPr>
        <w:t xml:space="preserve">fermo restando quanto previsto dal </w:t>
      </w:r>
      <w:r w:rsidR="00A9504B" w:rsidRPr="004A5029">
        <w:rPr>
          <w:rFonts w:eastAsiaTheme="minorHAnsi"/>
          <w:b/>
          <w:bCs/>
          <w:color w:val="000000" w:themeColor="text1"/>
          <w:sz w:val="22"/>
          <w:szCs w:val="22"/>
          <w:lang w:eastAsia="en-US"/>
        </w:rPr>
        <w:t>T</w:t>
      </w:r>
      <w:r w:rsidRPr="004A5029">
        <w:rPr>
          <w:color w:val="000000" w:themeColor="text1"/>
          <w:sz w:val="22"/>
          <w:szCs w:val="22"/>
        </w:rPr>
        <w:t xml:space="preserve">itolo VII del </w:t>
      </w:r>
      <w:r w:rsidR="00FC22E4" w:rsidRPr="004A5029">
        <w:rPr>
          <w:rFonts w:eastAsiaTheme="minorHAnsi"/>
          <w:b/>
          <w:bCs/>
          <w:color w:val="000000" w:themeColor="text1"/>
          <w:sz w:val="22"/>
          <w:szCs w:val="22"/>
          <w:lang w:eastAsia="en-US"/>
        </w:rPr>
        <w:t>codice del Terzo settore</w:t>
      </w:r>
      <w:r w:rsidR="00422AFC" w:rsidRPr="004A5029">
        <w:rPr>
          <w:rFonts w:eastAsiaTheme="minorHAnsi"/>
          <w:b/>
          <w:bCs/>
          <w:color w:val="000000" w:themeColor="text1"/>
          <w:sz w:val="22"/>
          <w:szCs w:val="22"/>
          <w:lang w:eastAsia="en-US"/>
        </w:rPr>
        <w:t>,</w:t>
      </w:r>
      <w:r w:rsidR="00FC22E4" w:rsidRPr="004A5029">
        <w:rPr>
          <w:rFonts w:eastAsiaTheme="minorHAnsi"/>
          <w:b/>
          <w:bCs/>
          <w:color w:val="000000" w:themeColor="text1"/>
          <w:sz w:val="22"/>
          <w:szCs w:val="22"/>
          <w:lang w:eastAsia="en-US"/>
        </w:rPr>
        <w:t xml:space="preserve"> di cui al</w:t>
      </w:r>
      <w:r w:rsidR="00FC22E4" w:rsidRPr="004A5029">
        <w:rPr>
          <w:color w:val="000000" w:themeColor="text1"/>
          <w:sz w:val="22"/>
          <w:szCs w:val="22"/>
          <w:shd w:val="clear" w:color="auto" w:fill="FFFFFF"/>
        </w:rPr>
        <w:t xml:space="preserve"> </w:t>
      </w:r>
      <w:r w:rsidRPr="004A5029">
        <w:rPr>
          <w:rStyle w:val="linkneltesto"/>
          <w:color w:val="000000" w:themeColor="text1"/>
          <w:sz w:val="22"/>
          <w:szCs w:val="22"/>
        </w:rPr>
        <w:t>decreto legislativo 3 luglio 2017, n. 117</w:t>
      </w:r>
      <w:r w:rsidRPr="004A5029">
        <w:rPr>
          <w:color w:val="000000" w:themeColor="text1"/>
          <w:sz w:val="22"/>
          <w:szCs w:val="22"/>
        </w:rPr>
        <w:t>.</w:t>
      </w:r>
      <w:r w:rsidR="000220AE" w:rsidRPr="004A5029">
        <w:rPr>
          <w:b/>
          <w:bCs/>
          <w:color w:val="000000" w:themeColor="text1"/>
          <w:sz w:val="22"/>
          <w:szCs w:val="22"/>
        </w:rPr>
        <w:br w:type="page"/>
      </w:r>
    </w:p>
    <w:p w14:paraId="6D82551E" w14:textId="3C28B6ED" w:rsidR="00C17FD9" w:rsidRPr="004A5029" w:rsidRDefault="00C17FD9"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LIBRO IV</w:t>
      </w:r>
    </w:p>
    <w:p w14:paraId="2B105A9F" w14:textId="0528138A"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DEL PARTENARIATO PUBBLICO-PRIVATO E DELLE CONCESSIONI</w:t>
      </w:r>
    </w:p>
    <w:p w14:paraId="146D3FFE" w14:textId="77777777" w:rsidR="00DC7D5C" w:rsidRPr="004A5029" w:rsidRDefault="00DC7D5C" w:rsidP="0083753D">
      <w:pPr>
        <w:jc w:val="center"/>
        <w:rPr>
          <w:rFonts w:ascii="Times New Roman" w:hAnsi="Times New Roman" w:cs="Times New Roman"/>
          <w:b/>
          <w:bCs/>
          <w:color w:val="000000" w:themeColor="text1"/>
        </w:rPr>
      </w:pPr>
    </w:p>
    <w:p w14:paraId="3AFD07D6" w14:textId="467F159F"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I</w:t>
      </w:r>
    </w:p>
    <w:p w14:paraId="42EB9CCA"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DISPOSIZIONI GENERALI</w:t>
      </w:r>
    </w:p>
    <w:p w14:paraId="60EDCC55" w14:textId="77777777" w:rsidR="0083753D" w:rsidRPr="004A5029" w:rsidRDefault="0083753D" w:rsidP="0083753D">
      <w:pPr>
        <w:jc w:val="center"/>
        <w:rPr>
          <w:rFonts w:ascii="Times New Roman" w:hAnsi="Times New Roman" w:cs="Times New Roman"/>
          <w:b/>
          <w:bCs/>
          <w:color w:val="000000" w:themeColor="text1"/>
        </w:rPr>
      </w:pPr>
    </w:p>
    <w:p w14:paraId="64623F1D" w14:textId="77777777" w:rsidR="0083753D" w:rsidRPr="004A5029" w:rsidRDefault="0083753D" w:rsidP="00A6046F">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174.</w:t>
      </w:r>
    </w:p>
    <w:p w14:paraId="455E3E7D" w14:textId="77777777" w:rsidR="0083753D" w:rsidRPr="004A5029" w:rsidRDefault="0083753D" w:rsidP="0083753D">
      <w:pPr>
        <w:rPr>
          <w:rFonts w:ascii="Times New Roman" w:hAnsi="Times New Roman" w:cs="Times New Roman"/>
          <w:i/>
          <w:color w:val="000000" w:themeColor="text1"/>
        </w:rPr>
      </w:pPr>
      <w:r w:rsidRPr="004A5029">
        <w:rPr>
          <w:rFonts w:ascii="Times New Roman" w:hAnsi="Times New Roman" w:cs="Times New Roman"/>
          <w:i/>
          <w:color w:val="000000" w:themeColor="text1"/>
        </w:rPr>
        <w:t>Nozione.</w:t>
      </w:r>
    </w:p>
    <w:p w14:paraId="36F7D87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Il partenariato pubblico-privato è un’operazione economica in cui ricorrono congiuntamente le seguenti caratteristiche:</w:t>
      </w:r>
    </w:p>
    <w:p w14:paraId="397E7FE5" w14:textId="7C3C2125"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a) tra un ente concedente e uno o più operatori economici privati </w:t>
      </w:r>
      <w:r w:rsidR="00E07A23" w:rsidRPr="004A5029">
        <w:rPr>
          <w:rFonts w:ascii="Times New Roman" w:hAnsi="Times New Roman" w:cs="Times New Roman"/>
          <w:bCs/>
          <w:color w:val="000000" w:themeColor="text1"/>
        </w:rPr>
        <w:t>è</w:t>
      </w:r>
      <w:r w:rsidRPr="004A5029">
        <w:rPr>
          <w:rFonts w:ascii="Times New Roman" w:hAnsi="Times New Roman" w:cs="Times New Roman"/>
          <w:bCs/>
          <w:color w:val="000000" w:themeColor="text1"/>
        </w:rPr>
        <w:t xml:space="preserve"> instaurato un rapporto contrattuale di lungo periodo per raggiungere un risultato di interesse pubblico; </w:t>
      </w:r>
    </w:p>
    <w:p w14:paraId="244C2A2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 copertura dei fabbisogni finanziari connessi alla realizzazione del progetto proviene in misura significativa da risorse reperite dalla parte privata, anche in ragione del rischio operativo assunto dalla medesima; </w:t>
      </w:r>
    </w:p>
    <w:p w14:paraId="113C7EA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alla parte privata spetta il compito di realizzare e gestire il progetto, mentre alla parte pubblica quello di definire gli obiettivi e di verificarne l’attuazione;</w:t>
      </w:r>
    </w:p>
    <w:p w14:paraId="6FFCA893" w14:textId="3D87912D"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il rischio operativo connesso alla realizzazione dei lavori o alla gestione dei servizi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allocato in capo al soggetto privato.</w:t>
      </w:r>
    </w:p>
    <w:p w14:paraId="007EE58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Per ente concedente, ai sensi della lettera a) del comma 1, si intendono le amministrazioni aggiudicatrici e gli enti aggiudicatori di cui all’articolo 1 della direttiva 2014/23/UE del Parlamento europeo e del Consiglio, del 26 febbraio 2014.</w:t>
      </w:r>
    </w:p>
    <w:p w14:paraId="450D3114" w14:textId="77777777" w:rsidR="0083753D" w:rsidRPr="004A5029" w:rsidRDefault="0083753D" w:rsidP="0083753D">
      <w:pPr>
        <w:jc w:val="both"/>
        <w:rPr>
          <w:rFonts w:ascii="Times New Roman" w:hAnsi="Times New Roman" w:cs="Times New Roman"/>
          <w:i/>
          <w:iCs/>
          <w:color w:val="000000" w:themeColor="text1"/>
          <w:shd w:val="clear" w:color="auto" w:fill="FFFFFF"/>
        </w:rPr>
      </w:pPr>
      <w:r w:rsidRPr="004A5029">
        <w:rPr>
          <w:rFonts w:ascii="Times New Roman" w:hAnsi="Times New Roman" w:cs="Times New Roman"/>
          <w:bCs/>
          <w:color w:val="000000" w:themeColor="text1"/>
        </w:rPr>
        <w:t>3. Il partenariato pubblico-privato di tipo contrattuale comprende le figure della</w:t>
      </w:r>
      <w:r w:rsidRPr="004A5029">
        <w:rPr>
          <w:rFonts w:ascii="Times New Roman" w:hAnsi="Times New Roman" w:cs="Times New Roman"/>
          <w:color w:val="000000" w:themeColor="text1"/>
        </w:rPr>
        <w:t xml:space="preserve"> concessione, della locazione finanziaria e del contratto di disponibilità, </w:t>
      </w:r>
      <w:r w:rsidRPr="004A5029">
        <w:rPr>
          <w:rFonts w:ascii="Times New Roman" w:hAnsi="Times New Roman" w:cs="Times New Roman"/>
          <w:bCs/>
          <w:color w:val="000000" w:themeColor="text1"/>
        </w:rPr>
        <w:t>nonché gli altri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contratti stipulati dalla pubblica amministrazione con operatori economici privati che abbiano i contenuti di cui al comma 1 e siano diretti a realizzare interessi meritevoli di tutela. L’affidamento e l’esecuzione dei relativi contratti sono disciplinati dalle disposizioni di cui ai Titoli II, III e IV della Parte II. Le modalità di allocazione del rischio operativo, la durata del contratto di partenariato pubblico-privato, le modalità di determinazione della soglia e i metodi di calcolo del valore stimato sono disciplinate dagli articoli 177, 178 e 179.</w:t>
      </w:r>
    </w:p>
    <w:p w14:paraId="3F9BE296" w14:textId="263927FF"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Il partenariato pubblico-privato di tipo istituzionale si realizza attraverso la creazione di un ente partecipato congiuntamente dalla parte privata e da quella pubblica ed è disciplinato dal </w:t>
      </w:r>
      <w:r w:rsidR="00FC22E4" w:rsidRPr="004A5029">
        <w:rPr>
          <w:rFonts w:ascii="Times New Roman" w:hAnsi="Times New Roman" w:cs="Times New Roman"/>
          <w:b/>
          <w:bCs/>
          <w:color w:val="000000" w:themeColor="text1"/>
        </w:rPr>
        <w:t>testo unico in materia di società a partecipazione pubblica</w:t>
      </w:r>
      <w:r w:rsidR="001006C5" w:rsidRPr="004A5029">
        <w:rPr>
          <w:rFonts w:ascii="Times New Roman" w:hAnsi="Times New Roman" w:cs="Times New Roman"/>
          <w:b/>
          <w:bCs/>
          <w:color w:val="000000" w:themeColor="text1"/>
        </w:rPr>
        <w:t>,</w:t>
      </w:r>
      <w:r w:rsidR="00FC22E4" w:rsidRPr="004A5029">
        <w:rPr>
          <w:rFonts w:ascii="Times New Roman" w:hAnsi="Times New Roman" w:cs="Times New Roman"/>
          <w:b/>
          <w:bCs/>
          <w:color w:val="000000" w:themeColor="text1"/>
        </w:rPr>
        <w:t xml:space="preserve"> di cui al</w:t>
      </w:r>
      <w:r w:rsidR="00FC22E4" w:rsidRPr="004A5029">
        <w:rPr>
          <w:rFonts w:ascii="Times New Roman" w:hAnsi="Times New Roman" w:cs="Times New Roman"/>
          <w:color w:val="000000" w:themeColor="text1"/>
          <w:shd w:val="clear" w:color="auto" w:fill="FFFFFF"/>
        </w:rPr>
        <w:t xml:space="preserve"> </w:t>
      </w:r>
      <w:r w:rsidRPr="004A5029">
        <w:rPr>
          <w:rFonts w:ascii="Times New Roman" w:hAnsi="Times New Roman" w:cs="Times New Roman"/>
          <w:color w:val="000000" w:themeColor="text1"/>
        </w:rPr>
        <w:t>decreto legislativo 19 agosto 2016, n. 175</w:t>
      </w:r>
      <w:r w:rsidR="00BD4B50" w:rsidRPr="004A5029">
        <w:rPr>
          <w:b/>
          <w:bCs/>
          <w:color w:val="000000" w:themeColor="text1"/>
        </w:rPr>
        <w:t>,</w:t>
      </w:r>
      <w:r w:rsidRPr="004A5029">
        <w:rPr>
          <w:rFonts w:ascii="Times New Roman" w:hAnsi="Times New Roman" w:cs="Times New Roman"/>
          <w:color w:val="000000" w:themeColor="text1"/>
        </w:rPr>
        <w:t xml:space="preserve"> e dalle altre norme speciali di settore.</w:t>
      </w:r>
    </w:p>
    <w:p w14:paraId="7FC848BA" w14:textId="77777777" w:rsidR="0083753D" w:rsidRPr="004A5029" w:rsidRDefault="0083753D" w:rsidP="0083753D">
      <w:pPr>
        <w:jc w:val="both"/>
        <w:rPr>
          <w:rFonts w:ascii="Times New Roman" w:hAnsi="Times New Roman" w:cs="Times New Roman"/>
          <w:bCs/>
          <w:color w:val="000000" w:themeColor="text1"/>
          <w:highlight w:val="cyan"/>
          <w:shd w:val="clear" w:color="auto" w:fill="FFFFFF"/>
        </w:rPr>
      </w:pPr>
      <w:r w:rsidRPr="004A5029">
        <w:rPr>
          <w:rFonts w:ascii="Times New Roman" w:hAnsi="Times New Roman" w:cs="Times New Roman"/>
          <w:bCs/>
          <w:color w:val="000000" w:themeColor="text1"/>
        </w:rPr>
        <w:t>5. I contratti di partenariato pubblico-privato possono essere stipulati solo da enti concedenti qualificati ai sensi dell’articolo 63.</w:t>
      </w:r>
    </w:p>
    <w:p w14:paraId="3BBB8815" w14:textId="77777777" w:rsidR="0083753D" w:rsidRPr="004A5029" w:rsidRDefault="0083753D" w:rsidP="0083753D">
      <w:pPr>
        <w:rPr>
          <w:rFonts w:ascii="Times New Roman" w:hAnsi="Times New Roman" w:cs="Times New Roman"/>
          <w:color w:val="000000" w:themeColor="text1"/>
        </w:rPr>
      </w:pPr>
    </w:p>
    <w:p w14:paraId="432DAAA6"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175.</w:t>
      </w:r>
    </w:p>
    <w:p w14:paraId="646F96C9"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Programmazione, valutazione preliminare, controllo e monitoraggio.</w:t>
      </w:r>
    </w:p>
    <w:p w14:paraId="53BCCD0C" w14:textId="77777777" w:rsidR="0083753D" w:rsidRPr="004A5029" w:rsidRDefault="0083753D" w:rsidP="0083753D">
      <w:pPr>
        <w:jc w:val="both"/>
        <w:rPr>
          <w:rFonts w:ascii="Times New Roman" w:hAnsi="Times New Roman" w:cs="Times New Roman"/>
          <w:bCs/>
          <w:color w:val="000000" w:themeColor="text1"/>
          <w:shd w:val="clear" w:color="auto" w:fill="FFFFFF"/>
        </w:rPr>
      </w:pPr>
      <w:r w:rsidRPr="004A5029">
        <w:rPr>
          <w:rFonts w:ascii="Times New Roman" w:hAnsi="Times New Roman" w:cs="Times New Roman"/>
          <w:bCs/>
          <w:color w:val="000000" w:themeColor="text1"/>
        </w:rPr>
        <w:t>1. Le pubbliche amministrazioni adottano il programma triennale delle esigenze pubbliche idonee a essere soddisfatte attraverso forme di partenariato pubblico-privato</w:t>
      </w:r>
      <w:r w:rsidRPr="00D076E1">
        <w:rPr>
          <w:rFonts w:ascii="Times New Roman" w:hAnsi="Times New Roman" w:cs="Times New Roman"/>
          <w:bCs/>
          <w:color w:val="000000" w:themeColor="text1"/>
        </w:rPr>
        <w:t xml:space="preserve">. </w:t>
      </w:r>
      <w:r w:rsidRPr="00D076E1">
        <w:rPr>
          <w:rFonts w:ascii="Times New Roman" w:hAnsi="Times New Roman" w:cs="Times New Roman"/>
          <w:b/>
          <w:strike/>
          <w:color w:val="000000" w:themeColor="text1"/>
        </w:rPr>
        <w:t>Nel programma triennale le pubbliche amministrazioni indicano, per ciascun progetto, le eventuali ragioni che giustificano l’applicazione del criterio premiale in luogo della prelazione.</w:t>
      </w:r>
    </w:p>
    <w:p w14:paraId="4A10ECEA"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Il ricorso al partenariato pubblico-privato è preceduto da una valutazione preliminare di convenienza e fattibilità. La valutazione si incentra sull’idoneità del progetto a essere finanziato con risorse private, sulle condizioni necessarie a ottimizzare il rapporto tra costi e benefici, sulla efficiente allocazione del rischio operativo, sulla capacità di generare soluzioni innovative, nonché sulla capacità di indebitamento dell’ente e sulla disponibilità di risorse sul bilancio pluriennale. A tal fine, la valutazione confronta la stima dei costi e dei benefici del progetto di partenariato, nell’arco dell’intera durata del rapporto, con quella del ricorso alternativo al contratto di appalto per un arco temporale equivalente.</w:t>
      </w:r>
    </w:p>
    <w:p w14:paraId="541E9329" w14:textId="046A92FD" w:rsidR="0083753D" w:rsidRPr="00D076E1" w:rsidRDefault="0083753D" w:rsidP="0083753D">
      <w:pPr>
        <w:jc w:val="both"/>
        <w:rPr>
          <w:rFonts w:ascii="Times New Roman" w:hAnsi="Times New Roman" w:cs="Times New Roman"/>
          <w:b/>
          <w:bCs/>
          <w:strike/>
          <w:color w:val="000000" w:themeColor="text1"/>
        </w:rPr>
      </w:pPr>
      <w:r w:rsidRPr="00D076E1">
        <w:rPr>
          <w:rFonts w:ascii="Times New Roman" w:hAnsi="Times New Roman" w:cs="Times New Roman"/>
          <w:b/>
          <w:bCs/>
          <w:strike/>
          <w:color w:val="000000" w:themeColor="text1"/>
        </w:rPr>
        <w:t xml:space="preserve">3. Nei casi di progetti di interesse statale oppure di progetti finanziati con contributo a carico dello Stato, </w:t>
      </w:r>
      <w:r w:rsidRPr="00D076E1">
        <w:rPr>
          <w:rFonts w:ascii="Times New Roman" w:eastAsia="Georgia" w:hAnsi="Times New Roman" w:cs="Times New Roman"/>
          <w:b/>
          <w:bCs/>
          <w:strike/>
          <w:color w:val="000000" w:themeColor="text1"/>
        </w:rPr>
        <w:t>per i quali non sia già previsto che si esprima il CIPESS,</w:t>
      </w:r>
      <w:r w:rsidRPr="00D076E1">
        <w:rPr>
          <w:rFonts w:ascii="Times New Roman" w:hAnsi="Times New Roman" w:cs="Times New Roman"/>
          <w:b/>
          <w:bCs/>
          <w:strike/>
          <w:color w:val="000000" w:themeColor="text1"/>
        </w:rPr>
        <w:t xml:space="preserve"> gli enti concedenti interessati a sviluppare i progetti secondo la formula del partenariato pubblico-privato, </w:t>
      </w:r>
      <w:r w:rsidRPr="00D076E1">
        <w:rPr>
          <w:rFonts w:ascii="Times New Roman" w:eastAsia="Georgia" w:hAnsi="Times New Roman" w:cs="Times New Roman"/>
          <w:b/>
          <w:bCs/>
          <w:strike/>
          <w:color w:val="000000" w:themeColor="text1"/>
        </w:rPr>
        <w:t xml:space="preserve">il cui ammontare dei lavori o dei servizi sia </w:t>
      </w:r>
      <w:r w:rsidRPr="00D076E1">
        <w:rPr>
          <w:rFonts w:ascii="Times New Roman" w:hAnsi="Times New Roman" w:cs="Times New Roman"/>
          <w:b/>
          <w:bCs/>
          <w:strike/>
          <w:color w:val="000000" w:themeColor="text1"/>
        </w:rPr>
        <w:t>di importo superiore a 10 milioni di euro</w:t>
      </w:r>
      <w:r w:rsidR="00353AF9" w:rsidRPr="00D076E1">
        <w:rPr>
          <w:rFonts w:ascii="Times New Roman" w:hAnsi="Times New Roman" w:cs="Times New Roman"/>
          <w:b/>
          <w:bCs/>
          <w:strike/>
          <w:color w:val="000000" w:themeColor="text1"/>
        </w:rPr>
        <w:t>,</w:t>
      </w:r>
      <w:r w:rsidRPr="00D076E1">
        <w:rPr>
          <w:rFonts w:ascii="Times New Roman" w:hAnsi="Times New Roman" w:cs="Times New Roman"/>
          <w:b/>
          <w:bCs/>
          <w:strike/>
          <w:color w:val="000000" w:themeColor="text1"/>
        </w:rPr>
        <w:t xml:space="preserve"> richiedono un parere preventivo, non vincolante, per la valutazione preliminare di cui al comma 2, al Dipartimento per la programmazione e il coordinamento della politica economica (DIPE) della Presidenza del Consiglio dei </w:t>
      </w:r>
      <w:bookmarkStart w:id="47" w:name="_Hlk123334383"/>
      <w:r w:rsidRPr="00D076E1">
        <w:rPr>
          <w:rFonts w:ascii="Times New Roman" w:hAnsi="Times New Roman" w:cs="Times New Roman"/>
          <w:b/>
          <w:bCs/>
          <w:strike/>
          <w:color w:val="000000" w:themeColor="text1"/>
        </w:rPr>
        <w:t>ministri</w:t>
      </w:r>
      <w:r w:rsidR="00F91A5A" w:rsidRPr="00D076E1">
        <w:rPr>
          <w:rFonts w:ascii="Times New Roman" w:hAnsi="Times New Roman" w:cs="Times New Roman"/>
          <w:b/>
          <w:bCs/>
          <w:strike/>
          <w:color w:val="000000" w:themeColor="text1"/>
        </w:rPr>
        <w:t xml:space="preserve"> e al Ministero dell’economia e delle finanze - Dipartimento della Ragioneria generale dello Stato. Il parere deve essere chiesto prima della pubblicazione del bando di gara in caso di progetto a iniziativa pubblica ovvero prima della dichiarazione di fattibilità in caso di progetto a iniziativa privata</w:t>
      </w:r>
      <w:r w:rsidRPr="00D076E1">
        <w:rPr>
          <w:rFonts w:ascii="Times New Roman" w:hAnsi="Times New Roman" w:cs="Times New Roman"/>
          <w:b/>
          <w:bCs/>
          <w:strike/>
          <w:color w:val="000000" w:themeColor="text1"/>
        </w:rPr>
        <w:t xml:space="preserve">. </w:t>
      </w:r>
      <w:bookmarkEnd w:id="47"/>
      <w:r w:rsidRPr="00D076E1">
        <w:rPr>
          <w:rFonts w:ascii="Times New Roman" w:hAnsi="Times New Roman" w:cs="Times New Roman"/>
          <w:b/>
          <w:bCs/>
          <w:strike/>
          <w:color w:val="000000" w:themeColor="text1"/>
        </w:rPr>
        <w:t xml:space="preserve">Il parere è emesso di concerto con il Ministero dell’economia e delle finanze - Dipartimento della Ragioneria generale dello Stato entro 45 </w:t>
      </w:r>
      <w:r w:rsidR="004E4B92" w:rsidRPr="00D076E1">
        <w:rPr>
          <w:rFonts w:ascii="Times New Roman" w:hAnsi="Times New Roman" w:cs="Times New Roman"/>
          <w:b/>
          <w:bCs/>
          <w:strike/>
          <w:color w:val="000000" w:themeColor="text1"/>
        </w:rPr>
        <w:t xml:space="preserve">quarantacinque </w:t>
      </w:r>
      <w:r w:rsidRPr="00D076E1">
        <w:rPr>
          <w:rFonts w:ascii="Times New Roman" w:hAnsi="Times New Roman" w:cs="Times New Roman"/>
          <w:b/>
          <w:bCs/>
          <w:strike/>
          <w:color w:val="000000" w:themeColor="text1"/>
        </w:rPr>
        <w:t>giorni. Decorso il termine si applica l’articolo 16, comma 2</w:t>
      </w:r>
      <w:r w:rsidR="006A1D1B" w:rsidRPr="00D076E1">
        <w:rPr>
          <w:rFonts w:ascii="Times New Roman" w:hAnsi="Times New Roman" w:cs="Times New Roman"/>
          <w:b/>
          <w:bCs/>
          <w:strike/>
          <w:color w:val="000000" w:themeColor="text1"/>
        </w:rPr>
        <w:t>,</w:t>
      </w:r>
      <w:r w:rsidRPr="00D076E1">
        <w:rPr>
          <w:rFonts w:ascii="Times New Roman" w:hAnsi="Times New Roman" w:cs="Times New Roman"/>
          <w:b/>
          <w:bCs/>
          <w:strike/>
          <w:color w:val="000000" w:themeColor="text1"/>
        </w:rPr>
        <w:t xml:space="preserve"> della legge 7 agosto 1990, n. 241. Il Presidente del Consiglio dei </w:t>
      </w:r>
      <w:r w:rsidR="007E60A7" w:rsidRPr="00D076E1">
        <w:rPr>
          <w:rFonts w:ascii="Times New Roman" w:hAnsi="Times New Roman" w:cs="Times New Roman"/>
          <w:b/>
          <w:bCs/>
          <w:strike/>
          <w:color w:val="000000" w:themeColor="text1"/>
        </w:rPr>
        <w:t>m</w:t>
      </w:r>
      <w:r w:rsidRPr="00D076E1">
        <w:rPr>
          <w:rFonts w:ascii="Times New Roman" w:hAnsi="Times New Roman" w:cs="Times New Roman"/>
          <w:b/>
          <w:bCs/>
          <w:strike/>
          <w:color w:val="000000" w:themeColor="text1"/>
        </w:rPr>
        <w:t xml:space="preserve">inistri, dopo la valutazione preliminare, può sottoporre lo schema di contratto ai pareri del Consiglio superiore dei lavori pubblici e del Consiglio di Stato, anche per la valutazione di profili diversi da quello della convenienza. </w:t>
      </w:r>
    </w:p>
    <w:p w14:paraId="0795A585" w14:textId="1666F94C" w:rsidR="00E06FE4" w:rsidRPr="004A5029" w:rsidRDefault="00E06FE4" w:rsidP="0083753D">
      <w:pPr>
        <w:jc w:val="both"/>
        <w:rPr>
          <w:rFonts w:ascii="Times New Roman" w:hAnsi="Times New Roman" w:cs="Times New Roman"/>
          <w:b/>
          <w:bCs/>
          <w:color w:val="000000" w:themeColor="text1"/>
          <w:shd w:val="clear" w:color="auto" w:fill="FFFFFF"/>
        </w:rPr>
      </w:pPr>
      <w:r w:rsidRPr="00D076E1">
        <w:rPr>
          <w:rFonts w:ascii="Times New Roman" w:hAnsi="Times New Roman" w:cs="Times New Roman"/>
          <w:b/>
          <w:bCs/>
          <w:color w:val="000000" w:themeColor="text1"/>
          <w:shd w:val="clear" w:color="auto" w:fill="FFFFFF"/>
        </w:rPr>
        <w:t xml:space="preserve">3. Nei casi di progetti di interesse statale oppure di progetti finanziati con contributo a carico dello Stato, per i quali non sia già previsto che si esprima il </w:t>
      </w:r>
      <w:r w:rsidR="00A35F4A" w:rsidRPr="00D076E1">
        <w:rPr>
          <w:rFonts w:ascii="Times New Roman" w:hAnsi="Times New Roman" w:cs="Times New Roman"/>
          <w:b/>
          <w:bCs/>
          <w:color w:val="000000" w:themeColor="text1"/>
          <w:shd w:val="clear" w:color="auto" w:fill="FFFFFF"/>
        </w:rPr>
        <w:t>CIPESS</w:t>
      </w:r>
      <w:r w:rsidR="00D076E1">
        <w:rPr>
          <w:rFonts w:ascii="Times New Roman" w:hAnsi="Times New Roman" w:cs="Times New Roman"/>
          <w:b/>
          <w:bCs/>
          <w:color w:val="000000" w:themeColor="text1"/>
          <w:shd w:val="clear" w:color="auto" w:fill="FFFFFF"/>
        </w:rPr>
        <w:t xml:space="preserve">, </w:t>
      </w:r>
      <w:r w:rsidRPr="00D076E1">
        <w:rPr>
          <w:rFonts w:ascii="Times New Roman" w:hAnsi="Times New Roman" w:cs="Times New Roman"/>
          <w:b/>
          <w:bCs/>
          <w:color w:val="000000" w:themeColor="text1"/>
          <w:shd w:val="clear" w:color="auto" w:fill="FFFFFF"/>
        </w:rPr>
        <w:t xml:space="preserve">gli enti concedenti interessati a sviluppare i progetti secondo la formula del partenariato pubblico-privato, il cui ammontare dei lavori o dei servizi sia di importo pari o superiore a 250 milioni di euro, richiedono parere, ai fini della valutazione preliminare di cui al comma 2, al CIPESS, sentito il Nucleo di consulenza per l’attuazione delle linee guida per la regolazione dei servizi di pubblica utilità (NARS). Il CIPESS si pronuncia entro </w:t>
      </w:r>
      <w:r w:rsidRPr="00D076E1">
        <w:rPr>
          <w:rFonts w:ascii="Times New Roman" w:hAnsi="Times New Roman" w:cs="Times New Roman"/>
          <w:b/>
          <w:bCs/>
          <w:strike/>
          <w:color w:val="000000" w:themeColor="text1"/>
          <w:shd w:val="clear" w:color="auto" w:fill="FFFFFF"/>
        </w:rPr>
        <w:t>45</w:t>
      </w:r>
      <w:r w:rsidR="00A35F4A" w:rsidRPr="00D076E1">
        <w:rPr>
          <w:rFonts w:ascii="Times New Roman" w:hAnsi="Times New Roman" w:cs="Times New Roman"/>
          <w:b/>
          <w:bCs/>
          <w:color w:val="000000" w:themeColor="text1"/>
          <w:shd w:val="clear" w:color="auto" w:fill="FFFFFF"/>
        </w:rPr>
        <w:t xml:space="preserve"> quarantacinque</w:t>
      </w:r>
      <w:r w:rsidRPr="00D076E1">
        <w:rPr>
          <w:rFonts w:ascii="Times New Roman" w:hAnsi="Times New Roman" w:cs="Times New Roman"/>
          <w:b/>
          <w:bCs/>
          <w:color w:val="000000" w:themeColor="text1"/>
          <w:shd w:val="clear" w:color="auto" w:fill="FFFFFF"/>
        </w:rPr>
        <w:t xml:space="preserve"> giorni dalla richiesta. Nei casi di progetti di interesse statale o finanziati con contributo a carico dello Stato, per i quali non sia prevista l’espressione del CIPESS, gli enti concedenti interessati a sviluppare i progetti secondo la formula del partenariato pubblico-privato, il cui ammontare dei lavori o dei servizi sia di importo pari o superiore a 50 milioni di euro e inferiore a 250 milioni di euro, richiedono un parere preventivo, non vincolante, ai fini della valutazione preliminare di cui al comma 2, al Dipartimento per la programmazione e il coordinamento della politica economica (DIPE) della Presidenza del Consiglio dei ministri; tale parere è emesso di concerto con il Ministero dell’economia e delle finanze - Dipartimento della Ragioneria generale dello Stato entro </w:t>
      </w:r>
      <w:r w:rsidR="00A35F4A" w:rsidRPr="00D076E1">
        <w:rPr>
          <w:rFonts w:ascii="Times New Roman" w:hAnsi="Times New Roman" w:cs="Times New Roman"/>
          <w:b/>
          <w:bCs/>
          <w:strike/>
          <w:color w:val="000000" w:themeColor="text1"/>
          <w:shd w:val="clear" w:color="auto" w:fill="FFFFFF"/>
        </w:rPr>
        <w:t>45</w:t>
      </w:r>
      <w:r w:rsidR="00A35F4A" w:rsidRPr="00D076E1">
        <w:rPr>
          <w:rFonts w:ascii="Times New Roman" w:hAnsi="Times New Roman" w:cs="Times New Roman"/>
          <w:b/>
          <w:bCs/>
          <w:color w:val="000000" w:themeColor="text1"/>
          <w:shd w:val="clear" w:color="auto" w:fill="FFFFFF"/>
        </w:rPr>
        <w:t xml:space="preserve"> quarantacinque</w:t>
      </w:r>
      <w:r w:rsidRPr="00D076E1">
        <w:rPr>
          <w:rFonts w:ascii="Times New Roman" w:hAnsi="Times New Roman" w:cs="Times New Roman"/>
          <w:b/>
          <w:bCs/>
          <w:color w:val="000000" w:themeColor="text1"/>
          <w:shd w:val="clear" w:color="auto" w:fill="FFFFFF"/>
        </w:rPr>
        <w:t xml:space="preserve"> giorni dalla richiesta; decorso il termine, salvo sospensione per integrazione documentale </w:t>
      </w:r>
      <w:r w:rsidR="00FE2881" w:rsidRPr="00D076E1">
        <w:rPr>
          <w:rFonts w:ascii="Times New Roman" w:hAnsi="Times New Roman" w:cs="Times New Roman"/>
          <w:b/>
          <w:bCs/>
          <w:color w:val="000000" w:themeColor="text1"/>
          <w:shd w:val="clear" w:color="auto" w:fill="FFFFFF"/>
        </w:rPr>
        <w:t xml:space="preserve">secondo quanto </w:t>
      </w:r>
      <w:r w:rsidRPr="00D076E1">
        <w:rPr>
          <w:rFonts w:ascii="Times New Roman" w:hAnsi="Times New Roman" w:cs="Times New Roman"/>
          <w:b/>
          <w:bCs/>
          <w:color w:val="000000" w:themeColor="text1"/>
          <w:shd w:val="clear" w:color="auto" w:fill="FFFFFF"/>
        </w:rPr>
        <w:t>previsto dall’art</w:t>
      </w:r>
      <w:r w:rsidR="00A35F4A" w:rsidRPr="00D076E1">
        <w:rPr>
          <w:rFonts w:ascii="Times New Roman" w:hAnsi="Times New Roman" w:cs="Times New Roman"/>
          <w:b/>
          <w:bCs/>
          <w:color w:val="000000" w:themeColor="text1"/>
          <w:shd w:val="clear" w:color="auto" w:fill="FFFFFF"/>
        </w:rPr>
        <w:t>icolo</w:t>
      </w:r>
      <w:r w:rsidRPr="00D076E1">
        <w:rPr>
          <w:rFonts w:ascii="Times New Roman" w:hAnsi="Times New Roman" w:cs="Times New Roman"/>
          <w:b/>
          <w:bCs/>
          <w:color w:val="000000" w:themeColor="text1"/>
          <w:shd w:val="clear" w:color="auto" w:fill="FFFFFF"/>
        </w:rPr>
        <w:t xml:space="preserve"> 2, comma 7</w:t>
      </w:r>
      <w:r w:rsidR="00A35F4A" w:rsidRPr="00D076E1">
        <w:rPr>
          <w:rFonts w:ascii="Times New Roman" w:hAnsi="Times New Roman" w:cs="Times New Roman"/>
          <w:b/>
          <w:bCs/>
          <w:color w:val="000000" w:themeColor="text1"/>
          <w:shd w:val="clear" w:color="auto" w:fill="FFFFFF"/>
        </w:rPr>
        <w:t>,</w:t>
      </w:r>
      <w:r w:rsidRPr="00D076E1">
        <w:rPr>
          <w:rFonts w:ascii="Times New Roman" w:hAnsi="Times New Roman" w:cs="Times New Roman"/>
          <w:b/>
          <w:bCs/>
          <w:color w:val="000000" w:themeColor="text1"/>
          <w:shd w:val="clear" w:color="auto" w:fill="FFFFFF"/>
        </w:rPr>
        <w:t xml:space="preserve"> della legge 7 agosto 1990, n. 241, si applica l’articolo 16, comma 2, della legge n. 241</w:t>
      </w:r>
      <w:r w:rsidR="00A35F4A" w:rsidRPr="00D076E1">
        <w:rPr>
          <w:rFonts w:ascii="Times New Roman" w:hAnsi="Times New Roman" w:cs="Times New Roman"/>
          <w:b/>
          <w:bCs/>
          <w:color w:val="000000" w:themeColor="text1"/>
          <w:shd w:val="clear" w:color="auto" w:fill="FFFFFF"/>
        </w:rPr>
        <w:t xml:space="preserve"> del 1990</w:t>
      </w:r>
      <w:r w:rsidRPr="00D076E1">
        <w:rPr>
          <w:rFonts w:ascii="Times New Roman" w:hAnsi="Times New Roman" w:cs="Times New Roman"/>
          <w:b/>
          <w:bCs/>
          <w:color w:val="000000" w:themeColor="text1"/>
          <w:shd w:val="clear" w:color="auto" w:fill="FFFFFF"/>
        </w:rPr>
        <w:t>. I suddetti pareri devono essere chiesti prima della pubblicazione del bando di gara in caso di progetto a iniziativa pubblica ovvero prima della dichiarazione di fattibilità in caso di progetto a iniziativa privata. Il Presidente del Consiglio dei ministri, dopo la valutazione preliminare, può sottoporre lo schema di contratto ai pareri del Consiglio superiore dei lavori pubblici e del Consiglio di Stato, anche per la valutazione di profili diversi da quello della convenienza.</w:t>
      </w:r>
    </w:p>
    <w:p w14:paraId="2CDB512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Le regioni e gli enti locali possono richiedere il parere del DIPE di cui al comma 3 quando la complessità dell’operazione contrattuale lo richieda.</w:t>
      </w:r>
    </w:p>
    <w:p w14:paraId="1A25DA3E" w14:textId="57C43623"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 xml:space="preserve">5. L’ente concedente, sentito l’operatore </w:t>
      </w:r>
      <w:r w:rsidRPr="00D076E1">
        <w:rPr>
          <w:rFonts w:ascii="Times New Roman" w:hAnsi="Times New Roman" w:cs="Times New Roman"/>
          <w:color w:val="000000" w:themeColor="text1"/>
        </w:rPr>
        <w:t xml:space="preserve">economico, </w:t>
      </w:r>
      <w:r w:rsidRPr="00D076E1">
        <w:rPr>
          <w:rFonts w:ascii="Times New Roman" w:hAnsi="Times New Roman" w:cs="Times New Roman"/>
          <w:b/>
          <w:bCs/>
          <w:strike/>
          <w:color w:val="000000" w:themeColor="text1"/>
        </w:rPr>
        <w:t>nomina un responsabile unico del progetto di partenariato tra soggetti dotati di idonee competenze tecniche</w:t>
      </w:r>
      <w:r w:rsidR="00E06FE4" w:rsidRPr="00D076E1">
        <w:rPr>
          <w:color w:val="000000" w:themeColor="text1"/>
        </w:rPr>
        <w:t xml:space="preserve"> </w:t>
      </w:r>
      <w:r w:rsidR="00E06FE4" w:rsidRPr="00D076E1">
        <w:rPr>
          <w:rFonts w:ascii="Times New Roman" w:hAnsi="Times New Roman" w:cs="Times New Roman"/>
          <w:b/>
          <w:bCs/>
          <w:color w:val="000000" w:themeColor="text1"/>
        </w:rPr>
        <w:t xml:space="preserve">affida al </w:t>
      </w:r>
      <w:r w:rsidR="00E06FE4" w:rsidRPr="00D076E1">
        <w:rPr>
          <w:rFonts w:ascii="Times New Roman" w:hAnsi="Times New Roman" w:cs="Times New Roman"/>
          <w:b/>
          <w:bCs/>
          <w:strike/>
          <w:color w:val="000000" w:themeColor="text1"/>
        </w:rPr>
        <w:t>responsabile unico del progetto</w:t>
      </w:r>
      <w:r w:rsidR="00E06FE4" w:rsidRPr="00D076E1">
        <w:rPr>
          <w:rFonts w:ascii="Times New Roman" w:hAnsi="Times New Roman" w:cs="Times New Roman"/>
          <w:b/>
          <w:bCs/>
          <w:color w:val="000000" w:themeColor="text1"/>
        </w:rPr>
        <w:t xml:space="preserve"> </w:t>
      </w:r>
      <w:r w:rsidR="00A35F4A" w:rsidRPr="00D076E1">
        <w:rPr>
          <w:rFonts w:ascii="Times New Roman" w:hAnsi="Times New Roman" w:cs="Times New Roman"/>
          <w:b/>
          <w:bCs/>
          <w:color w:val="000000" w:themeColor="text1"/>
        </w:rPr>
        <w:t xml:space="preserve">RUP </w:t>
      </w:r>
      <w:r w:rsidR="00E06FE4" w:rsidRPr="00D076E1">
        <w:rPr>
          <w:rFonts w:ascii="Times New Roman" w:hAnsi="Times New Roman" w:cs="Times New Roman"/>
          <w:b/>
          <w:bCs/>
          <w:color w:val="000000" w:themeColor="text1"/>
        </w:rPr>
        <w:t>nominato ai sensi dell’articolo 15 le funzioni di responsabile unico del progetto di partenariato</w:t>
      </w:r>
      <w:r w:rsidRPr="00D076E1">
        <w:rPr>
          <w:rFonts w:ascii="Times New Roman" w:hAnsi="Times New Roman" w:cs="Times New Roman"/>
          <w:color w:val="000000" w:themeColor="text1"/>
        </w:rPr>
        <w:t>. Il responsabile coordina e controlla, sotto il profilo tecnico e contabile, l’esecuzione</w:t>
      </w:r>
      <w:r w:rsidRPr="004A5029">
        <w:rPr>
          <w:rFonts w:ascii="Times New Roman" w:hAnsi="Times New Roman" w:cs="Times New Roman"/>
          <w:color w:val="000000" w:themeColor="text1"/>
        </w:rPr>
        <w:t xml:space="preserve"> del contratto, verificando costantemente il rispetto dei livelli di qualità e quantità delle prestazioni.</w:t>
      </w:r>
    </w:p>
    <w:p w14:paraId="2E3ECD8E" w14:textId="31F60226"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6. L’ente concedente esercita</w:t>
      </w:r>
      <w:r w:rsidRPr="004A5029">
        <w:rPr>
          <w:rFonts w:ascii="Times New Roman" w:hAnsi="Times New Roman" w:cs="Times New Roman"/>
          <w:color w:val="000000" w:themeColor="text1"/>
        </w:rPr>
        <w:t xml:space="preserve"> il controllo sull’attività dell’operatore economico, verificando in particolare la permanenza in capo all’operatore economico del rischio </w:t>
      </w:r>
      <w:r w:rsidRPr="004A5029">
        <w:rPr>
          <w:rFonts w:ascii="Times New Roman" w:hAnsi="Times New Roman" w:cs="Times New Roman"/>
          <w:bCs/>
          <w:color w:val="000000" w:themeColor="text1"/>
        </w:rPr>
        <w:t>operativo</w:t>
      </w:r>
      <w:r w:rsidRPr="004A5029">
        <w:rPr>
          <w:rFonts w:ascii="Times New Roman" w:hAnsi="Times New Roman" w:cs="Times New Roman"/>
          <w:color w:val="000000" w:themeColor="text1"/>
        </w:rPr>
        <w:t xml:space="preserve"> trasferito. </w:t>
      </w:r>
      <w:r w:rsidRPr="004A5029">
        <w:rPr>
          <w:rFonts w:ascii="Times New Roman" w:hAnsi="Times New Roman" w:cs="Times New Roman"/>
          <w:bCs/>
          <w:color w:val="000000" w:themeColor="text1"/>
        </w:rPr>
        <w:t>L’operatore economico fornisce tutte le informazioni necessarie allo scopo, con le modalità stabilite nel contratto.</w:t>
      </w:r>
    </w:p>
    <w:p w14:paraId="06576295" w14:textId="1E3F23A1" w:rsidR="00534C74" w:rsidRPr="004A5029" w:rsidRDefault="00534C74" w:rsidP="00534C74">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Il monitoraggio dei partenariati pubblici privati è affidato alla Presidenza del Consiglio dei ministri - Dipartimento per la programmazione e il coordinamento della politica economica </w:t>
      </w:r>
      <w:bookmarkStart w:id="48" w:name="_Hlk123335010"/>
      <w:r w:rsidRPr="004A5029">
        <w:rPr>
          <w:rFonts w:ascii="Times New Roman" w:hAnsi="Times New Roman" w:cs="Times New Roman"/>
          <w:color w:val="000000" w:themeColor="text1"/>
        </w:rPr>
        <w:t>e al Ministero dell’economia e delle finanze - Dipartimento della Ragioneria generale dello Stato, che lo esercitano tramite l’accesso al portale sul monitoraggio dei contratti di partenariato pubblico privato istituito presso la Ragioneria generale dello Stato mediante il quale gli enti concedenti sono tenuti a trasmettere le informazioni sui contratti stipulati</w:t>
      </w:r>
      <w:bookmarkEnd w:id="48"/>
      <w:r w:rsidRPr="004A5029">
        <w:rPr>
          <w:rFonts w:ascii="Times New Roman" w:hAnsi="Times New Roman" w:cs="Times New Roman"/>
          <w:color w:val="000000" w:themeColor="text1"/>
        </w:rPr>
        <w:t xml:space="preserve">. </w:t>
      </w:r>
      <w:bookmarkStart w:id="49" w:name="_Hlk123335185"/>
      <w:r w:rsidRPr="004A5029">
        <w:rPr>
          <w:rFonts w:ascii="Times New Roman" w:hAnsi="Times New Roman" w:cs="Times New Roman"/>
          <w:color w:val="000000" w:themeColor="text1"/>
        </w:rPr>
        <w:t xml:space="preserve">Gli enti concedenti sono tenuti altresì a dare evidenza dei contratti di partenariato pubblico privato stipulati mediante apposito allegato al </w:t>
      </w:r>
      <w:r w:rsidRPr="004A5029">
        <w:rPr>
          <w:rFonts w:ascii="Times New Roman" w:hAnsi="Times New Roman" w:cs="Times New Roman"/>
          <w:b/>
          <w:bCs/>
          <w:strike/>
          <w:color w:val="000000" w:themeColor="text1"/>
        </w:rPr>
        <w:t>B</w:t>
      </w:r>
      <w:r w:rsidR="00447E89" w:rsidRPr="004A5029">
        <w:rPr>
          <w:rFonts w:ascii="Times New Roman" w:hAnsi="Times New Roman" w:cs="Times New Roman"/>
          <w:b/>
          <w:bCs/>
          <w:color w:val="000000" w:themeColor="text1"/>
        </w:rPr>
        <w:t>b</w:t>
      </w:r>
      <w:r w:rsidRPr="004A5029">
        <w:rPr>
          <w:rFonts w:ascii="Times New Roman" w:hAnsi="Times New Roman" w:cs="Times New Roman"/>
          <w:color w:val="000000" w:themeColor="text1"/>
        </w:rPr>
        <w:t xml:space="preserve">ilancio d’esercizio con l’indicazione del </w:t>
      </w:r>
      <w:r w:rsidR="00E9724B" w:rsidRPr="004A5029">
        <w:rPr>
          <w:rFonts w:ascii="Times New Roman" w:hAnsi="Times New Roman" w:cs="Times New Roman"/>
          <w:b/>
          <w:color w:val="000000" w:themeColor="text1"/>
        </w:rPr>
        <w:t>codice unico di progetto</w:t>
      </w:r>
      <w:r w:rsidR="00E9724B"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CUP</w:t>
      </w:r>
      <w:r w:rsidR="00E9724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e del </w:t>
      </w:r>
      <w:r w:rsidR="00E9724B" w:rsidRPr="004A5029">
        <w:rPr>
          <w:rFonts w:ascii="Times New Roman" w:hAnsi="Times New Roman" w:cs="Times New Roman"/>
          <w:b/>
          <w:color w:val="000000" w:themeColor="text1"/>
        </w:rPr>
        <w:t xml:space="preserve">codice identificativo di gara </w:t>
      </w:r>
      <w:r w:rsidR="00E9724B" w:rsidRPr="004A5029">
        <w:rPr>
          <w:rFonts w:ascii="Times New Roman" w:hAnsi="Times New Roman" w:cs="Times New Roman"/>
          <w:b/>
          <w:bCs/>
          <w:color w:val="000000" w:themeColor="text1"/>
          <w:shd w:val="clear" w:color="auto" w:fill="FFFFFF"/>
        </w:rPr>
        <w:t>(</w:t>
      </w:r>
      <w:r w:rsidRPr="004A5029">
        <w:rPr>
          <w:rFonts w:ascii="Times New Roman" w:hAnsi="Times New Roman" w:cs="Times New Roman"/>
          <w:color w:val="000000" w:themeColor="text1"/>
        </w:rPr>
        <w:t>CIG</w:t>
      </w:r>
      <w:r w:rsidR="00E9724B"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del valore complessivo del contratto, della durata, dell’importo del contributo pubblico e dell’importo dell’investimento a carico del privato.</w:t>
      </w:r>
      <w:bookmarkEnd w:id="49"/>
    </w:p>
    <w:p w14:paraId="36FD86F0" w14:textId="77777777" w:rsidR="00422F4F" w:rsidRPr="004A5029" w:rsidRDefault="00534C74" w:rsidP="00534C74">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Sul portale di cui al comma 7 sono pubblicati e aggiornati periodicamente le migliori prassi in materia di forme e caratteristiche tecniche di finanziamento di partenariato pubblico-privato più ricorrenti sul mercato.</w:t>
      </w:r>
    </w:p>
    <w:p w14:paraId="55B91B0D" w14:textId="7BCE3588" w:rsidR="0083753D" w:rsidRPr="004A5029" w:rsidRDefault="00422F4F" w:rsidP="00534C74">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w:t>
      </w:r>
      <w:bookmarkStart w:id="50" w:name="_Hlk123335769"/>
      <w:r w:rsidRPr="004A5029">
        <w:rPr>
          <w:rFonts w:ascii="Times New Roman" w:hAnsi="Times New Roman" w:cs="Times New Roman"/>
          <w:color w:val="000000" w:themeColor="text1"/>
        </w:rPr>
        <w:t>Ai soli fini di contabilità pubblica, si applicano i contenuti delle decisioni Eurostat</w:t>
      </w:r>
      <w:r w:rsidR="00AB592B" w:rsidRPr="004A5029">
        <w:rPr>
          <w:rFonts w:ascii="Times New Roman" w:hAnsi="Times New Roman" w:cs="Times New Roman"/>
          <w:color w:val="000000" w:themeColor="text1"/>
        </w:rPr>
        <w:t xml:space="preserve"> a cui sono tenute le </w:t>
      </w:r>
      <w:r w:rsidR="00353AF9" w:rsidRPr="004A5029">
        <w:rPr>
          <w:rFonts w:ascii="Times New Roman" w:hAnsi="Times New Roman" w:cs="Times New Roman"/>
          <w:b/>
          <w:bCs/>
          <w:strike/>
          <w:color w:val="000000" w:themeColor="text1"/>
        </w:rPr>
        <w:t>P</w:t>
      </w:r>
      <w:r w:rsidR="004873AF" w:rsidRPr="004A5029">
        <w:rPr>
          <w:rFonts w:ascii="Times New Roman" w:hAnsi="Times New Roman" w:cs="Times New Roman"/>
          <w:b/>
          <w:bCs/>
          <w:color w:val="000000" w:themeColor="text1"/>
        </w:rPr>
        <w:t>p</w:t>
      </w:r>
      <w:r w:rsidR="00AB592B" w:rsidRPr="004A5029">
        <w:rPr>
          <w:rFonts w:ascii="Times New Roman" w:hAnsi="Times New Roman" w:cs="Times New Roman"/>
          <w:color w:val="000000" w:themeColor="text1"/>
        </w:rPr>
        <w:t xml:space="preserve">ubbliche </w:t>
      </w:r>
      <w:r w:rsidR="00353AF9" w:rsidRPr="004A5029">
        <w:rPr>
          <w:rFonts w:ascii="Times New Roman" w:hAnsi="Times New Roman" w:cs="Times New Roman"/>
          <w:b/>
          <w:bCs/>
          <w:strike/>
          <w:color w:val="000000" w:themeColor="text1"/>
        </w:rPr>
        <w:t>A</w:t>
      </w:r>
      <w:r w:rsidR="004873AF" w:rsidRPr="004A5029">
        <w:rPr>
          <w:rFonts w:ascii="Times New Roman" w:hAnsi="Times New Roman" w:cs="Times New Roman"/>
          <w:b/>
          <w:bCs/>
          <w:color w:val="000000" w:themeColor="text1"/>
        </w:rPr>
        <w:t>a</w:t>
      </w:r>
      <w:r w:rsidR="00AB592B" w:rsidRPr="004A5029">
        <w:rPr>
          <w:rFonts w:ascii="Times New Roman" w:hAnsi="Times New Roman" w:cs="Times New Roman"/>
          <w:color w:val="000000" w:themeColor="text1"/>
        </w:rPr>
        <w:t xml:space="preserve">mministrazioni di cui all’articolo 1, commi 2 e 3, della legge </w:t>
      </w:r>
      <w:r w:rsidR="00E9724B" w:rsidRPr="004A5029">
        <w:rPr>
          <w:rFonts w:ascii="Times New Roman" w:hAnsi="Times New Roman" w:cs="Times New Roman"/>
          <w:b/>
          <w:bCs/>
          <w:color w:val="000000" w:themeColor="text1"/>
        </w:rPr>
        <w:t xml:space="preserve">31 dicembre 2009, n. </w:t>
      </w:r>
      <w:r w:rsidR="00AB592B" w:rsidRPr="004A5029">
        <w:rPr>
          <w:rFonts w:ascii="Times New Roman" w:hAnsi="Times New Roman" w:cs="Times New Roman"/>
          <w:color w:val="000000" w:themeColor="text1"/>
        </w:rPr>
        <w:t>196</w:t>
      </w:r>
      <w:r w:rsidR="00AB592B" w:rsidRPr="004A5029">
        <w:rPr>
          <w:rFonts w:ascii="Times New Roman" w:hAnsi="Times New Roman" w:cs="Times New Roman"/>
          <w:strike/>
          <w:color w:val="000000" w:themeColor="text1"/>
        </w:rPr>
        <w:t xml:space="preserve"> </w:t>
      </w:r>
      <w:r w:rsidR="00AB592B" w:rsidRPr="004A5029">
        <w:rPr>
          <w:rFonts w:ascii="Times New Roman" w:hAnsi="Times New Roman" w:cs="Times New Roman"/>
          <w:b/>
          <w:bCs/>
          <w:strike/>
          <w:color w:val="000000" w:themeColor="text1"/>
        </w:rPr>
        <w:t>del 2009</w:t>
      </w:r>
      <w:r w:rsidRPr="004A5029">
        <w:rPr>
          <w:rFonts w:ascii="Times New Roman" w:hAnsi="Times New Roman" w:cs="Times New Roman"/>
          <w:color w:val="000000" w:themeColor="text1"/>
        </w:rPr>
        <w:t>.</w:t>
      </w:r>
      <w:bookmarkEnd w:id="50"/>
      <w:r w:rsidR="0083753D" w:rsidRPr="004A5029">
        <w:rPr>
          <w:rFonts w:ascii="Times New Roman" w:hAnsi="Times New Roman" w:cs="Times New Roman"/>
          <w:color w:val="000000" w:themeColor="text1"/>
        </w:rPr>
        <w:br w:type="page"/>
      </w:r>
    </w:p>
    <w:p w14:paraId="4DB28454"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II</w:t>
      </w:r>
    </w:p>
    <w:p w14:paraId="5E200D3F"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DEI CONTRATTI DI CONCESSIONE</w:t>
      </w:r>
    </w:p>
    <w:p w14:paraId="6810F0D1" w14:textId="77777777" w:rsidR="0083753D" w:rsidRPr="004A5029" w:rsidRDefault="0083753D" w:rsidP="0083753D">
      <w:pPr>
        <w:jc w:val="center"/>
        <w:rPr>
          <w:rFonts w:ascii="Times New Roman" w:hAnsi="Times New Roman" w:cs="Times New Roman"/>
          <w:b/>
          <w:bCs/>
          <w:color w:val="000000" w:themeColor="text1"/>
        </w:rPr>
      </w:pPr>
    </w:p>
    <w:p w14:paraId="4BED6378" w14:textId="77777777" w:rsidR="00DC7D5C" w:rsidRPr="004A5029" w:rsidRDefault="0083753D" w:rsidP="6E003A1F">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Titolo I </w:t>
      </w:r>
    </w:p>
    <w:p w14:paraId="74E797DC" w14:textId="1F84FD12" w:rsidR="0083753D" w:rsidRPr="004A5029" w:rsidRDefault="0083753D" w:rsidP="6E003A1F">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L’ambito di applicazione</w:t>
      </w:r>
      <w:r w:rsidR="091F148E" w:rsidRPr="004A5029">
        <w:rPr>
          <w:rFonts w:ascii="Times New Roman" w:hAnsi="Times New Roman" w:cs="Times New Roman"/>
          <w:b/>
          <w:bCs/>
          <w:color w:val="000000" w:themeColor="text1"/>
        </w:rPr>
        <w:t xml:space="preserve"> e</w:t>
      </w:r>
      <w:r w:rsidRPr="004A5029">
        <w:rPr>
          <w:rFonts w:ascii="Times New Roman" w:hAnsi="Times New Roman" w:cs="Times New Roman"/>
          <w:b/>
          <w:bCs/>
          <w:color w:val="000000" w:themeColor="text1"/>
        </w:rPr>
        <w:t xml:space="preserve"> i principi generali</w:t>
      </w:r>
    </w:p>
    <w:p w14:paraId="1E1F62C5" w14:textId="2E250AAF" w:rsidR="6E003A1F" w:rsidRPr="004A5029" w:rsidRDefault="6E003A1F" w:rsidP="6E003A1F">
      <w:pPr>
        <w:jc w:val="center"/>
        <w:rPr>
          <w:rFonts w:ascii="Times New Roman" w:hAnsi="Times New Roman" w:cs="Times New Roman"/>
          <w:b/>
          <w:bCs/>
          <w:color w:val="000000" w:themeColor="text1"/>
        </w:rPr>
      </w:pPr>
    </w:p>
    <w:p w14:paraId="2917B26D"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176.</w:t>
      </w:r>
    </w:p>
    <w:p w14:paraId="1E2ABBBC"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Oggetto e ambito di applicazione.</w:t>
      </w:r>
    </w:p>
    <w:p w14:paraId="6ADB0AA7" w14:textId="77777777"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1</w:t>
      </w:r>
      <w:r w:rsidRPr="004A5029">
        <w:rPr>
          <w:rFonts w:ascii="Times New Roman" w:hAnsi="Times New Roman" w:cs="Times New Roman"/>
          <w:bCs/>
          <w:color w:val="000000" w:themeColor="text1"/>
        </w:rPr>
        <w:t>. La presente Parte disciplina</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le</w:t>
      </w:r>
      <w:r w:rsidRPr="004A5029">
        <w:rPr>
          <w:rFonts w:ascii="Times New Roman" w:hAnsi="Times New Roman" w:cs="Times New Roman"/>
          <w:color w:val="000000" w:themeColor="text1"/>
        </w:rPr>
        <w:t xml:space="preserve"> procedure di aggiudicazione dei contratti di concessione indette da </w:t>
      </w:r>
      <w:r w:rsidRPr="004A5029">
        <w:rPr>
          <w:rFonts w:ascii="Times New Roman" w:hAnsi="Times New Roman" w:cs="Times New Roman"/>
          <w:bCs/>
          <w:color w:val="000000" w:themeColor="text1"/>
        </w:rPr>
        <w:t>enti concedenti</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e la relativa esecuzione</w:t>
      </w:r>
      <w:r w:rsidRPr="004A5029">
        <w:rPr>
          <w:rFonts w:ascii="Times New Roman" w:hAnsi="Times New Roman" w:cs="Times New Roman"/>
          <w:color w:val="000000" w:themeColor="text1"/>
        </w:rPr>
        <w:t>.</w:t>
      </w:r>
    </w:p>
    <w:p w14:paraId="3C6C9B2B" w14:textId="16C2BC74"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w:t>
      </w:r>
      <w:r w:rsidRPr="004A5029">
        <w:rPr>
          <w:rFonts w:ascii="Times New Roman" w:hAnsi="Times New Roman" w:cs="Times New Roman"/>
          <w:bCs/>
          <w:color w:val="000000" w:themeColor="text1"/>
        </w:rPr>
        <w:t>Alle concessioni di servizi economici d’interesse generale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 xml:space="preserve">si applicano le norme </w:t>
      </w:r>
      <w:r w:rsidRPr="00D77AAD">
        <w:rPr>
          <w:rFonts w:ascii="Times New Roman" w:hAnsi="Times New Roman" w:cs="Times New Roman"/>
          <w:bCs/>
          <w:color w:val="000000" w:themeColor="text1"/>
        </w:rPr>
        <w:t>della presente Parte</w:t>
      </w:r>
      <w:r w:rsidR="00635C41" w:rsidRPr="00D77AAD">
        <w:rPr>
          <w:rFonts w:ascii="Times New Roman" w:hAnsi="Times New Roman" w:cs="Times New Roman"/>
          <w:b/>
          <w:color w:val="000000" w:themeColor="text1"/>
        </w:rPr>
        <w:t>,</w:t>
      </w:r>
      <w:r w:rsidR="00E06FE4" w:rsidRPr="00D77AAD">
        <w:rPr>
          <w:rFonts w:ascii="Times New Roman" w:hAnsi="Times New Roman" w:cs="Times New Roman"/>
          <w:b/>
          <w:strike/>
          <w:color w:val="000000" w:themeColor="text1"/>
        </w:rPr>
        <w:t>;</w:t>
      </w:r>
      <w:r w:rsidR="00E06FE4" w:rsidRPr="00D77AAD">
        <w:rPr>
          <w:b/>
          <w:color w:val="000000" w:themeColor="text1"/>
        </w:rPr>
        <w:t xml:space="preserve"> </w:t>
      </w:r>
      <w:r w:rsidR="00E06FE4" w:rsidRPr="00D77AAD">
        <w:rPr>
          <w:rFonts w:ascii="Times New Roman" w:hAnsi="Times New Roman" w:cs="Times New Roman"/>
          <w:b/>
          <w:color w:val="000000" w:themeColor="text1"/>
        </w:rPr>
        <w:t xml:space="preserve">ferme restando le specifiche esclusioni previste dal </w:t>
      </w:r>
      <w:r w:rsidR="00FE2881" w:rsidRPr="00D77AAD">
        <w:rPr>
          <w:rFonts w:ascii="Times New Roman" w:hAnsi="Times New Roman" w:cs="Times New Roman"/>
          <w:b/>
          <w:color w:val="000000" w:themeColor="text1"/>
        </w:rPr>
        <w:t>c</w:t>
      </w:r>
      <w:r w:rsidR="00E06FE4" w:rsidRPr="00D77AAD">
        <w:rPr>
          <w:rFonts w:ascii="Times New Roman" w:hAnsi="Times New Roman" w:cs="Times New Roman"/>
          <w:b/>
          <w:color w:val="000000" w:themeColor="text1"/>
        </w:rPr>
        <w:t>odice.</w:t>
      </w:r>
      <w:r w:rsidRPr="00D77AAD">
        <w:rPr>
          <w:rFonts w:ascii="Times New Roman" w:hAnsi="Times New Roman" w:cs="Times New Roman"/>
          <w:b/>
          <w:color w:val="000000" w:themeColor="text1"/>
        </w:rPr>
        <w:t xml:space="preserve"> </w:t>
      </w:r>
      <w:r w:rsidRPr="00D77AAD">
        <w:rPr>
          <w:rFonts w:ascii="Times New Roman" w:hAnsi="Times New Roman" w:cs="Times New Roman"/>
          <w:b/>
          <w:strike/>
          <w:color w:val="000000" w:themeColor="text1"/>
        </w:rPr>
        <w:t>p</w:t>
      </w:r>
      <w:r w:rsidR="00E06FE4" w:rsidRPr="00D77AAD">
        <w:rPr>
          <w:rFonts w:ascii="Times New Roman" w:hAnsi="Times New Roman" w:cs="Times New Roman"/>
          <w:b/>
          <w:color w:val="000000" w:themeColor="text1"/>
        </w:rPr>
        <w:t>P</w:t>
      </w:r>
      <w:r w:rsidRPr="00D77AAD">
        <w:rPr>
          <w:rFonts w:ascii="Times New Roman" w:hAnsi="Times New Roman" w:cs="Times New Roman"/>
          <w:bCs/>
          <w:color w:val="000000" w:themeColor="text1"/>
        </w:rPr>
        <w:t xml:space="preserve">er i profili non disciplinati si applica il decreto legislativo </w:t>
      </w:r>
      <w:r w:rsidRPr="00D77AAD">
        <w:rPr>
          <w:rFonts w:ascii="Times New Roman" w:hAnsi="Times New Roman" w:cs="Times New Roman"/>
          <w:b/>
          <w:strike/>
          <w:color w:val="000000" w:themeColor="text1"/>
        </w:rPr>
        <w:t>attuativo dell’articolo 8 della legge 5 agosto 2022, 118, recante il testo</w:t>
      </w:r>
      <w:r w:rsidRPr="004A5029">
        <w:rPr>
          <w:rFonts w:ascii="Times New Roman" w:hAnsi="Times New Roman" w:cs="Times New Roman"/>
          <w:b/>
          <w:strike/>
          <w:color w:val="000000" w:themeColor="text1"/>
        </w:rPr>
        <w:t xml:space="preserve"> unico in materia di servizi pubblici locali</w:t>
      </w:r>
      <w:r w:rsidR="00091A99" w:rsidRPr="004A5029">
        <w:rPr>
          <w:rFonts w:ascii="Times New Roman" w:hAnsi="Times New Roman" w:cs="Times New Roman"/>
          <w:b/>
          <w:color w:val="000000" w:themeColor="text1"/>
        </w:rPr>
        <w:t xml:space="preserve"> 23 dicembre 2022, n. 201</w:t>
      </w:r>
      <w:r w:rsidRPr="004A5029">
        <w:rPr>
          <w:rFonts w:ascii="Times New Roman" w:hAnsi="Times New Roman" w:cs="Times New Roman"/>
          <w:bCs/>
          <w:color w:val="000000" w:themeColor="text1"/>
        </w:rPr>
        <w:t>, nonché le altre norme speciali di settore.</w:t>
      </w:r>
    </w:p>
    <w:p w14:paraId="25AF7EAE" w14:textId="77777777" w:rsidR="0083753D" w:rsidRPr="004A5029" w:rsidRDefault="0083753D" w:rsidP="0083753D">
      <w:pPr>
        <w:jc w:val="both"/>
        <w:rPr>
          <w:rFonts w:ascii="Times New Roman" w:hAnsi="Times New Roman" w:cs="Times New Roman"/>
          <w:color w:val="000000" w:themeColor="text1"/>
        </w:rPr>
      </w:pPr>
    </w:p>
    <w:p w14:paraId="13F0C375"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177.</w:t>
      </w:r>
    </w:p>
    <w:p w14:paraId="74ABD465"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Contratto di concessione e traslazione del rischio operativo.</w:t>
      </w:r>
    </w:p>
    <w:p w14:paraId="1F18B12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L’aggiudicazione di una concessione comporta il trasferimento al concessionario di un rischio operativo legato alla realizzazione dei lavori o alla gestione dei servizi e comprende un rischio dal lato della domanda o dal lato dell’offerta o da entrambi. Per rischio dal lato della domanda si intende il rischio associato alla domanda effettiva di lavori o servizi che sono oggetto del contratto. Per rischio dal lato dell’offerta si intende il rischio associato all’offerta dei lavori o servizi che sono oggetto del contratto, in particolare il rischio che la fornitura di servizi non corrisponda al livello qualitativo e quantitativo dedotto in contratto.</w:t>
      </w:r>
    </w:p>
    <w:p w14:paraId="3FFE607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2. Si considera che il concessionario abbia assunto il </w:t>
      </w:r>
      <w:r w:rsidRPr="004A5029">
        <w:rPr>
          <w:rFonts w:ascii="Times New Roman" w:hAnsi="Times New Roman" w:cs="Times New Roman"/>
          <w:color w:val="000000" w:themeColor="text1"/>
        </w:rPr>
        <w:t>rischio operativo</w:t>
      </w:r>
      <w:r w:rsidRPr="004A5029">
        <w:rPr>
          <w:rFonts w:ascii="Times New Roman" w:hAnsi="Times New Roman" w:cs="Times New Roman"/>
          <w:bCs/>
          <w:color w:val="000000" w:themeColor="text1"/>
        </w:rPr>
        <w:t xml:space="preserve"> quando</w:t>
      </w:r>
      <w:r w:rsidRPr="004A5029">
        <w:rPr>
          <w:rFonts w:ascii="Times New Roman" w:hAnsi="Times New Roman" w:cs="Times New Roman"/>
          <w:color w:val="000000" w:themeColor="text1"/>
        </w:rPr>
        <w:t xml:space="preserve">, in condizioni operative normali, </w:t>
      </w:r>
      <w:r w:rsidRPr="004A5029">
        <w:rPr>
          <w:rFonts w:ascii="Times New Roman" w:hAnsi="Times New Roman" w:cs="Times New Roman"/>
          <w:bCs/>
          <w:color w:val="000000" w:themeColor="text1"/>
        </w:rPr>
        <w:t>non sia garantito il recupero degli investimenti effettuati o dei costi sostenuti per la gestione dei lavori o dei servizi oggetto della concessione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La parte del rischio trasferita al concessionario deve comportare una effettiva esposizione alle fluttuazioni del mercato tale per cui ogni potenziale perdita stimata subita dal concessionario non sia puramente nominale o trascurabile.</w:t>
      </w:r>
      <w:r w:rsidRPr="004A5029">
        <w:rPr>
          <w:rFonts w:ascii="Times New Roman" w:hAnsi="Times New Roman" w:cs="Times New Roman"/>
          <w:color w:val="000000" w:themeColor="text1"/>
        </w:rPr>
        <w:t xml:space="preserve"> </w:t>
      </w:r>
      <w:r w:rsidRPr="004A5029">
        <w:rPr>
          <w:rFonts w:ascii="Times New Roman" w:hAnsi="Times New Roman" w:cs="Times New Roman"/>
          <w:bCs/>
          <w:color w:val="000000" w:themeColor="text1"/>
        </w:rPr>
        <w:t>Ai fini della valutazione del rischio operativo deve essere preso in considerazione il</w:t>
      </w:r>
      <w:r w:rsidRPr="004A5029">
        <w:rPr>
          <w:rFonts w:ascii="Times New Roman" w:hAnsi="Times New Roman" w:cs="Times New Roman"/>
          <w:color w:val="000000" w:themeColor="text1"/>
        </w:rPr>
        <w:t xml:space="preserve"> valore attuale netto dell’insieme degli investimenti, dei costi e dei ricavi del concessionario.</w:t>
      </w:r>
    </w:p>
    <w:p w14:paraId="505F9FBA" w14:textId="4B5EFEDB" w:rsidR="0083753D" w:rsidRPr="004A5029" w:rsidRDefault="00AB592B" w:rsidP="0083753D">
      <w:pPr>
        <w:jc w:val="both"/>
        <w:rPr>
          <w:rFonts w:ascii="Times New Roman" w:hAnsi="Times New Roman" w:cs="Times New Roman"/>
          <w:color w:val="000000" w:themeColor="text1"/>
        </w:rPr>
      </w:pPr>
      <w:bookmarkStart w:id="51" w:name="_Hlk123721403"/>
      <w:r w:rsidRPr="004A5029">
        <w:rPr>
          <w:rFonts w:ascii="Times New Roman" w:hAnsi="Times New Roman" w:cs="Times New Roman"/>
          <w:color w:val="000000" w:themeColor="text1"/>
        </w:rPr>
        <w:t>3. Il rischio operativo, rilevante ai fini della qualificazione dell’operazione economica come concessione, è quello che deriva da fattori eccezionali non prevedibili e non imputabili alle parti. Non rilevano rischi connessi a cattiva gestione, a inadempimenti contrattuali dell’operatore economico o a cause di forza maggiore.</w:t>
      </w:r>
    </w:p>
    <w:bookmarkEnd w:id="51"/>
    <w:p w14:paraId="422A85E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I contratti remunerati dall’ente concedente senza alcun corrispettivo in denaro a titolo di prezzo si configurano come concessioni se il recupero degli investimenti effettuati e dei costi sostenuti dall’operatore dipende esclusivamente dalla domanda del servizio o del bene, oppure dalla loro fornitura. Nelle operazioni economiche comprendenti un rischio soltanto sul lato dell’offerta il contratto prevede che il corrispettivo venga erogato solo a fronte della disponibilità dell’opera, nonché un sistema di penali che riduca proporzionalmente o annulli il corrispettivo dovuto all’operatore economico nei periodi di ridotta o mancata disponibilità dell’opera, di ridotta o mancata prestazione dei servizi, oppure in caso di mancato raggiungimento dei livelli qualitativi e quantitativi della prestazione assunta dal concessionario. Le variazioni del corrispettivo devono, in ogni caso, essere in grado di incidere significativamente sul valore attuale netto dell’insieme dell’investimento, dei costi e dei ricavi.</w:t>
      </w:r>
    </w:p>
    <w:p w14:paraId="493E794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L’assetto di interessi dedotto nel contratto di concessione deve garantire la conservazione dell’equilibrio economico-finanziario, intendendosi per tale la contemporanea presenza delle condizioni di convenienza economica e sostenibilità finanziaria. L’equilibrio economico-finanziario sussiste quando i ricavi attesi del progetto sono in grado di coprire i costi operativi e i costi di investimento, di remunerare e rimborsare il capitale di debito e di remunerare il capitale di rischio.</w:t>
      </w:r>
    </w:p>
    <w:p w14:paraId="6A96F40F" w14:textId="608808E1"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Se l’operazione economica non può da sola conseguire l’equilibrio economico-finanziario</w:t>
      </w:r>
      <w:r w:rsidR="001C2F58" w:rsidRPr="004A5029">
        <w:rPr>
          <w:rFonts w:ascii="Times New Roman" w:hAnsi="Times New Roman" w:cs="Times New Roman"/>
          <w:b/>
          <w:color w:val="000000" w:themeColor="text1"/>
        </w:rPr>
        <w:t>,</w:t>
      </w:r>
      <w:r w:rsidRPr="004A5029">
        <w:rPr>
          <w:rFonts w:ascii="Times New Roman" w:hAnsi="Times New Roman" w:cs="Times New Roman"/>
          <w:bCs/>
          <w:color w:val="000000" w:themeColor="text1"/>
        </w:rPr>
        <w:t xml:space="preserve"> è ammesso un intervento pubblico di sostegno. L’intervento pubblico può consistere in un contributo finanziario, nella prestazione di garanzie o nella cessione in proprietà di beni immobili o di altri diritti. Non si applicano le disposizioni sulla concessione, ma quelle sugli appalti, se l’ente concedente attraverso clausole contrattuali o altri atti di regolazione settoriale sollevi l’operatore economico da qualsiasi perdita potenziale, garantendogli un ricavo minimo pari o superiore agli investimenti effettuati e ai costi che l’operatore economico deve sostenere in relazione all’esecuzione del contratto. La previsione di un indennizzo in caso di cessazione anticipata della concessione per motivi imputabili all’ente concedente, oppure per cause di forza maggiore, non esclude che il contratto si configuri come concessione.</w:t>
      </w:r>
    </w:p>
    <w:p w14:paraId="23CD454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Ai soli fini di contabilità pubblica si applicano i contenuti delle decisioni Eurostat. In ogni caso, l’eventuale riconoscimento di un contributo pubblico, in misura superiore alla percentuale indicata nelle decisioni Eurostat e calcolato secondo le modalità ivi previste, non ne consente la contabilizzazione fuori bilancio.</w:t>
      </w:r>
    </w:p>
    <w:p w14:paraId="2633CEB9" w14:textId="77777777" w:rsidR="0083753D" w:rsidRPr="004A5029" w:rsidRDefault="0083753D" w:rsidP="0083753D">
      <w:pPr>
        <w:jc w:val="both"/>
        <w:rPr>
          <w:rFonts w:ascii="Times New Roman" w:hAnsi="Times New Roman" w:cs="Times New Roman"/>
          <w:color w:val="000000" w:themeColor="text1"/>
        </w:rPr>
      </w:pPr>
    </w:p>
    <w:p w14:paraId="451DE316"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178.</w:t>
      </w:r>
    </w:p>
    <w:p w14:paraId="11C1C5E2"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Durata della concessione.</w:t>
      </w:r>
    </w:p>
    <w:p w14:paraId="6E6CB2B6" w14:textId="77777777"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1. La durata delle concessioni è limitata ed è determinata dall’ente concedente in funzione dei lavori o servizi richiesti al concessionario.</w:t>
      </w:r>
    </w:p>
    <w:p w14:paraId="4C4B5402" w14:textId="7F2FCCE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Per le concessioni ultraquinquennali, la durata massima della concessione non supera il periodo di tempo in cui si può ragionevolmente prevedere che il concessionario recuperi gli investimenti effettuati nell’esecuzione dei lavori o dei servizi, insieme con un ritorno sul capitale investito, tenuto conto degli investimenti necessari per conseguire gli obiettivi contrattuali specifici assunti dal concessionario per rispondere alle esigenze riguardanti, ad esempio, la qualità o il prezzo per gli utenti ovvero il perseguimento di elevati </w:t>
      </w:r>
      <w:r w:rsidRPr="004A5029">
        <w:rPr>
          <w:rFonts w:ascii="Times New Roman" w:hAnsi="Times New Roman" w:cs="Times New Roman"/>
          <w:i/>
          <w:color w:val="000000" w:themeColor="text1"/>
        </w:rPr>
        <w:t>standard</w:t>
      </w:r>
      <w:r w:rsidRPr="004A5029">
        <w:rPr>
          <w:rFonts w:ascii="Times New Roman" w:hAnsi="Times New Roman" w:cs="Times New Roman"/>
          <w:color w:val="000000" w:themeColor="text1"/>
        </w:rPr>
        <w:t xml:space="preserve"> di sostenibilità ambientale.</w:t>
      </w:r>
    </w:p>
    <w:p w14:paraId="53FC968C" w14:textId="77777777" w:rsidR="0083753D" w:rsidRPr="004A5029" w:rsidRDefault="0083753D" w:rsidP="0083753D">
      <w:pPr>
        <w:jc w:val="both"/>
        <w:rPr>
          <w:rFonts w:ascii="Times New Roman" w:hAnsi="Times New Roman" w:cs="Times New Roman"/>
          <w:i/>
          <w:color w:val="000000" w:themeColor="text1"/>
          <w:shd w:val="clear" w:color="auto" w:fill="FFFFFF"/>
        </w:rPr>
      </w:pPr>
      <w:r w:rsidRPr="004A5029">
        <w:rPr>
          <w:rFonts w:ascii="Times New Roman" w:hAnsi="Times New Roman" w:cs="Times New Roman"/>
          <w:color w:val="000000" w:themeColor="text1"/>
        </w:rPr>
        <w:t>3. Gli investimenti presi in considerazione ai fini del calcolo comprendono sia quelli iniziali sia quelli in corso di concessione.</w:t>
      </w:r>
    </w:p>
    <w:p w14:paraId="0562BCA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La durata massima della concessione deve essere indicata nei documenti di gara, a meno che essa non sia utilizzata come criterio di aggiudicazione del contratto.</w:t>
      </w:r>
    </w:p>
    <w:p w14:paraId="403969AC" w14:textId="71F7A773"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5. La durata dei contratti di concessione non è prorogabile, salvo per la revisione di cui all’articolo 192</w:t>
      </w:r>
      <w:bookmarkStart w:id="52" w:name="_Hlk123337942"/>
      <w:r w:rsidR="0040262B" w:rsidRPr="004A5029">
        <w:rPr>
          <w:rFonts w:ascii="Times New Roman" w:hAnsi="Times New Roman" w:cs="Times New Roman"/>
          <w:color w:val="000000" w:themeColor="text1"/>
        </w:rPr>
        <w:t>, comma 1</w:t>
      </w:r>
      <w:bookmarkEnd w:id="52"/>
      <w:r w:rsidRPr="004A5029">
        <w:rPr>
          <w:rFonts w:ascii="Times New Roman" w:hAnsi="Times New Roman" w:cs="Times New Roman"/>
          <w:color w:val="000000" w:themeColor="text1"/>
        </w:rPr>
        <w:t>. I contratti aggiudicati senza gara di cui all’articolo 186, comma 2, non sono in nessun caso prorogabili.</w:t>
      </w:r>
      <w:r w:rsidR="009919F2" w:rsidRPr="004A5029">
        <w:rPr>
          <w:rFonts w:ascii="Times New Roman" w:hAnsi="Times New Roman" w:cs="Times New Roman"/>
          <w:color w:val="000000" w:themeColor="text1"/>
        </w:rPr>
        <w:t xml:space="preserve"> Al termine della concessione, per il tempo strettamente necessario all’espletamento delle procedure di selezione del concessionario, la gestione delle tratte autostradali è affidata al Ministero delle infrastrutture e dei trasporti che, in relazione alla specificità della tratta autostradale, per garantire adeguati standard di sicurezza e viabilità, valuta il modello più idoneo della gestione transitoria </w:t>
      </w:r>
      <w:r w:rsidR="00396B7B" w:rsidRPr="004A5029">
        <w:rPr>
          <w:rFonts w:ascii="Times New Roman" w:hAnsi="Times New Roman" w:cs="Times New Roman"/>
          <w:color w:val="000000" w:themeColor="text1"/>
        </w:rPr>
        <w:t>anche in relazione alle condizioni economiche</w:t>
      </w:r>
      <w:r w:rsidR="009919F2" w:rsidRPr="004A5029">
        <w:rPr>
          <w:rFonts w:ascii="Times New Roman" w:hAnsi="Times New Roman" w:cs="Times New Roman"/>
          <w:color w:val="000000" w:themeColor="text1"/>
        </w:rPr>
        <w:t>.</w:t>
      </w:r>
    </w:p>
    <w:p w14:paraId="4B1D477B" w14:textId="77777777" w:rsidR="0083753D" w:rsidRPr="004A5029" w:rsidRDefault="0083753D" w:rsidP="0083753D">
      <w:pPr>
        <w:jc w:val="both"/>
        <w:rPr>
          <w:rFonts w:ascii="Times New Roman" w:hAnsi="Times New Roman" w:cs="Times New Roman"/>
          <w:color w:val="000000" w:themeColor="text1"/>
        </w:rPr>
      </w:pPr>
    </w:p>
    <w:p w14:paraId="1B323F53"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179.</w:t>
      </w:r>
    </w:p>
    <w:p w14:paraId="41DE17D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Soglia e metodi di calcolo del valore stimato delle concessioni</w:t>
      </w:r>
      <w:r w:rsidRPr="004A5029">
        <w:rPr>
          <w:rFonts w:ascii="Times New Roman" w:hAnsi="Times New Roman" w:cs="Times New Roman"/>
          <w:b/>
          <w:color w:val="000000" w:themeColor="text1"/>
        </w:rPr>
        <w:t>.</w:t>
      </w:r>
    </w:p>
    <w:p w14:paraId="6122C3D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Il valore di una concessione è costituito dal fatturato totale del concessionario generato per tutta la durata del contratto, al netto dell’IVA, stimato dall’ente concedente, quale corrispettivo dei lavori e dei servizi oggetto della concessione, nonché per le forniture accessorie a tali lavori e servizi.</w:t>
      </w:r>
    </w:p>
    <w:p w14:paraId="1224C18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Il valore è stimato al momento dell’invio del bando di concessione o, nei casi in cui non sia previsto detto bando, al momento in cui l’ente concedente avvia la procedura di aggiudicazione della concessione. Se il valore della concessione al momento dell’aggiudicazione è superiore al valore stimato di oltre il 20 per cento, si considera il valore della concessione al momento dell’aggiudicazione.</w:t>
      </w:r>
    </w:p>
    <w:p w14:paraId="1365AEF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valore stimato della concessione è calcolato secondo un metodo oggettivo specificato nei documenti di gara della concessione. Gli enti concedenti tengono conto, se del caso, anche dei seguenti elementi:</w:t>
      </w:r>
    </w:p>
    <w:p w14:paraId="5FF7DB16" w14:textId="15C9F7C9"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il valore di eventuali clausole di opzione;</w:t>
      </w:r>
    </w:p>
    <w:p w14:paraId="1C0EFDF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gli introiti derivanti dal pagamento, da parte degli utenti dei lavori e dei servizi, di tariffe e multe diverse da quelle riscosse per conto dell’ente concedente;</w:t>
      </w:r>
    </w:p>
    <w:p w14:paraId="4DACE05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i pagamenti o qualsiasi vantaggio finanziario conferito al concessionario in qualsivoglia forma dall’ente concedente o da altre amministrazioni pubbliche, incluse le compensazioni per l’assolvimento di un obbligo di servizio pubblico e le sovvenzioni pubbliche di investimento;</w:t>
      </w:r>
    </w:p>
    <w:p w14:paraId="056C147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il valore delle sovvenzioni o di qualsiasi altro vantaggio finanziario in qualsivoglia forma conferiti da terzi per l’esecuzione della concessione;</w:t>
      </w:r>
    </w:p>
    <w:p w14:paraId="7B6F42F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e) le entrate derivanti dalla vendita di elementi dell’attivo facenti parte della concessione;</w:t>
      </w:r>
    </w:p>
    <w:p w14:paraId="70B1F7B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f) il valore dell’insieme delle forniture e dei servizi messi a disposizione del concessionario dagli enti concedenti, purché siano necessari per l’esecuzione dei lavori o la prestazione dei servizi;</w:t>
      </w:r>
    </w:p>
    <w:p w14:paraId="20D5D15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g) ogni premio o pagamento ai candidati o agli offerenti.</w:t>
      </w:r>
    </w:p>
    <w:p w14:paraId="0DDAFD1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La scelta del metodo per il calcolo del valore stimato della concessione non può essere effettuata con l’intenzione di escludere tale concessione dall’ambito di applicazione del codice. Una concessione non può essere frazionata allo scopo di evitare che rientri nell’ambito di applicazione del codice, a meno che ragioni oggettive lo giustifichino.</w:t>
      </w:r>
    </w:p>
    <w:p w14:paraId="11B70B45" w14:textId="77777777"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5. Quando un’opera o un servizio proposti possono dar luogo all’aggiudicazione di una concessione per lotti distinti è computato il valore complessivo stimato dei lotti.</w:t>
      </w:r>
    </w:p>
    <w:p w14:paraId="31A4C12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Quando il valore complessivo dei lotti è pari o superiore alla soglia di cui all’articolo 14 la presente </w:t>
      </w:r>
      <w:r w:rsidRPr="004A5029">
        <w:rPr>
          <w:rFonts w:ascii="Times New Roman" w:hAnsi="Times New Roman" w:cs="Times New Roman"/>
          <w:bCs/>
          <w:color w:val="000000" w:themeColor="text1"/>
        </w:rPr>
        <w:t>Parte</w:t>
      </w:r>
      <w:r w:rsidRPr="004A5029">
        <w:rPr>
          <w:rFonts w:ascii="Times New Roman" w:hAnsi="Times New Roman" w:cs="Times New Roman"/>
          <w:color w:val="000000" w:themeColor="text1"/>
        </w:rPr>
        <w:t xml:space="preserve"> si applica all’aggiudicazione di ciascun lotto.</w:t>
      </w:r>
    </w:p>
    <w:p w14:paraId="65BE1F1D" w14:textId="77777777" w:rsidR="0083753D" w:rsidRPr="004A5029" w:rsidRDefault="0083753D" w:rsidP="0083753D">
      <w:pPr>
        <w:jc w:val="both"/>
        <w:rPr>
          <w:rFonts w:ascii="Times New Roman" w:hAnsi="Times New Roman" w:cs="Times New Roman"/>
          <w:color w:val="000000" w:themeColor="text1"/>
        </w:rPr>
      </w:pPr>
    </w:p>
    <w:p w14:paraId="489CA194"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180.</w:t>
      </w:r>
    </w:p>
    <w:p w14:paraId="0A7D2EB2"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Contratti misti di concessione.</w:t>
      </w:r>
    </w:p>
    <w:p w14:paraId="15CB2B6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Le concessioni aventi per oggetto sia lavori che servizi sono aggiudicate </w:t>
      </w:r>
      <w:r w:rsidRPr="004A5029">
        <w:rPr>
          <w:rFonts w:ascii="Times New Roman" w:hAnsi="Times New Roman" w:cs="Times New Roman"/>
          <w:bCs/>
          <w:color w:val="000000" w:themeColor="text1"/>
        </w:rPr>
        <w:t>in conformità alle</w:t>
      </w:r>
      <w:r w:rsidRPr="004A5029">
        <w:rPr>
          <w:rFonts w:ascii="Times New Roman" w:hAnsi="Times New Roman" w:cs="Times New Roman"/>
          <w:color w:val="000000" w:themeColor="text1"/>
        </w:rPr>
        <w:t xml:space="preserve"> disposizioni applicabili </w:t>
      </w:r>
      <w:r w:rsidRPr="004A5029">
        <w:rPr>
          <w:rFonts w:ascii="Times New Roman" w:hAnsi="Times New Roman" w:cs="Times New Roman"/>
          <w:bCs/>
          <w:color w:val="000000" w:themeColor="text1"/>
        </w:rPr>
        <w:t>alla prestazione</w:t>
      </w:r>
      <w:r w:rsidRPr="004A5029">
        <w:rPr>
          <w:rFonts w:ascii="Times New Roman" w:hAnsi="Times New Roman" w:cs="Times New Roman"/>
          <w:color w:val="000000" w:themeColor="text1"/>
        </w:rPr>
        <w:t xml:space="preserve"> che caratterizza l’oggetto principale </w:t>
      </w:r>
      <w:r w:rsidRPr="004A5029">
        <w:rPr>
          <w:rFonts w:ascii="Times New Roman" w:hAnsi="Times New Roman" w:cs="Times New Roman"/>
          <w:bCs/>
          <w:color w:val="000000" w:themeColor="text1"/>
        </w:rPr>
        <w:t>delle concessioni stesse</w:t>
      </w:r>
      <w:r w:rsidRPr="004A5029">
        <w:rPr>
          <w:rFonts w:ascii="Times New Roman" w:hAnsi="Times New Roman" w:cs="Times New Roman"/>
          <w:color w:val="000000" w:themeColor="text1"/>
        </w:rPr>
        <w:t>.</w:t>
      </w:r>
    </w:p>
    <w:p w14:paraId="2AF4BE3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Nel caso di concessioni miste che consistono in parte in servizi sociali e altri servizi </w:t>
      </w:r>
      <w:r w:rsidRPr="004A5029">
        <w:rPr>
          <w:rFonts w:ascii="Times New Roman" w:hAnsi="Times New Roman" w:cs="Times New Roman"/>
          <w:bCs/>
          <w:color w:val="000000" w:themeColor="text1"/>
        </w:rPr>
        <w:t>specifici elencati all’allegato IV alla direttiva 2014/23/UE del Parlamento europeo e del Consiglio del 26 febbraio 2014, l’oggetto principale è determinato in base al valore</w:t>
      </w:r>
      <w:r w:rsidRPr="004A5029">
        <w:rPr>
          <w:rFonts w:ascii="Times New Roman" w:hAnsi="Times New Roman" w:cs="Times New Roman"/>
          <w:color w:val="000000" w:themeColor="text1"/>
        </w:rPr>
        <w:t xml:space="preserve"> stimato più elevato tra quelli dei rispettivi servizi.</w:t>
      </w:r>
    </w:p>
    <w:p w14:paraId="6DC4609D"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I contratti misti che contengono elementi della concessione ed elementi dell’appalto pubblico sono aggiudicati in conformità alla disciplina degli appalti.</w:t>
      </w:r>
    </w:p>
    <w:p w14:paraId="5117C392" w14:textId="49BC04BD" w:rsidR="0083753D" w:rsidRPr="004A5029" w:rsidRDefault="0083753D" w:rsidP="0083753D">
      <w:pPr>
        <w:jc w:val="both"/>
        <w:rPr>
          <w:rFonts w:ascii="Times New Roman" w:hAnsi="Times New Roman" w:cs="Times New Roman"/>
          <w:iCs/>
          <w:color w:val="000000" w:themeColor="text1"/>
          <w:shd w:val="clear" w:color="auto" w:fill="FFFFFF"/>
        </w:rPr>
      </w:pPr>
      <w:r w:rsidRPr="004A5029">
        <w:rPr>
          <w:rFonts w:ascii="Times New Roman" w:hAnsi="Times New Roman" w:cs="Times New Roman"/>
          <w:color w:val="000000" w:themeColor="text1"/>
        </w:rPr>
        <w:t>4. Se le diverse parti di un determinato contratto sono oggettivamente non separabili</w:t>
      </w:r>
      <w:r w:rsidR="003E2AAD"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il regime giuridico applicabile è determinato in base all’oggetto principale del contratto in questione. Nel caso in cui tali contratti contengano elementi sia di una concessione di servizi sia di un contratto di forniture</w:t>
      </w:r>
      <w:r w:rsidR="003E2AAD"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l’oggetto principale è determinato in base al valore stimato più elevato tra quelli dei rispettivi servizi o forniture.</w:t>
      </w:r>
    </w:p>
    <w:p w14:paraId="284B1784"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I contratti misti che contengono elementi delle concessioni di lavori e servizi, nonché elementi delle concessioni di terreni, fabbricati esistenti o altri beni immobili o riguardanti diritti su tali beni, sono aggiudicati in conformità alla disciplina della presente Parte.</w:t>
      </w:r>
    </w:p>
    <w:p w14:paraId="6AFAB436" w14:textId="77777777" w:rsidR="0083753D" w:rsidRPr="004A5029" w:rsidRDefault="0083753D" w:rsidP="0083753D">
      <w:pPr>
        <w:rPr>
          <w:rFonts w:ascii="Times New Roman" w:hAnsi="Times New Roman" w:cs="Times New Roman"/>
          <w:color w:val="000000" w:themeColor="text1"/>
        </w:rPr>
      </w:pPr>
    </w:p>
    <w:p w14:paraId="560A5CD5"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181.</w:t>
      </w:r>
    </w:p>
    <w:p w14:paraId="21B69F0F"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Contratti esclusi.</w:t>
      </w:r>
    </w:p>
    <w:p w14:paraId="6605C9B1"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I servizi non economici d’interesse generale non rientrano nell’ambito di applicazione della presente Parte.</w:t>
      </w:r>
    </w:p>
    <w:p w14:paraId="770BE607" w14:textId="0DDCC08E"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La presente Parte non si applica altresì alle concessioni di cui agli articoli 10, 11, 12, 13, 14, 16, 17 della </w:t>
      </w:r>
      <w:r w:rsidR="00C353A3" w:rsidRPr="004A5029">
        <w:rPr>
          <w:rFonts w:ascii="Times New Roman" w:hAnsi="Times New Roman" w:cs="Times New Roman"/>
          <w:bCs/>
          <w:color w:val="000000" w:themeColor="text1"/>
        </w:rPr>
        <w:t>d</w:t>
      </w:r>
      <w:r w:rsidRPr="004A5029">
        <w:rPr>
          <w:rFonts w:ascii="Times New Roman" w:hAnsi="Times New Roman" w:cs="Times New Roman"/>
          <w:bCs/>
          <w:color w:val="000000" w:themeColor="text1"/>
        </w:rPr>
        <w:t>irettiva 2014/23/UE del Parlamento europeo e del Consiglio, del 26 febbraio 2014.</w:t>
      </w:r>
    </w:p>
    <w:p w14:paraId="375B7225" w14:textId="309AA3D9" w:rsidR="0083753D" w:rsidRPr="004A5029" w:rsidRDefault="0083753D" w:rsidP="0083753D">
      <w:pPr>
        <w:jc w:val="both"/>
        <w:rPr>
          <w:rFonts w:ascii="Times New Roman" w:hAnsi="Times New Roman" w:cs="Times New Roman"/>
          <w:bCs/>
          <w:i/>
          <w:iCs/>
          <w:color w:val="000000" w:themeColor="text1"/>
          <w:shd w:val="clear" w:color="auto" w:fill="FFFFFF"/>
        </w:rPr>
      </w:pPr>
      <w:r w:rsidRPr="004A5029">
        <w:rPr>
          <w:rFonts w:ascii="Times New Roman" w:hAnsi="Times New Roman" w:cs="Times New Roman"/>
          <w:bCs/>
          <w:color w:val="000000" w:themeColor="text1"/>
        </w:rPr>
        <w:t>3. All’affidamento dei contratti di concessione esclusi dall’ambito di applicazione della presente Parte si applicano i principi dettati dal Titolo I della Parte I</w:t>
      </w:r>
      <w:r w:rsidR="00196A1A" w:rsidRPr="004A5029">
        <w:rPr>
          <w:rFonts w:ascii="Times New Roman" w:hAnsi="Times New Roman" w:cs="Times New Roman"/>
          <w:bCs/>
          <w:color w:val="000000" w:themeColor="text1"/>
        </w:rPr>
        <w:t xml:space="preserve"> </w:t>
      </w:r>
      <w:bookmarkStart w:id="53" w:name="_Hlk127458122"/>
      <w:r w:rsidR="00196A1A" w:rsidRPr="004A5029">
        <w:rPr>
          <w:rFonts w:ascii="Times New Roman" w:hAnsi="Times New Roman" w:cs="Times New Roman"/>
          <w:b/>
          <w:bCs/>
          <w:color w:val="000000" w:themeColor="text1"/>
        </w:rPr>
        <w:t>del Libro I</w:t>
      </w:r>
      <w:bookmarkEnd w:id="53"/>
      <w:r w:rsidRPr="004A5029">
        <w:rPr>
          <w:rFonts w:ascii="Times New Roman" w:hAnsi="Times New Roman" w:cs="Times New Roman"/>
          <w:b/>
          <w:bCs/>
          <w:color w:val="000000" w:themeColor="text1"/>
        </w:rPr>
        <w:t>.</w:t>
      </w:r>
      <w:r w:rsidRPr="004A5029">
        <w:rPr>
          <w:rFonts w:ascii="Times New Roman" w:hAnsi="Times New Roman" w:cs="Times New Roman"/>
          <w:bCs/>
          <w:color w:val="000000" w:themeColor="text1"/>
        </w:rPr>
        <w:t xml:space="preserve"> </w:t>
      </w:r>
    </w:p>
    <w:p w14:paraId="042C5D41" w14:textId="77777777" w:rsidR="0083753D" w:rsidRPr="004A5029" w:rsidRDefault="0083753D" w:rsidP="0083753D">
      <w:pPr>
        <w:jc w:val="center"/>
        <w:rPr>
          <w:rFonts w:ascii="Times New Roman" w:hAnsi="Times New Roman" w:cs="Times New Roman"/>
          <w:b/>
          <w:bCs/>
          <w:color w:val="000000" w:themeColor="text1"/>
        </w:rPr>
      </w:pPr>
    </w:p>
    <w:p w14:paraId="6BE7D870" w14:textId="77777777" w:rsidR="00DC7D5C"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Titolo II </w:t>
      </w:r>
    </w:p>
    <w:p w14:paraId="65555FBB" w14:textId="0C386E30"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L’aggiudicazione delle concessioni: principi generali e garanzie procedurali</w:t>
      </w:r>
    </w:p>
    <w:p w14:paraId="4D2E12B8" w14:textId="77777777" w:rsidR="0083753D" w:rsidRPr="004A5029" w:rsidRDefault="0083753D" w:rsidP="0083753D">
      <w:pPr>
        <w:jc w:val="both"/>
        <w:rPr>
          <w:rFonts w:ascii="Times New Roman" w:hAnsi="Times New Roman" w:cs="Times New Roman"/>
          <w:color w:val="000000" w:themeColor="text1"/>
        </w:rPr>
      </w:pPr>
    </w:p>
    <w:p w14:paraId="4BC62814"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182.</w:t>
      </w:r>
    </w:p>
    <w:p w14:paraId="55B2DF3A"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Cs/>
          <w:i/>
          <w:color w:val="000000" w:themeColor="text1"/>
        </w:rPr>
        <w:t>Bando.</w:t>
      </w:r>
    </w:p>
    <w:p w14:paraId="62E1864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Gli enti concedenti che intendono aggiudicare una concessione rendono nota tale intenzione per mezzo di un bando di concessione.</w:t>
      </w:r>
    </w:p>
    <w:p w14:paraId="1EE4DC11" w14:textId="3352E64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Il bando di concessione contiene le informazioni indicate nell'allegato IV.1 e, ove opportuno, ogni altra informazione ritenuta utile dall’ente concedente, anche secondo il formato dei modelli uniformi predisposti dall’Autorità di regolazione del settore. In sede di prima applicazione del codice, l’allegato </w:t>
      </w:r>
      <w:r w:rsidR="001E712C" w:rsidRPr="004A5029">
        <w:rPr>
          <w:rFonts w:ascii="Times New Roman" w:hAnsi="Times New Roman" w:cs="Times New Roman"/>
          <w:b/>
          <w:bCs/>
          <w:color w:val="000000" w:themeColor="text1"/>
        </w:rPr>
        <w:t>IV.1</w:t>
      </w:r>
      <w:r w:rsidR="001E712C"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è abrogato a decorrere dalla data di entrata in vigore di un corrispondente regolamento </w:t>
      </w:r>
      <w:r w:rsidR="00364325" w:rsidRPr="004A5029">
        <w:rPr>
          <w:rFonts w:ascii="Times New Roman" w:hAnsi="Times New Roman" w:cs="Times New Roman"/>
          <w:bCs/>
          <w:color w:val="000000" w:themeColor="text1"/>
        </w:rPr>
        <w:t>adottato</w:t>
      </w:r>
      <w:r w:rsidRPr="004A5029">
        <w:rPr>
          <w:rFonts w:ascii="Times New Roman" w:hAnsi="Times New Roman" w:cs="Times New Roman"/>
          <w:bCs/>
          <w:color w:val="000000" w:themeColor="text1"/>
        </w:rPr>
        <w:t xml:space="preserve"> ai sensi dell’articolo 17, comma 3, della legge 23 agosto 1988, n. 400, con decreto del Ministro delle infrastrutture e dei trasporti, che lo sostituisce integralmente anche in qualità di allegato al codice.</w:t>
      </w:r>
    </w:p>
    <w:p w14:paraId="375AEE60"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Gli enti concedenti:</w:t>
      </w:r>
    </w:p>
    <w:p w14:paraId="5AD4669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precisano nel contratto di concessione che i beni pubblici o a destinazione pubblica eventualmente assegnati al concessionario per la gestione del servizio non possono essere utilizzati per lo svolgimento di attività economiche che non siano espressamente oggetto della procedura di affidamento;</w:t>
      </w:r>
    </w:p>
    <w:p w14:paraId="6A1F6BD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possono prevedere che, per l’esecuzione di una quota dei servizi accessori affidati con la medesima procedura di gara, il concessionario si avvale di operatori economici terzi.</w:t>
      </w:r>
    </w:p>
    <w:p w14:paraId="33FBD69C"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4. Il bando indica i requisiti tecnici e funzionali che definiscono le caratteristiche richieste per i lavori o i servizi oggetto della concessione.</w:t>
      </w:r>
    </w:p>
    <w:p w14:paraId="007A5208" w14:textId="6C2F3DE7" w:rsidR="0083753D" w:rsidRPr="004A5029" w:rsidRDefault="0083753D" w:rsidP="004873AF">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I bandi e i relativi allegati, ivi compresi, a seconda dei casi, lo schema di contratto e il piano economico</w:t>
      </w:r>
      <w:r w:rsidR="004873AF" w:rsidRPr="004A5029">
        <w:rPr>
          <w:rFonts w:ascii="Times New Roman" w:hAnsi="Times New Roman" w:cs="Times New Roman"/>
          <w:bCs/>
          <w:color w:val="000000" w:themeColor="text1"/>
        </w:rPr>
        <w:t>-</w:t>
      </w:r>
      <w:r w:rsidRPr="004A5029">
        <w:rPr>
          <w:rFonts w:ascii="Times New Roman" w:hAnsi="Times New Roman" w:cs="Times New Roman"/>
          <w:bCs/>
          <w:color w:val="000000" w:themeColor="text1"/>
        </w:rPr>
        <w:t xml:space="preserve"> finanziario, sono definiti in modo da assicurare adeguati livelli di bancabilità, intendendosi per tali la reperibilità sul mercato finanziario di risorse proporzionate ai fabbisogni, la sostenibilità di tali fonti e la congrua redditività del capitale investito. I bandi possono anche richiedere che le offerte siano corredate da manifestazioni di interesse dell’istituto finanziatore</w:t>
      </w:r>
      <w:r w:rsidRPr="004A5029">
        <w:rPr>
          <w:rFonts w:ascii="Times New Roman" w:hAnsi="Times New Roman" w:cs="Times New Roman"/>
          <w:bCs/>
          <w:strike/>
          <w:color w:val="000000" w:themeColor="text1"/>
        </w:rPr>
        <w:t xml:space="preserve">. </w:t>
      </w:r>
      <w:r w:rsidRPr="004A5029">
        <w:rPr>
          <w:rFonts w:ascii="Times New Roman" w:hAnsi="Times New Roman" w:cs="Times New Roman"/>
          <w:b/>
          <w:strike/>
          <w:color w:val="000000" w:themeColor="text1"/>
        </w:rPr>
        <w:t>Tali avvisi contengono le informazioni di cui all’allegato VI alla direttiva 2014/23/CE del Parlamento europeo e del Consiglio, del 26 febbraio 2014</w:t>
      </w:r>
      <w:r w:rsidRPr="004A5029">
        <w:rPr>
          <w:rFonts w:ascii="Times New Roman" w:hAnsi="Times New Roman" w:cs="Times New Roman"/>
          <w:bCs/>
          <w:color w:val="000000" w:themeColor="text1"/>
        </w:rPr>
        <w:t>.</w:t>
      </w:r>
    </w:p>
    <w:p w14:paraId="627822F2" w14:textId="114A8BDB"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Cs/>
          <w:color w:val="000000" w:themeColor="text1"/>
        </w:rPr>
        <w:t>6. Gli enti concedenti che intendono aggiudicare una concessione per servizi sociali e altri servizi specifici elencati nell'allegato IV alla direttiva 2014/23/UE del Parlamento europeo e del Consiglio, del 26 febbraio 2014</w:t>
      </w:r>
      <w:r w:rsidR="00322F7F" w:rsidRPr="004A5029">
        <w:rPr>
          <w:rFonts w:ascii="Times New Roman" w:hAnsi="Times New Roman" w:cs="Times New Roman"/>
          <w:b/>
          <w:bCs/>
          <w:color w:val="000000" w:themeColor="text1"/>
        </w:rPr>
        <w:t>,</w:t>
      </w:r>
      <w:r w:rsidRPr="004A5029">
        <w:rPr>
          <w:rFonts w:ascii="Times New Roman" w:hAnsi="Times New Roman" w:cs="Times New Roman"/>
          <w:bCs/>
          <w:color w:val="000000" w:themeColor="text1"/>
        </w:rPr>
        <w:t xml:space="preserve"> rendono nota l’intenzione di aggiudicare la prevista concessione mediante la pubblicazione di un avviso di pre-informazione.</w:t>
      </w:r>
      <w:r w:rsidR="00091A99" w:rsidRPr="004A5029">
        <w:rPr>
          <w:rFonts w:ascii="Times New Roman" w:hAnsi="Times New Roman" w:cs="Times New Roman"/>
          <w:bCs/>
          <w:color w:val="000000" w:themeColor="text1"/>
        </w:rPr>
        <w:t xml:space="preserve"> </w:t>
      </w:r>
      <w:r w:rsidR="00091A99" w:rsidRPr="004A5029">
        <w:rPr>
          <w:rFonts w:ascii="Times New Roman" w:hAnsi="Times New Roman" w:cs="Times New Roman"/>
          <w:b/>
          <w:bCs/>
          <w:color w:val="000000" w:themeColor="text1"/>
        </w:rPr>
        <w:t>Tali avvisi contengono le informazioni di cui all’allegato VI alla direttiva 2014/23/</w:t>
      </w:r>
      <w:r w:rsidR="00243E95" w:rsidRPr="004A5029">
        <w:rPr>
          <w:rFonts w:ascii="Times New Roman" w:hAnsi="Times New Roman" w:cs="Times New Roman"/>
          <w:b/>
          <w:bCs/>
          <w:color w:val="000000" w:themeColor="text1"/>
        </w:rPr>
        <w:t>UE</w:t>
      </w:r>
      <w:r w:rsidR="00091A99" w:rsidRPr="004A5029">
        <w:rPr>
          <w:rFonts w:ascii="Times New Roman" w:hAnsi="Times New Roman" w:cs="Times New Roman"/>
          <w:b/>
          <w:bCs/>
          <w:color w:val="000000" w:themeColor="text1"/>
        </w:rPr>
        <w:t>.</w:t>
      </w:r>
    </w:p>
    <w:p w14:paraId="094744A8"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7. In deroga al comma 1, agli enti concedenti non è richiesto di pubblicare un bando di concessione quando i lavori o i servizi possono essere forniti soltanto da un determinato operatore economico per una delle seguenti ragioni:</w:t>
      </w:r>
    </w:p>
    <w:p w14:paraId="0C58C04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l'oggetto della concessione è la creazione o l'acquisizione di un'opera d'arte o di una rappresentazione artistica unica;</w:t>
      </w:r>
    </w:p>
    <w:p w14:paraId="3DD39E5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l’assenza di concorrenza per motivi tecnici;</w:t>
      </w:r>
    </w:p>
    <w:p w14:paraId="087A239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l’esistenza di un diritto esclusivo;</w:t>
      </w:r>
    </w:p>
    <w:p w14:paraId="2D4B2339" w14:textId="4D0EB22F"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color w:val="000000" w:themeColor="text1"/>
        </w:rPr>
        <w:t>d) la tutela dei diritti di proprietà intellettuale e di diritti esclusivi diversi da quelli definiti all'articolo 5, punto 10</w:t>
      </w:r>
      <w:r w:rsidR="003E2AAD"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 xml:space="preserve"> della direttiva 2014/23/UE</w:t>
      </w:r>
      <w:r w:rsidRPr="004A5029">
        <w:rPr>
          <w:rFonts w:ascii="Times New Roman" w:hAnsi="Times New Roman" w:cs="Times New Roman"/>
          <w:strike/>
          <w:color w:val="000000" w:themeColor="text1"/>
        </w:rPr>
        <w:t xml:space="preserve"> </w:t>
      </w:r>
      <w:r w:rsidRPr="004A5029">
        <w:rPr>
          <w:rFonts w:ascii="Times New Roman" w:hAnsi="Times New Roman" w:cs="Times New Roman"/>
          <w:b/>
          <w:bCs/>
          <w:strike/>
          <w:color w:val="000000" w:themeColor="text1"/>
        </w:rPr>
        <w:t>del Parlamento europeo e del Consiglio, del 26 febbraio 2014</w:t>
      </w:r>
      <w:r w:rsidRPr="004A5029">
        <w:rPr>
          <w:rFonts w:ascii="Times New Roman" w:hAnsi="Times New Roman" w:cs="Times New Roman"/>
          <w:b/>
          <w:bCs/>
          <w:color w:val="000000" w:themeColor="text1"/>
        </w:rPr>
        <w:t>.</w:t>
      </w:r>
    </w:p>
    <w:p w14:paraId="2C6CD93E"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8. Le eccezioni di cui al comma 7, lettere b), c) e d) si applicano unicamente qualora non esistano alternative ragionevoli e l'assenza di concorrenza non sia il risultato di una limitazione artificiosa dei parametri per l'aggiudicazione della concessione.</w:t>
      </w:r>
    </w:p>
    <w:p w14:paraId="0546E2E5"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9. All’ente concedente non è richiesto di pubblicare un nuovo bando di concessione qualora non sia stata presentata alcuna offerta o alcuna offerta appropriata o non sia stata depositata alcuna candidatura o alcuna candidatura appropriata in risposta a una precedente procedura di concessione, purché le condizioni iniziali del contratto di concessione non siano sostanzialmente modificate; in tal caso va presentata una relazione all’Autorità di regolazione del settore.</w:t>
      </w:r>
    </w:p>
    <w:p w14:paraId="207C7706"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10. Un'offerta è ritenuta non appropriata se non presenta alcuna pertinenza con la concessione ed è quindi manifestamente inadeguata, a meno di modifiche sostanziali, a rispondere alle esigenze e ai requisiti dell’ente concedente specificati nei documenti di gara.</w:t>
      </w:r>
    </w:p>
    <w:p w14:paraId="09314A9B" w14:textId="229E07A8"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11. I bandi, gli avvisi di pre-informazione e gli avvisi di aggiudicazione relativi alle concessioni di importo pari o superiore alle soglie di rilevanza europea sono redatti dagli enti concedenti e trasmessi all'ufficio delle pubblicazioni dell'Unione europea con le modalità previste dall’articolo 84. Gli avvisi di aggiudicazione delle concessioni contengono le informazioni di cui all’allegato VII alla </w:t>
      </w:r>
      <w:r w:rsidRPr="004A5029">
        <w:rPr>
          <w:rFonts w:ascii="Times New Roman" w:hAnsi="Times New Roman" w:cs="Times New Roman"/>
          <w:b/>
          <w:color w:val="000000" w:themeColor="text1"/>
        </w:rPr>
        <w:t xml:space="preserve">direttiva </w:t>
      </w:r>
      <w:r w:rsidRPr="004A5029">
        <w:rPr>
          <w:rFonts w:ascii="Times New Roman" w:hAnsi="Times New Roman" w:cs="Times New Roman"/>
          <w:b/>
          <w:strike/>
          <w:color w:val="000000" w:themeColor="text1"/>
        </w:rPr>
        <w:t>2014/23/CE</w:t>
      </w:r>
      <w:r w:rsidRPr="004A5029">
        <w:rPr>
          <w:rFonts w:ascii="Times New Roman" w:hAnsi="Times New Roman" w:cs="Times New Roman"/>
          <w:b/>
          <w:color w:val="000000" w:themeColor="text1"/>
        </w:rPr>
        <w:t xml:space="preserve"> </w:t>
      </w:r>
      <w:r w:rsidR="00243E95" w:rsidRPr="004A5029">
        <w:rPr>
          <w:rFonts w:ascii="Times New Roman" w:hAnsi="Times New Roman" w:cs="Times New Roman"/>
          <w:b/>
          <w:color w:val="000000" w:themeColor="text1"/>
        </w:rPr>
        <w:t xml:space="preserve">2014/23/UE </w:t>
      </w:r>
      <w:r w:rsidRPr="004A5029">
        <w:rPr>
          <w:rFonts w:ascii="Times New Roman" w:hAnsi="Times New Roman" w:cs="Times New Roman"/>
          <w:b/>
          <w:strike/>
          <w:color w:val="000000" w:themeColor="text1"/>
        </w:rPr>
        <w:t>del Parlamento europeo e del Consiglio, del 26 febbraio 2014</w:t>
      </w:r>
      <w:r w:rsidRPr="004A5029">
        <w:rPr>
          <w:rFonts w:ascii="Times New Roman" w:hAnsi="Times New Roman" w:cs="Times New Roman"/>
          <w:bCs/>
          <w:color w:val="000000" w:themeColor="text1"/>
        </w:rPr>
        <w:t xml:space="preserve"> o, in relazione alle concessioni di cui al comma 6 del presente articolo, le informazioni di cui all’allegato VIII alla stessa direttiva.</w:t>
      </w:r>
    </w:p>
    <w:p w14:paraId="77BFE977"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12. In ordine alla pubblicazione a livello nazionale di bandi, avvisi di pre-informazione e avvisi di aggiudicazione, si applica l’articolo 85.</w:t>
      </w:r>
    </w:p>
    <w:p w14:paraId="308F224F" w14:textId="77777777" w:rsidR="0083753D" w:rsidRPr="004A5029" w:rsidRDefault="0083753D" w:rsidP="0083753D">
      <w:pPr>
        <w:rPr>
          <w:rFonts w:ascii="Times New Roman" w:hAnsi="Times New Roman" w:cs="Times New Roman"/>
          <w:color w:val="000000" w:themeColor="text1"/>
        </w:rPr>
      </w:pPr>
    </w:p>
    <w:p w14:paraId="4383EF58"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183.</w:t>
      </w:r>
    </w:p>
    <w:p w14:paraId="77A48C7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i/>
          <w:color w:val="000000" w:themeColor="text1"/>
        </w:rPr>
        <w:t>Procedimento.</w:t>
      </w:r>
    </w:p>
    <w:p w14:paraId="22CF94B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concessioni sono aggiudicate sulla base dei criteri di aggiudicazione stabiliti dall’ente concedente purché siano soddisfatte tutte le seguenti condizioni:</w:t>
      </w:r>
    </w:p>
    <w:p w14:paraId="310C9E2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l’offerta risponde ai requisiti minimi eventualmente prescritti dall’ente concedente;</w:t>
      </w:r>
    </w:p>
    <w:p w14:paraId="1C32AE8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l’offerente ottempera alle condizioni di partecipazione relative alle capacità tecniche e professionali e alla capacità finanziaria ed economica richieste nel bando;</w:t>
      </w:r>
    </w:p>
    <w:p w14:paraId="446991D2"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c) l’offerente non è escluso dalla partecipazione alla procedura di aggiudicazione ai sensi degli articoli </w:t>
      </w:r>
      <w:r w:rsidRPr="004A5029">
        <w:rPr>
          <w:rFonts w:ascii="Times New Roman" w:hAnsi="Times New Roman" w:cs="Times New Roman"/>
          <w:bCs/>
          <w:color w:val="000000" w:themeColor="text1"/>
        </w:rPr>
        <w:t>94, 95, con riferimento agli accordi internazionali elencati nell’allegato X alla direttiva 2014/23/UE del Parlamento europeo e del Consiglio, del 26 febbraio 2014, 96, 97 e 98.</w:t>
      </w:r>
    </w:p>
    <w:p w14:paraId="13B2CB5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 requisiti minimi di cui al comma 1, lettera a), contengono le condizioni e le caratteristiche, in particolare tecniche, fisiche, funzionali e giuridiche, che ogni offerta deve soddisfare o possedere.</w:t>
      </w:r>
    </w:p>
    <w:p w14:paraId="02E5C42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Gli enti concedenti forniscono, nel bando di concessione, una descrizione della concessione e delle condizioni di partecipazione e, nell'invito a presentare offerte o negli altri documenti di gara, una descrizione dei criteri di aggiudicazione e, se del caso, dei requisiti minimi da soddisfare.</w:t>
      </w:r>
    </w:p>
    <w:p w14:paraId="6B0315A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L’ente concedente può limitare il numero di candidati o di offerenti a un livello adeguato, purché ciò avvenga in modo trasparente e sulla base di criteri oggettivi. Il numero di candidati o di offerenti invitati a partecipare deve essere sufficiente a garantire un'effettiva concorrenza.</w:t>
      </w:r>
    </w:p>
    <w:p w14:paraId="582A18D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L’ente concedente comunica a tutti i partecipanti la descrizione della prevista organizzazione della procedura e un termine indicativo per il suo completamento. Le eventuali modifiche sono comunicate a tutti i partecipanti e, nella misura in cui riguardino elementi indicati nel bando di concessione, sono rese pubbliche per tutti gli operatori economici.</w:t>
      </w:r>
    </w:p>
    <w:p w14:paraId="16B4754F" w14:textId="77777777" w:rsidR="0083753D" w:rsidRPr="004A5029" w:rsidRDefault="0083753D" w:rsidP="0083753D">
      <w:pPr>
        <w:jc w:val="both"/>
        <w:rPr>
          <w:rFonts w:ascii="Times New Roman" w:hAnsi="Times New Roman" w:cs="Times New Roman"/>
          <w:color w:val="000000" w:themeColor="text1"/>
          <w:highlight w:val="yellow"/>
        </w:rPr>
      </w:pPr>
      <w:r w:rsidRPr="004A5029">
        <w:rPr>
          <w:rFonts w:ascii="Times New Roman" w:hAnsi="Times New Roman" w:cs="Times New Roman"/>
          <w:color w:val="000000" w:themeColor="text1"/>
        </w:rPr>
        <w:t>6. L’ente concedente assicura il ricorso alla digitalizzazione della procedura secondo le norme di cui al Libro I, Parte II. L’utilizzo di supporti e modalità digitali garantisce la trasparenza della procedura e l’imputabilità degli atti.</w:t>
      </w:r>
    </w:p>
    <w:p w14:paraId="3B25783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L’ente concedente può condurre liberamente negoziazioni con i candidati e gli offerenti. L'oggetto della concessione, i criteri di aggiudicazione e i requisiti minimi non sono modificati nel corso delle negoziazioni. Tali negoziazioni sono condotte di regola attraverso un dialogo competitivo ai sensi dell’articolo 74.</w:t>
      </w:r>
    </w:p>
    <w:p w14:paraId="40FF435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L’ente concedente verifica le condizioni di partecipazione relative alle capacità tecniche e professionali e alla capacità finanziaria ed economica dei candidati o degli offerenti, sulla base di autocertificazioni o referenze che devono essere presentate come prova in base ai requisiti specificati nel bando di concessione; i requisiti sono non discriminatori e proporzionati all'oggetto della concessione. Le condizioni di partecipazione sono correlate e proporzionali alla necessità di garantire la capacità del concessionario di eseguire la concessione, tenendo conto dell'oggetto della concessione e dell'obiettivo di assicurare la concorrenza effettiva. </w:t>
      </w:r>
    </w:p>
    <w:p w14:paraId="5325F27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Per soddisfare le condizioni di partecipazione, ove opportuno e nel caso di una particolare concessione, l'operatore economico può affidarsi alle capacità di altri soggetti, indipendentemente dalla natura giuridica dei suoi rapporti con loro. Se un operatore economico vuole fare affidamento sulle capacità di altri soggetti deve dimostrare all’ente concedente che disporrà delle risorse necessarie per l'intera durata della concessione, per esempio mediante presentazione dell'impegno a tal fine di detti soggetti. Per quanto riguarda la capacità finanziaria, l’ente concedente può richiedere che l'operatore economico e i soggetti in questione siano responsabili in solido dell'esecuzione del contratto.</w:t>
      </w:r>
    </w:p>
    <w:p w14:paraId="2EB14EB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Alle stesse condizioni, un raggruppamento di operatori economici può far valere le capacità dei partecipanti al raggruppamento o di altri soggetti.</w:t>
      </w:r>
    </w:p>
    <w:p w14:paraId="72BBF2B3"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11. Si applicano le disposizioni in materia di soccorso istruttorio di cui all’articolo 101.</w:t>
      </w:r>
    </w:p>
    <w:p w14:paraId="5E6D6F63" w14:textId="77777777" w:rsidR="0083753D" w:rsidRPr="004A5029" w:rsidRDefault="0083753D" w:rsidP="0083753D">
      <w:pPr>
        <w:rPr>
          <w:rFonts w:ascii="Times New Roman" w:hAnsi="Times New Roman" w:cs="Times New Roman"/>
          <w:color w:val="000000" w:themeColor="text1"/>
        </w:rPr>
      </w:pPr>
    </w:p>
    <w:p w14:paraId="01B466B0" w14:textId="77777777" w:rsidR="0083753D" w:rsidRPr="004A5029" w:rsidRDefault="0083753D" w:rsidP="0083753D">
      <w:pPr>
        <w:rPr>
          <w:rFonts w:ascii="Times New Roman" w:hAnsi="Times New Roman" w:cs="Times New Roman"/>
          <w:b/>
          <w:color w:val="000000" w:themeColor="text1"/>
        </w:rPr>
      </w:pPr>
      <w:r w:rsidRPr="004A5029">
        <w:rPr>
          <w:rFonts w:ascii="Times New Roman" w:hAnsi="Times New Roman" w:cs="Times New Roman"/>
          <w:b/>
          <w:color w:val="000000" w:themeColor="text1"/>
        </w:rPr>
        <w:t>Articolo 184.</w:t>
      </w:r>
    </w:p>
    <w:p w14:paraId="7F49B43C" w14:textId="77777777" w:rsidR="0083753D" w:rsidRPr="004A5029" w:rsidRDefault="0083753D" w:rsidP="0083753D">
      <w:pPr>
        <w:rPr>
          <w:rFonts w:ascii="Times New Roman" w:hAnsi="Times New Roman" w:cs="Times New Roman"/>
          <w:i/>
          <w:iCs/>
          <w:color w:val="000000" w:themeColor="text1"/>
          <w:vertAlign w:val="superscript"/>
        </w:rPr>
      </w:pPr>
      <w:r w:rsidRPr="004A5029">
        <w:rPr>
          <w:rFonts w:ascii="Times New Roman" w:hAnsi="Times New Roman" w:cs="Times New Roman"/>
          <w:i/>
          <w:iCs/>
          <w:color w:val="000000" w:themeColor="text1"/>
        </w:rPr>
        <w:t>Termini e comunicazioni.</w:t>
      </w:r>
    </w:p>
    <w:p w14:paraId="0BE8035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Nel fissare i termini per la ricezione delle domande o delle offerte, gli enti concedenti tengono conto, in particolare, della complessità della concessione e del tempo necessario per preparare le offerte o le domande, fatti salvi i termini minimi stabiliti dal presente articolo.</w:t>
      </w:r>
    </w:p>
    <w:p w14:paraId="0BC3BB2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Quando le domande o le offerte possono essere presentate soltanto a seguito di una visita dei luoghi o dopo consultazione </w:t>
      </w:r>
      <w:r w:rsidRPr="004A5029">
        <w:rPr>
          <w:rFonts w:ascii="Times New Roman" w:hAnsi="Times New Roman" w:cs="Times New Roman"/>
          <w:i/>
          <w:color w:val="000000" w:themeColor="text1"/>
        </w:rPr>
        <w:t>in loco</w:t>
      </w:r>
      <w:r w:rsidRPr="004A5029">
        <w:rPr>
          <w:rFonts w:ascii="Times New Roman" w:hAnsi="Times New Roman" w:cs="Times New Roman"/>
          <w:color w:val="000000" w:themeColor="text1"/>
        </w:rPr>
        <w:t xml:space="preserve"> dei documenti allegati ai documenti di gara, i termini per la ricezione delle domande di partecipazione alla concessione o per la ricezione delle offerte sono stabiliti in modo che tutti gli operatori economici interessati possano prendere conoscenza delle informazioni necessarie per presentare le domande o le offerte e sono comunque superiori ai termini minimi stabiliti ai paragrafi 3 e 4 dell’articolo 39 della direttiva 2014/23/UE del Parlamento europeo e del Consiglio, del 26 febbraio 2014.</w:t>
      </w:r>
    </w:p>
    <w:p w14:paraId="6F6B726E" w14:textId="780D73E5"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Il termine minimo per la ricezione delle domande di partecipazione alla concessione, comprese eventualmente le offerte, è di </w:t>
      </w:r>
      <w:bookmarkStart w:id="54" w:name="_Hlk127460666"/>
      <w:r w:rsidR="004E4B92" w:rsidRPr="004A5029">
        <w:rPr>
          <w:rFonts w:ascii="Times New Roman" w:hAnsi="Times New Roman" w:cs="Times New Roman"/>
          <w:b/>
          <w:bCs/>
          <w:strike/>
          <w:color w:val="000000" w:themeColor="text1"/>
        </w:rPr>
        <w:t>30</w:t>
      </w:r>
      <w:r w:rsidR="004E4B92" w:rsidRPr="004A5029">
        <w:rPr>
          <w:rFonts w:ascii="Times New Roman" w:hAnsi="Times New Roman" w:cs="Times New Roman"/>
          <w:b/>
          <w:bCs/>
          <w:color w:val="000000" w:themeColor="text1"/>
        </w:rPr>
        <w:t xml:space="preserve"> trenta</w:t>
      </w:r>
      <w:r w:rsidRPr="004A5029">
        <w:rPr>
          <w:rFonts w:ascii="Times New Roman" w:hAnsi="Times New Roman" w:cs="Times New Roman"/>
          <w:color w:val="000000" w:themeColor="text1"/>
        </w:rPr>
        <w:t xml:space="preserve"> </w:t>
      </w:r>
      <w:bookmarkEnd w:id="54"/>
      <w:r w:rsidRPr="004A5029">
        <w:rPr>
          <w:rFonts w:ascii="Times New Roman" w:hAnsi="Times New Roman" w:cs="Times New Roman"/>
          <w:color w:val="000000" w:themeColor="text1"/>
        </w:rPr>
        <w:t xml:space="preserve">giorni dalla data di </w:t>
      </w:r>
      <w:r w:rsidRPr="004A5029">
        <w:rPr>
          <w:rFonts w:ascii="Times New Roman" w:hAnsi="Times New Roman" w:cs="Times New Roman"/>
          <w:bCs/>
          <w:color w:val="000000" w:themeColor="text1"/>
        </w:rPr>
        <w:t>trasmissione</w:t>
      </w:r>
      <w:r w:rsidRPr="004A5029">
        <w:rPr>
          <w:rFonts w:ascii="Times New Roman" w:hAnsi="Times New Roman" w:cs="Times New Roman"/>
          <w:color w:val="000000" w:themeColor="text1"/>
        </w:rPr>
        <w:t xml:space="preserve"> del bando secondo le indicazioni degli articoli </w:t>
      </w:r>
      <w:bookmarkStart w:id="55" w:name="_Hlk127460650"/>
      <w:r w:rsidRPr="004A5029">
        <w:rPr>
          <w:rFonts w:ascii="Times New Roman" w:hAnsi="Times New Roman" w:cs="Times New Roman"/>
          <w:b/>
          <w:bCs/>
          <w:strike/>
          <w:color w:val="000000" w:themeColor="text1"/>
        </w:rPr>
        <w:t>83 e 84</w:t>
      </w:r>
      <w:r w:rsidR="00C12739" w:rsidRPr="004A5029">
        <w:rPr>
          <w:rFonts w:ascii="Times New Roman" w:hAnsi="Times New Roman" w:cs="Times New Roman"/>
          <w:b/>
          <w:bCs/>
          <w:color w:val="000000" w:themeColor="text1"/>
        </w:rPr>
        <w:t xml:space="preserve"> 84 e 85</w:t>
      </w:r>
      <w:bookmarkEnd w:id="55"/>
      <w:r w:rsidRPr="004A5029">
        <w:rPr>
          <w:rFonts w:ascii="Times New Roman" w:hAnsi="Times New Roman" w:cs="Times New Roman"/>
          <w:color w:val="000000" w:themeColor="text1"/>
        </w:rPr>
        <w:t>.</w:t>
      </w:r>
    </w:p>
    <w:p w14:paraId="77D767DA" w14:textId="76F35166"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Se la procedura si svolge in fasi successive, il termine minimo per la ricezione delle offerte iniziali è di </w:t>
      </w:r>
      <w:r w:rsidRPr="004A5029">
        <w:rPr>
          <w:rFonts w:ascii="Times New Roman" w:hAnsi="Times New Roman" w:cs="Times New Roman"/>
          <w:b/>
          <w:bCs/>
          <w:strike/>
          <w:color w:val="000000" w:themeColor="text1"/>
        </w:rPr>
        <w:t>22</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 ventidue </w:t>
      </w:r>
      <w:r w:rsidRPr="004A5029">
        <w:rPr>
          <w:rFonts w:ascii="Times New Roman" w:hAnsi="Times New Roman" w:cs="Times New Roman"/>
          <w:color w:val="000000" w:themeColor="text1"/>
        </w:rPr>
        <w:t>giorni dalla data di trasmissione dell'invito a presentare offerte.</w:t>
      </w:r>
    </w:p>
    <w:p w14:paraId="13B5155A" w14:textId="42EFC050"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L’ente concedente comunica quanto prima, e in ogni caso entro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 xml:space="preserve">giorni, agli offerenti le decisioni prese riguardo all'aggiudicazione, in particolare il nome dell'offerente cui è stato aggiudicato il contratto, i motivi del rigetto della domanda di partecipazione e dell’offerta, nonché i motivi per i quali </w:t>
      </w:r>
      <w:bookmarkStart w:id="56" w:name="_Hlk127460718"/>
      <w:r w:rsidRPr="004A5029">
        <w:rPr>
          <w:rFonts w:ascii="Times New Roman" w:hAnsi="Times New Roman" w:cs="Times New Roman"/>
          <w:b/>
          <w:bCs/>
          <w:strike/>
          <w:color w:val="000000" w:themeColor="text1"/>
        </w:rPr>
        <w:t>hanno</w:t>
      </w:r>
      <w:r w:rsidRPr="004A5029">
        <w:rPr>
          <w:rFonts w:ascii="Times New Roman" w:hAnsi="Times New Roman" w:cs="Times New Roman"/>
          <w:b/>
          <w:bCs/>
          <w:color w:val="000000" w:themeColor="text1"/>
        </w:rPr>
        <w:t xml:space="preserve"> </w:t>
      </w:r>
      <w:r w:rsidR="00C12739" w:rsidRPr="004A5029">
        <w:rPr>
          <w:rFonts w:ascii="Times New Roman" w:hAnsi="Times New Roman" w:cs="Times New Roman"/>
          <w:b/>
          <w:bCs/>
          <w:color w:val="000000" w:themeColor="text1"/>
        </w:rPr>
        <w:t>ha</w:t>
      </w:r>
      <w:r w:rsidR="00C12739" w:rsidRPr="004A5029">
        <w:rPr>
          <w:rFonts w:ascii="Times New Roman" w:hAnsi="Times New Roman" w:cs="Times New Roman"/>
          <w:color w:val="000000" w:themeColor="text1"/>
        </w:rPr>
        <w:t xml:space="preserve"> </w:t>
      </w:r>
      <w:bookmarkEnd w:id="56"/>
      <w:r w:rsidRPr="004A5029">
        <w:rPr>
          <w:rFonts w:ascii="Times New Roman" w:hAnsi="Times New Roman" w:cs="Times New Roman"/>
          <w:color w:val="000000" w:themeColor="text1"/>
        </w:rPr>
        <w:t>deciso di non aggiudicare un contratto per il quale sia stato pubblicato un bando di concessione</w:t>
      </w:r>
      <w:r w:rsidRPr="004A5029">
        <w:rPr>
          <w:rFonts w:ascii="Times New Roman" w:hAnsi="Times New Roman" w:cs="Times New Roman"/>
          <w:b/>
          <w:bCs/>
          <w:strike/>
          <w:color w:val="000000" w:themeColor="text1"/>
        </w:rPr>
        <w:t>,</w:t>
      </w:r>
      <w:r w:rsidRPr="004A5029">
        <w:rPr>
          <w:rFonts w:ascii="Times New Roman" w:hAnsi="Times New Roman" w:cs="Times New Roman"/>
          <w:color w:val="000000" w:themeColor="text1"/>
        </w:rPr>
        <w:t xml:space="preserve"> o di riavviare la procedura. Su richiesta della parte interessata, l’ente concedente comunica quanto prima, e in ogni caso entro </w:t>
      </w:r>
      <w:r w:rsidR="004E4B92" w:rsidRPr="004A5029">
        <w:rPr>
          <w:rFonts w:ascii="Times New Roman" w:hAnsi="Times New Roman" w:cs="Times New Roman"/>
          <w:b/>
          <w:bCs/>
          <w:strike/>
          <w:color w:val="000000" w:themeColor="text1"/>
        </w:rPr>
        <w:t>15</w:t>
      </w:r>
      <w:r w:rsidR="004E4B92" w:rsidRPr="004A5029">
        <w:rPr>
          <w:rFonts w:ascii="Times New Roman" w:hAnsi="Times New Roman" w:cs="Times New Roman"/>
          <w:b/>
          <w:bCs/>
          <w:color w:val="000000" w:themeColor="text1"/>
        </w:rPr>
        <w:t xml:space="preserve"> quindici</w:t>
      </w:r>
      <w:r w:rsidRPr="004A5029">
        <w:rPr>
          <w:rFonts w:ascii="Times New Roman" w:hAnsi="Times New Roman" w:cs="Times New Roman"/>
          <w:color w:val="000000" w:themeColor="text1"/>
        </w:rPr>
        <w:t xml:space="preserve"> giorni dalla ricezione di una richiesta scritta, a ogni offerente che abbia presentato un'offerta ammissibile, le caratteristiche e i vantaggi relativi dell'offerta selezionata.</w:t>
      </w:r>
    </w:p>
    <w:p w14:paraId="3A45250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L’ente concedente può decidere di non divulgare talune informazioni di cui al comma 5 relative al contratto, qualora la loro diffusione ostacoli l'applicazione della legge, sia contraria all'interesse pubblico, pregiudichi i legittimi interessi commerciali di operatori economici oppure possa recare pregiudizio alla concorrenza leale tra questi operatori.</w:t>
      </w:r>
    </w:p>
    <w:p w14:paraId="7B969857" w14:textId="77777777" w:rsidR="0083753D" w:rsidRPr="004A5029" w:rsidRDefault="0083753D" w:rsidP="0083753D">
      <w:pPr>
        <w:jc w:val="both"/>
        <w:rPr>
          <w:rFonts w:ascii="Times New Roman" w:hAnsi="Times New Roman" w:cs="Times New Roman"/>
          <w:color w:val="000000" w:themeColor="text1"/>
        </w:rPr>
      </w:pPr>
    </w:p>
    <w:p w14:paraId="784865E2"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185.</w:t>
      </w:r>
    </w:p>
    <w:p w14:paraId="2A509CE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Criteri di aggiudicazione.</w:t>
      </w:r>
    </w:p>
    <w:p w14:paraId="53DF1DF0" w14:textId="69724425"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Per l’aggiudicazione dei contratti di cui al presente Titolo, l’ente concedente pone a base di gara almeno un progetto di fattibilità. L’aggiudicatario provvede alla predisposizione de</w:t>
      </w:r>
      <w:r w:rsidR="006037B0" w:rsidRPr="004A5029">
        <w:rPr>
          <w:rFonts w:ascii="Times New Roman" w:hAnsi="Times New Roman" w:cs="Times New Roman"/>
          <w:bCs/>
          <w:color w:val="000000" w:themeColor="text1"/>
        </w:rPr>
        <w:t xml:space="preserve">l </w:t>
      </w:r>
      <w:r w:rsidRPr="004A5029">
        <w:rPr>
          <w:rFonts w:ascii="Times New Roman" w:hAnsi="Times New Roman" w:cs="Times New Roman"/>
          <w:bCs/>
          <w:color w:val="000000" w:themeColor="text1"/>
        </w:rPr>
        <w:t>successiv</w:t>
      </w:r>
      <w:r w:rsidR="006037B0" w:rsidRPr="004A5029">
        <w:rPr>
          <w:rFonts w:ascii="Times New Roman" w:hAnsi="Times New Roman" w:cs="Times New Roman"/>
          <w:bCs/>
          <w:color w:val="000000" w:themeColor="text1"/>
        </w:rPr>
        <w:t>o</w:t>
      </w:r>
      <w:r w:rsidRPr="004A5029">
        <w:rPr>
          <w:rFonts w:ascii="Times New Roman" w:hAnsi="Times New Roman" w:cs="Times New Roman"/>
          <w:bCs/>
          <w:color w:val="000000" w:themeColor="text1"/>
        </w:rPr>
        <w:t xml:space="preserve"> livell</w:t>
      </w:r>
      <w:r w:rsidR="006037B0" w:rsidRPr="004A5029">
        <w:rPr>
          <w:rFonts w:ascii="Times New Roman" w:hAnsi="Times New Roman" w:cs="Times New Roman"/>
          <w:bCs/>
          <w:color w:val="000000" w:themeColor="text1"/>
        </w:rPr>
        <w:t>o</w:t>
      </w:r>
      <w:r w:rsidRPr="004A5029">
        <w:rPr>
          <w:rFonts w:ascii="Times New Roman" w:hAnsi="Times New Roman" w:cs="Times New Roman"/>
          <w:bCs/>
          <w:color w:val="000000" w:themeColor="text1"/>
        </w:rPr>
        <w:t xml:space="preserve"> progettual</w:t>
      </w:r>
      <w:r w:rsidR="006037B0" w:rsidRPr="004A5029">
        <w:rPr>
          <w:rFonts w:ascii="Times New Roman" w:hAnsi="Times New Roman" w:cs="Times New Roman"/>
          <w:bCs/>
          <w:color w:val="000000" w:themeColor="text1"/>
        </w:rPr>
        <w:t>e</w:t>
      </w:r>
      <w:r w:rsidRPr="004A5029">
        <w:rPr>
          <w:rFonts w:ascii="Times New Roman" w:hAnsi="Times New Roman" w:cs="Times New Roman"/>
          <w:bCs/>
          <w:color w:val="000000" w:themeColor="text1"/>
        </w:rPr>
        <w:t>. Le concessioni sono aggiudicate sulla base di criteri oggettivi, tali da assicurare una valutazione delle offerte in condizioni di concorrenza effettiva in modo da individuare un vantaggio economico complessivo per l’ente concedente.</w:t>
      </w:r>
    </w:p>
    <w:p w14:paraId="26CE8A4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 criteri di aggiudicazione sono connessi all'oggetto della concessione e non attribuiscono una incondizionata libertà di scelta </w:t>
      </w:r>
      <w:bookmarkStart w:id="57" w:name="_Hlk127461207"/>
      <w:r w:rsidRPr="004A5029">
        <w:rPr>
          <w:rFonts w:ascii="Times New Roman" w:hAnsi="Times New Roman" w:cs="Times New Roman"/>
          <w:color w:val="000000" w:themeColor="text1"/>
        </w:rPr>
        <w:t>all’ente concedente</w:t>
      </w:r>
      <w:bookmarkEnd w:id="57"/>
      <w:r w:rsidRPr="004A5029">
        <w:rPr>
          <w:rFonts w:ascii="Times New Roman" w:hAnsi="Times New Roman" w:cs="Times New Roman"/>
          <w:color w:val="000000" w:themeColor="text1"/>
        </w:rPr>
        <w:t>. Essi includono, tra l'altro, criteri ambientali, sociali o relativi all'innovazione. Tali criteri sono accompagnati da requisiti che consentono di verificare efficacemente le informazioni fornite dagli offerenti. L’ente concedente verifica la conformità delle offerte ai criteri di aggiudicazione.</w:t>
      </w:r>
    </w:p>
    <w:p w14:paraId="6807336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L’ente concedente elenca i criteri in ordine decrescente di importanza.</w:t>
      </w:r>
    </w:p>
    <w:p w14:paraId="5605CBF5" w14:textId="6BFD2121"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In deroga al </w:t>
      </w:r>
      <w:r w:rsidRPr="004A5029">
        <w:rPr>
          <w:rFonts w:ascii="Times New Roman" w:hAnsi="Times New Roman" w:cs="Times New Roman"/>
          <w:b/>
          <w:bCs/>
          <w:strike/>
          <w:color w:val="000000" w:themeColor="text1"/>
        </w:rPr>
        <w:t>comma 1</w:t>
      </w:r>
      <w:r w:rsidR="00084C0B" w:rsidRPr="004A5029">
        <w:rPr>
          <w:rFonts w:ascii="Times New Roman" w:hAnsi="Times New Roman" w:cs="Times New Roman"/>
          <w:b/>
          <w:bCs/>
          <w:color w:val="000000" w:themeColor="text1"/>
        </w:rPr>
        <w:t xml:space="preserve"> </w:t>
      </w:r>
      <w:r w:rsidR="00C60EC3" w:rsidRPr="004A5029">
        <w:rPr>
          <w:rFonts w:ascii="Times New Roman" w:hAnsi="Times New Roman" w:cs="Times New Roman"/>
          <w:b/>
          <w:bCs/>
          <w:color w:val="000000" w:themeColor="text1"/>
        </w:rPr>
        <w:t>comma 3</w:t>
      </w:r>
      <w:r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se</w:t>
      </w:r>
      <w:r w:rsidRPr="004A5029">
        <w:rPr>
          <w:rFonts w:ascii="Times New Roman" w:hAnsi="Times New Roman" w:cs="Times New Roman"/>
          <w:color w:val="000000" w:themeColor="text1"/>
        </w:rPr>
        <w:t xml:space="preserve"> l’ente concedente</w:t>
      </w:r>
      <w:r w:rsidR="00084C0B" w:rsidRPr="004A5029">
        <w:rPr>
          <w:rFonts w:ascii="Times New Roman" w:hAnsi="Times New Roman" w:cs="Times New Roman"/>
          <w:color w:val="000000" w:themeColor="text1"/>
        </w:rPr>
        <w:t>,</w:t>
      </w:r>
      <w:r w:rsidRPr="004A5029">
        <w:rPr>
          <w:rFonts w:ascii="Times New Roman" w:hAnsi="Times New Roman" w:cs="Times New Roman"/>
          <w:color w:val="000000" w:themeColor="text1"/>
        </w:rPr>
        <w:t xml:space="preserve"> </w:t>
      </w:r>
      <w:r w:rsidR="00084C0B" w:rsidRPr="004A5029">
        <w:rPr>
          <w:rFonts w:ascii="Times New Roman" w:hAnsi="Times New Roman" w:cs="Times New Roman"/>
          <w:color w:val="000000" w:themeColor="text1"/>
        </w:rPr>
        <w:t xml:space="preserve">se </w:t>
      </w:r>
      <w:r w:rsidRPr="004A5029">
        <w:rPr>
          <w:rFonts w:ascii="Times New Roman" w:hAnsi="Times New Roman" w:cs="Times New Roman"/>
          <w:color w:val="000000" w:themeColor="text1"/>
        </w:rPr>
        <w:t xml:space="preserve">riceve un'offerta che propone una soluzione innovativa con un livello straordinario di prestazioni funzionali che non avrebbe potuto essere prevista da un ente concedente diligente, </w:t>
      </w:r>
      <w:r w:rsidRPr="004A5029">
        <w:rPr>
          <w:rFonts w:ascii="Times New Roman" w:hAnsi="Times New Roman" w:cs="Times New Roman"/>
          <w:b/>
          <w:bCs/>
          <w:strike/>
          <w:color w:val="000000" w:themeColor="text1"/>
        </w:rPr>
        <w:t>quest’ultimo</w:t>
      </w:r>
      <w:r w:rsidRPr="004A5029">
        <w:rPr>
          <w:rFonts w:ascii="Times New Roman" w:hAnsi="Times New Roman" w:cs="Times New Roman"/>
          <w:color w:val="000000" w:themeColor="text1"/>
        </w:rPr>
        <w:t xml:space="preserve"> può, in via eccezionale, modificare l'ordine dei criteri di aggiudicazione per tenere conto di tale soluzione. In tal caso </w:t>
      </w:r>
      <w:r w:rsidR="00084C0B" w:rsidRPr="004A5029">
        <w:rPr>
          <w:rFonts w:ascii="Times New Roman" w:hAnsi="Times New Roman" w:cs="Times New Roman"/>
          <w:b/>
          <w:bCs/>
          <w:color w:val="000000" w:themeColor="text1"/>
        </w:rPr>
        <w:t>l’ente concedente</w:t>
      </w:r>
      <w:r w:rsidR="00084C0B"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informa tutti gli offerenti in merito alla modifica dell'ordine di importanza ed emette un nuovo invito a presentare offerte.</w:t>
      </w:r>
    </w:p>
    <w:p w14:paraId="3DE45528"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Prima di assegnare il punteggio all’offerta economica la commissione aggiudicatrice verifica l’adeguatezza e la sostenibilità del piano economico-finanziario.</w:t>
      </w:r>
    </w:p>
    <w:p w14:paraId="0CDE1B4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I componenti delle commissioni di valutazione devono essere altamente qualificati e competenti. Il bando può prevedere l’oscuramento dei nomi degli operatori economici che hanno presentato l’offerta.</w:t>
      </w:r>
    </w:p>
    <w:p w14:paraId="0FE634FD" w14:textId="77777777" w:rsidR="0083753D" w:rsidRPr="004A5029" w:rsidRDefault="0083753D" w:rsidP="0083753D">
      <w:pPr>
        <w:rPr>
          <w:rFonts w:ascii="Times New Roman" w:hAnsi="Times New Roman" w:cs="Times New Roman"/>
          <w:color w:val="000000" w:themeColor="text1"/>
        </w:rPr>
      </w:pPr>
    </w:p>
    <w:p w14:paraId="00634900" w14:textId="77777777" w:rsidR="00635C41" w:rsidRPr="004A5029" w:rsidRDefault="00635C41" w:rsidP="0083753D">
      <w:pPr>
        <w:jc w:val="both"/>
        <w:rPr>
          <w:rFonts w:ascii="Times New Roman" w:hAnsi="Times New Roman" w:cs="Times New Roman"/>
          <w:b/>
          <w:color w:val="000000" w:themeColor="text1"/>
        </w:rPr>
      </w:pPr>
    </w:p>
    <w:p w14:paraId="49E7B7D1" w14:textId="05EA1639"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186.</w:t>
      </w:r>
    </w:p>
    <w:p w14:paraId="6AF1831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Affidamenti dei concessionari.</w:t>
      </w:r>
    </w:p>
    <w:p w14:paraId="6CB6C85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Agli appalti affidati dai concessionari che siano stazioni appaltanti si applicano le disposizioni del codice in materia di appalti.</w:t>
      </w:r>
    </w:p>
    <w:p w14:paraId="2C12D191" w14:textId="11B21B0E"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I titolari di concessioni di lavori e di servizi pubblici</w:t>
      </w:r>
      <w:r w:rsidR="00326FEB" w:rsidRPr="004A5029">
        <w:rPr>
          <w:rFonts w:ascii="Times New Roman" w:hAnsi="Times New Roman" w:cs="Times New Roman"/>
          <w:bCs/>
          <w:color w:val="000000" w:themeColor="text1"/>
        </w:rPr>
        <w:t>, ad esclusione di quelli disciplinati dal Libro III,</w:t>
      </w:r>
      <w:r w:rsidRPr="004A5029">
        <w:rPr>
          <w:rFonts w:ascii="Times New Roman" w:hAnsi="Times New Roman" w:cs="Times New Roman"/>
          <w:bCs/>
          <w:color w:val="000000" w:themeColor="text1"/>
        </w:rPr>
        <w:t xml:space="preserve"> già in essere alla data di entrata in vigore del codice, di importo pari o superiore alle soglia di rilevanza </w:t>
      </w:r>
      <w:r w:rsidR="006A1D1B" w:rsidRPr="004A5029">
        <w:rPr>
          <w:rFonts w:ascii="Times New Roman" w:hAnsi="Times New Roman" w:cs="Times New Roman"/>
          <w:bCs/>
          <w:color w:val="000000" w:themeColor="text1"/>
        </w:rPr>
        <w:t>europea</w:t>
      </w:r>
      <w:r w:rsidRPr="004A5029">
        <w:rPr>
          <w:rFonts w:ascii="Times New Roman" w:hAnsi="Times New Roman" w:cs="Times New Roman"/>
          <w:bCs/>
          <w:color w:val="000000" w:themeColor="text1"/>
        </w:rPr>
        <w:t xml:space="preserve">, e non affidate conformemente al diritto dell'Unione europea vigente al momento dell’affidamento o della proroga, </w:t>
      </w:r>
      <w:r w:rsidR="00326FEB" w:rsidRPr="004A5029">
        <w:rPr>
          <w:rFonts w:ascii="Times New Roman" w:hAnsi="Times New Roman" w:cs="Times New Roman"/>
          <w:bCs/>
          <w:color w:val="000000" w:themeColor="text1"/>
        </w:rPr>
        <w:t xml:space="preserve">affidano </w:t>
      </w:r>
      <w:r w:rsidR="00396B7B" w:rsidRPr="004A5029">
        <w:rPr>
          <w:rFonts w:ascii="Times New Roman" w:hAnsi="Times New Roman" w:cs="Times New Roman"/>
          <w:bCs/>
          <w:color w:val="000000" w:themeColor="text1"/>
        </w:rPr>
        <w:t xml:space="preserve">mediante procedura ad evidenza pubblica </w:t>
      </w:r>
      <w:r w:rsidRPr="004A5029">
        <w:rPr>
          <w:rFonts w:ascii="Times New Roman" w:hAnsi="Times New Roman" w:cs="Times New Roman"/>
          <w:bCs/>
          <w:color w:val="000000" w:themeColor="text1"/>
        </w:rPr>
        <w:t xml:space="preserve">una quota tra il </w:t>
      </w:r>
      <w:r w:rsidR="00326FEB" w:rsidRPr="004A5029">
        <w:rPr>
          <w:rFonts w:ascii="Times New Roman" w:hAnsi="Times New Roman" w:cs="Times New Roman"/>
          <w:bCs/>
          <w:color w:val="000000" w:themeColor="text1"/>
        </w:rPr>
        <w:t>50 per cento</w:t>
      </w:r>
      <w:r w:rsidRPr="004A5029">
        <w:rPr>
          <w:rFonts w:ascii="Times New Roman" w:hAnsi="Times New Roman" w:cs="Times New Roman"/>
          <w:bCs/>
          <w:color w:val="000000" w:themeColor="text1"/>
        </w:rPr>
        <w:t xml:space="preserve"> e il</w:t>
      </w:r>
      <w:r w:rsidR="00326FEB" w:rsidRPr="004A5029">
        <w:rPr>
          <w:rFonts w:ascii="Times New Roman" w:hAnsi="Times New Roman" w:cs="Times New Roman"/>
          <w:bCs/>
          <w:color w:val="000000" w:themeColor="text1"/>
        </w:rPr>
        <w:t xml:space="preserve"> 60 per cento</w:t>
      </w:r>
      <w:r w:rsidRPr="004A5029">
        <w:rPr>
          <w:rFonts w:ascii="Times New Roman" w:hAnsi="Times New Roman" w:cs="Times New Roman"/>
          <w:bCs/>
          <w:color w:val="000000" w:themeColor="text1"/>
        </w:rPr>
        <w:t xml:space="preserve"> dei contratti di lavori</w:t>
      </w:r>
      <w:r w:rsidR="00396B7B"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servizi e forniture</w:t>
      </w:r>
      <w:r w:rsidR="003C1558"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stabilita </w:t>
      </w:r>
      <w:r w:rsidR="00326FEB" w:rsidRPr="004A5029">
        <w:rPr>
          <w:rFonts w:ascii="Times New Roman" w:hAnsi="Times New Roman" w:cs="Times New Roman"/>
          <w:bCs/>
          <w:color w:val="000000" w:themeColor="text1"/>
        </w:rPr>
        <w:t xml:space="preserve">convenzionalmente </w:t>
      </w:r>
      <w:r w:rsidR="00396B7B" w:rsidRPr="004A5029">
        <w:rPr>
          <w:rFonts w:ascii="Times New Roman" w:hAnsi="Times New Roman" w:cs="Times New Roman"/>
          <w:bCs/>
          <w:color w:val="000000" w:themeColor="text1"/>
        </w:rPr>
        <w:t>dal concedente e dal concessionario</w:t>
      </w:r>
      <w:r w:rsidRPr="004A5029">
        <w:rPr>
          <w:rFonts w:ascii="Times New Roman" w:hAnsi="Times New Roman" w:cs="Times New Roman"/>
          <w:bCs/>
          <w:color w:val="000000" w:themeColor="text1"/>
        </w:rPr>
        <w:t>; l’ente concedente tiene conto delle dimensioni economiche e dei caratteri dell’impresa, dell’epoca di assegnazione della concessione, della sua durata residua, del suo oggetto, del suo valore economico e dell’entità degli investimenti effettuati. L’affidamento avviene mediante procedura ad evidenza pubblica, con la previsione di clausole sociali per la stabilità del personale impiegato e per la salvaguardia delle professionalità.</w:t>
      </w:r>
    </w:p>
    <w:p w14:paraId="198DEFBC" w14:textId="12FD9C86" w:rsidR="0083753D" w:rsidRPr="004A5029" w:rsidRDefault="0083753D" w:rsidP="00396B7B">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In caso di comprovata indivisibilità delle prestazioni di servizi dedotte in concessione, in sostituzione dell’obbligo di esternalizzazione di cui al comma</w:t>
      </w:r>
      <w:r w:rsidR="006A1D1B" w:rsidRPr="004A5029">
        <w:rPr>
          <w:rFonts w:ascii="Times New Roman" w:hAnsi="Times New Roman" w:cs="Times New Roman"/>
          <w:bCs/>
          <w:color w:val="000000" w:themeColor="text1"/>
        </w:rPr>
        <w:t xml:space="preserve"> 2</w:t>
      </w:r>
      <w:r w:rsidRPr="004A5029">
        <w:rPr>
          <w:rFonts w:ascii="Times New Roman" w:hAnsi="Times New Roman" w:cs="Times New Roman"/>
          <w:bCs/>
          <w:color w:val="000000" w:themeColor="text1"/>
        </w:rPr>
        <w:t>, il concessionario corrisponde all’ente concedente un importo compreso tra il minimo del 5</w:t>
      </w:r>
      <w:r w:rsidR="008523D9" w:rsidRPr="004A5029">
        <w:rPr>
          <w:rFonts w:ascii="Times New Roman" w:hAnsi="Times New Roman" w:cs="Times New Roman"/>
          <w:bCs/>
          <w:color w:val="000000" w:themeColor="text1"/>
        </w:rPr>
        <w:t xml:space="preserve"> per cento</w:t>
      </w:r>
      <w:r w:rsidRPr="004A5029">
        <w:rPr>
          <w:rFonts w:ascii="Times New Roman" w:hAnsi="Times New Roman" w:cs="Times New Roman"/>
          <w:bCs/>
          <w:color w:val="000000" w:themeColor="text1"/>
        </w:rPr>
        <w:t xml:space="preserve"> ed il massimo del </w:t>
      </w:r>
      <w:r w:rsidR="008523D9" w:rsidRPr="004A5029">
        <w:rPr>
          <w:rFonts w:ascii="Times New Roman" w:hAnsi="Times New Roman" w:cs="Times New Roman"/>
          <w:bCs/>
          <w:color w:val="000000" w:themeColor="text1"/>
        </w:rPr>
        <w:t>10 per cento</w:t>
      </w:r>
      <w:r w:rsidRPr="004A5029">
        <w:rPr>
          <w:rFonts w:ascii="Times New Roman" w:hAnsi="Times New Roman" w:cs="Times New Roman"/>
          <w:bCs/>
          <w:color w:val="000000" w:themeColor="text1"/>
        </w:rPr>
        <w:t xml:space="preserve"> degli utili previsti dal </w:t>
      </w:r>
      <w:bookmarkStart w:id="58" w:name="_Hlk127464645"/>
      <w:r w:rsidR="00C12739" w:rsidRPr="004A5029">
        <w:rPr>
          <w:rFonts w:ascii="Times New Roman" w:hAnsi="Times New Roman" w:cs="Times New Roman"/>
          <w:b/>
          <w:strike/>
          <w:color w:val="000000" w:themeColor="text1"/>
        </w:rPr>
        <w:t>P</w:t>
      </w:r>
      <w:r w:rsidR="004873AF" w:rsidRPr="004A5029">
        <w:rPr>
          <w:rFonts w:ascii="Times New Roman" w:hAnsi="Times New Roman" w:cs="Times New Roman"/>
          <w:b/>
          <w:color w:val="000000" w:themeColor="text1"/>
        </w:rPr>
        <w:t>p</w:t>
      </w:r>
      <w:bookmarkEnd w:id="58"/>
      <w:r w:rsidRPr="004A5029">
        <w:rPr>
          <w:rFonts w:ascii="Times New Roman" w:hAnsi="Times New Roman" w:cs="Times New Roman"/>
          <w:bCs/>
          <w:color w:val="000000" w:themeColor="text1"/>
        </w:rPr>
        <w:t>iano economico-finanziario, tenendo conto dell’epoca di assegnazione della concessione, della sua durata, del suo oggetto, del suo valore economico e dell’entità degli investimenti.</w:t>
      </w:r>
    </w:p>
    <w:p w14:paraId="4E94E534" w14:textId="3BE3CE5C" w:rsidR="0083753D" w:rsidRPr="004A5029" w:rsidRDefault="0083753D" w:rsidP="0083753D">
      <w:pP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 xml:space="preserve">4. Le concessioni di cui ai commi 2 e 3 già in essere sono adeguate alle predette disposizioni entro il termine di sei mesi dall’entrata in vigore del codice. </w:t>
      </w:r>
    </w:p>
    <w:p w14:paraId="702A1BD1" w14:textId="43458143"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Le modalità di calcolo delle quote di cui comma 2</w:t>
      </w:r>
      <w:r w:rsidR="008523D9" w:rsidRPr="004A5029">
        <w:rPr>
          <w:rFonts w:ascii="Times New Roman" w:hAnsi="Times New Roman" w:cs="Times New Roman"/>
          <w:bCs/>
          <w:color w:val="000000" w:themeColor="text1"/>
        </w:rPr>
        <w:t>, primo periodo,</w:t>
      </w:r>
      <w:r w:rsidRPr="004A5029">
        <w:rPr>
          <w:rFonts w:ascii="Times New Roman" w:hAnsi="Times New Roman" w:cs="Times New Roman"/>
          <w:bCs/>
          <w:color w:val="000000" w:themeColor="text1"/>
        </w:rPr>
        <w:t xml:space="preserve"> sono definite dall’ANAC entro il termine di </w:t>
      </w:r>
      <w:r w:rsidR="008523D9" w:rsidRPr="004A5029">
        <w:rPr>
          <w:rFonts w:ascii="Times New Roman" w:hAnsi="Times New Roman" w:cs="Times New Roman"/>
          <w:bCs/>
          <w:color w:val="000000" w:themeColor="text1"/>
        </w:rPr>
        <w:t>sessanta giorni dalla data di entrata in vigore del codice.</w:t>
      </w:r>
      <w:r w:rsidRPr="004A5029">
        <w:rPr>
          <w:rFonts w:ascii="Times New Roman" w:hAnsi="Times New Roman" w:cs="Times New Roman"/>
          <w:bCs/>
          <w:color w:val="000000" w:themeColor="text1"/>
        </w:rPr>
        <w:t xml:space="preserve"> Sull’applicazione del presente articolo vigila l’ANAC anche tenuto conto del valore delle prestazioni eseguite.</w:t>
      </w:r>
    </w:p>
    <w:p w14:paraId="5C7CC0F4" w14:textId="1AC988E5" w:rsidR="008523D9" w:rsidRPr="004A5029" w:rsidRDefault="008523D9"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Per i concessionari autostradali, le quote e i criteri di determinazione di cui al comma 2 sono calcolati sulla base degli importi risultanti dai piani economici finanziari annessi agli atti convenzionali. La verifica del rispetto delle predette soglie è effettata dal concedente con cadenza quinquennale. A tal fine, i concessionari presentano al concedente il piano complessivo dei lavori, servizi e forniture. Ove siano accertate situazioni di squilibrio rispetto alle quote obbligatorie di affidamento indicate dal comma 2, primo periodo, in sede di aggiornamento del rapporto concessorio sono adottate misure di riequilibrio a valere sui relativi piani economici finanziari. Nell’ipotesi di mancato rispetto delle quote di cui al comma 2, l’ente concedente può altresì richiedere al concessionario la presentazione di garanzie fideiussorie. Tali garanzie fideiussorie sono svincolate in se</w:t>
      </w:r>
      <w:r w:rsidR="00DC5127" w:rsidRPr="004A5029">
        <w:rPr>
          <w:rFonts w:ascii="Times New Roman" w:hAnsi="Times New Roman" w:cs="Times New Roman"/>
          <w:bCs/>
          <w:color w:val="000000" w:themeColor="text1"/>
        </w:rPr>
        <w:t>de</w:t>
      </w:r>
      <w:r w:rsidRPr="004A5029">
        <w:rPr>
          <w:rFonts w:ascii="Times New Roman" w:hAnsi="Times New Roman" w:cs="Times New Roman"/>
          <w:bCs/>
          <w:color w:val="000000" w:themeColor="text1"/>
        </w:rPr>
        <w:t xml:space="preserve"> di aggiornamento del piano economico</w:t>
      </w:r>
      <w:r w:rsidR="004873AF" w:rsidRPr="004A5029">
        <w:rPr>
          <w:rFonts w:ascii="Times New Roman" w:hAnsi="Times New Roman" w:cs="Times New Roman"/>
          <w:bCs/>
          <w:color w:val="000000" w:themeColor="text1"/>
        </w:rPr>
        <w:t>-</w:t>
      </w:r>
      <w:r w:rsidRPr="004A5029">
        <w:rPr>
          <w:rFonts w:ascii="Times New Roman" w:hAnsi="Times New Roman" w:cs="Times New Roman"/>
          <w:bCs/>
          <w:color w:val="000000" w:themeColor="text1"/>
        </w:rPr>
        <w:t xml:space="preserve">finanziario ove </w:t>
      </w:r>
      <w:bookmarkStart w:id="59" w:name="_Hlk127464769"/>
      <w:r w:rsidRPr="004A5029">
        <w:rPr>
          <w:rFonts w:ascii="Times New Roman" w:hAnsi="Times New Roman" w:cs="Times New Roman"/>
          <w:b/>
          <w:strike/>
          <w:color w:val="000000" w:themeColor="text1"/>
        </w:rPr>
        <w:t>venga</w:t>
      </w:r>
      <w:r w:rsidRPr="004A5029">
        <w:rPr>
          <w:rFonts w:ascii="Times New Roman" w:hAnsi="Times New Roman" w:cs="Times New Roman"/>
          <w:bCs/>
          <w:color w:val="000000" w:themeColor="text1"/>
        </w:rPr>
        <w:t xml:space="preserve"> </w:t>
      </w:r>
      <w:r w:rsidR="00C60EC3" w:rsidRPr="004A5029">
        <w:rPr>
          <w:rFonts w:ascii="Times New Roman" w:hAnsi="Times New Roman" w:cs="Times New Roman"/>
          <w:b/>
          <w:color w:val="000000" w:themeColor="text1"/>
        </w:rPr>
        <w:t xml:space="preserve">sia </w:t>
      </w:r>
      <w:bookmarkEnd w:id="59"/>
      <w:r w:rsidRPr="004A5029">
        <w:rPr>
          <w:rFonts w:ascii="Times New Roman" w:hAnsi="Times New Roman" w:cs="Times New Roman"/>
          <w:bCs/>
          <w:color w:val="000000" w:themeColor="text1"/>
        </w:rPr>
        <w:t>accertato il rispetto delle quote di cui al comma 2.</w:t>
      </w:r>
    </w:p>
    <w:p w14:paraId="5A96C5BC" w14:textId="636EDFC9" w:rsidR="00DC5127" w:rsidRPr="004A5029" w:rsidRDefault="00DC5127"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7. Le concessioni autostradali relative ad autostrade che interessano una o più regioni possono essere affidate dal Ministero delle infrastrutture e dei trasporti a società </w:t>
      </w:r>
      <w:r w:rsidRPr="004A5029">
        <w:rPr>
          <w:rFonts w:ascii="Times New Roman" w:hAnsi="Times New Roman" w:cs="Times New Roman"/>
          <w:bCs/>
          <w:i/>
          <w:iCs/>
          <w:color w:val="000000" w:themeColor="text1"/>
        </w:rPr>
        <w:t>in house</w:t>
      </w:r>
      <w:r w:rsidRPr="004A5029">
        <w:rPr>
          <w:rFonts w:ascii="Times New Roman" w:hAnsi="Times New Roman" w:cs="Times New Roman"/>
          <w:bCs/>
          <w:color w:val="000000" w:themeColor="text1"/>
        </w:rPr>
        <w:t xml:space="preserve"> di altre amministrazioni pubbliche anche appositamente costituite. A tal fine il controllo analogo sulla predetta società </w:t>
      </w:r>
      <w:r w:rsidRPr="004A5029">
        <w:rPr>
          <w:rFonts w:ascii="Times New Roman" w:hAnsi="Times New Roman" w:cs="Times New Roman"/>
          <w:bCs/>
          <w:i/>
          <w:iCs/>
          <w:color w:val="000000" w:themeColor="text1"/>
        </w:rPr>
        <w:t>in house</w:t>
      </w:r>
      <w:r w:rsidRPr="004A5029">
        <w:rPr>
          <w:rFonts w:ascii="Times New Roman" w:hAnsi="Times New Roman" w:cs="Times New Roman"/>
          <w:bCs/>
          <w:color w:val="000000" w:themeColor="text1"/>
        </w:rPr>
        <w:t xml:space="preserve"> può essere esercitato dal Ministero delle infrastrutture e dei trasporti </w:t>
      </w:r>
      <w:r w:rsidR="00D209C0" w:rsidRPr="004A5029">
        <w:rPr>
          <w:rFonts w:ascii="Times New Roman" w:hAnsi="Times New Roman" w:cs="Times New Roman"/>
          <w:bCs/>
          <w:color w:val="000000" w:themeColor="text1"/>
        </w:rPr>
        <w:t>attraverso</w:t>
      </w:r>
      <w:r w:rsidRPr="004A5029">
        <w:rPr>
          <w:rFonts w:ascii="Times New Roman" w:hAnsi="Times New Roman" w:cs="Times New Roman"/>
          <w:bCs/>
          <w:color w:val="000000" w:themeColor="text1"/>
        </w:rPr>
        <w:t xml:space="preserve"> un comitato </w:t>
      </w:r>
      <w:r w:rsidR="00D209C0" w:rsidRPr="004A5029">
        <w:rPr>
          <w:rFonts w:ascii="Times New Roman" w:hAnsi="Times New Roman" w:cs="Times New Roman"/>
          <w:bCs/>
          <w:color w:val="000000" w:themeColor="text1"/>
        </w:rPr>
        <w:t>disciplinato</w:t>
      </w:r>
      <w:r w:rsidRPr="004A5029">
        <w:rPr>
          <w:rFonts w:ascii="Times New Roman" w:hAnsi="Times New Roman" w:cs="Times New Roman"/>
          <w:bCs/>
          <w:color w:val="000000" w:themeColor="text1"/>
        </w:rPr>
        <w:t xml:space="preserve"> da apposito accordo ai sensi dell’articolo 15 della legge 7 agosto 1990, n. 241, che </w:t>
      </w:r>
      <w:r w:rsidR="00D209C0" w:rsidRPr="004A5029">
        <w:rPr>
          <w:rFonts w:ascii="Times New Roman" w:hAnsi="Times New Roman" w:cs="Times New Roman"/>
          <w:bCs/>
          <w:color w:val="000000" w:themeColor="text1"/>
        </w:rPr>
        <w:t>eserciti</w:t>
      </w:r>
      <w:r w:rsidRPr="004A5029">
        <w:rPr>
          <w:rFonts w:ascii="Times New Roman" w:hAnsi="Times New Roman" w:cs="Times New Roman"/>
          <w:bCs/>
          <w:color w:val="000000" w:themeColor="text1"/>
        </w:rPr>
        <w:t xml:space="preserve"> sulla società </w:t>
      </w:r>
      <w:r w:rsidRPr="004A5029">
        <w:rPr>
          <w:rFonts w:ascii="Times New Roman" w:hAnsi="Times New Roman" w:cs="Times New Roman"/>
          <w:bCs/>
          <w:i/>
          <w:iCs/>
          <w:color w:val="000000" w:themeColor="text1"/>
        </w:rPr>
        <w:t>in house</w:t>
      </w:r>
      <w:r w:rsidRPr="004A5029">
        <w:rPr>
          <w:rFonts w:ascii="Times New Roman" w:hAnsi="Times New Roman" w:cs="Times New Roman"/>
          <w:bCs/>
          <w:color w:val="000000" w:themeColor="text1"/>
        </w:rPr>
        <w:t xml:space="preserve"> i </w:t>
      </w:r>
      <w:r w:rsidR="00396B7B" w:rsidRPr="004A5029">
        <w:rPr>
          <w:rFonts w:ascii="Times New Roman" w:hAnsi="Times New Roman" w:cs="Times New Roman"/>
          <w:bCs/>
          <w:color w:val="000000" w:themeColor="text1"/>
        </w:rPr>
        <w:t xml:space="preserve">relativi </w:t>
      </w:r>
      <w:r w:rsidRPr="004A5029">
        <w:rPr>
          <w:rFonts w:ascii="Times New Roman" w:hAnsi="Times New Roman" w:cs="Times New Roman"/>
          <w:bCs/>
          <w:color w:val="000000" w:themeColor="text1"/>
        </w:rPr>
        <w:t>poteri</w:t>
      </w:r>
      <w:r w:rsidR="00396B7B" w:rsidRPr="004A5029">
        <w:rPr>
          <w:rFonts w:ascii="Times New Roman" w:hAnsi="Times New Roman" w:cs="Times New Roman"/>
          <w:bCs/>
          <w:color w:val="000000" w:themeColor="text1"/>
        </w:rPr>
        <w:t>.</w:t>
      </w:r>
    </w:p>
    <w:p w14:paraId="62A1F980" w14:textId="77777777" w:rsidR="0083753D" w:rsidRPr="004A5029" w:rsidRDefault="0083753D" w:rsidP="0083753D">
      <w:pPr>
        <w:rPr>
          <w:rFonts w:ascii="Times New Roman" w:hAnsi="Times New Roman" w:cs="Times New Roman"/>
          <w:color w:val="000000" w:themeColor="text1"/>
        </w:rPr>
      </w:pPr>
    </w:p>
    <w:p w14:paraId="57A20F1D"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187.</w:t>
      </w:r>
    </w:p>
    <w:p w14:paraId="6CE6699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Contratti di concessione di importo inferiore alla soglia europea.</w:t>
      </w:r>
    </w:p>
    <w:p w14:paraId="25AD0AFB" w14:textId="22D2F594"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1. Per l’affidamento dei contratti di concessione il cui valore sia inferiore alla soglia di cui all’articolo 14, comma 1, lettera a), l’ente concedente può procedere mediante procedura negoziata, senza pubblicazione di un bando di gara, previa consultazione, ove esistenti, di almeno 10 operatori economici, nel rispetto di un criterio di rotazione degli inviti, individuati sulla base di indagini di mercato o tramite elenchi di operatori economici. Resta ferma la facoltà per l’ente concedente di affidare gli stessi contratti di concessione di importo inferiore alla soglia europea mediante le procedure di gara disciplinate dal presente Titolo</w:t>
      </w:r>
      <w:r w:rsidRPr="004A5029">
        <w:rPr>
          <w:rFonts w:ascii="Times New Roman" w:eastAsia="Times New Roman" w:hAnsi="Times New Roman" w:cs="Times New Roman"/>
          <w:strike/>
          <w:color w:val="000000" w:themeColor="text1"/>
        </w:rPr>
        <w:t xml:space="preserve"> </w:t>
      </w:r>
      <w:r w:rsidRPr="004A5029">
        <w:rPr>
          <w:rFonts w:ascii="Times New Roman" w:eastAsia="Times New Roman" w:hAnsi="Times New Roman" w:cs="Times New Roman"/>
          <w:b/>
          <w:bCs/>
          <w:strike/>
          <w:color w:val="000000" w:themeColor="text1"/>
        </w:rPr>
        <w:t>II</w:t>
      </w:r>
      <w:r w:rsidRPr="004A5029">
        <w:rPr>
          <w:rFonts w:ascii="Times New Roman" w:eastAsia="Times New Roman" w:hAnsi="Times New Roman" w:cs="Times New Roman"/>
          <w:b/>
          <w:bCs/>
          <w:color w:val="000000" w:themeColor="text1"/>
        </w:rPr>
        <w:t>.</w:t>
      </w:r>
    </w:p>
    <w:p w14:paraId="0467D411"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2. Ai contratti di importo inferiore alla soglia europea si applicano le norme sull’esecuzione di cui al Titolo III della presente Parte.</w:t>
      </w:r>
    </w:p>
    <w:p w14:paraId="300079F4" w14:textId="77777777" w:rsidR="0083753D" w:rsidRPr="004A5029" w:rsidRDefault="0083753D" w:rsidP="0083753D">
      <w:pPr>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577CD473" w14:textId="77777777" w:rsidR="00DC7D5C" w:rsidRPr="004A5029" w:rsidRDefault="0083753D" w:rsidP="0083753D">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 xml:space="preserve">TITOLO III </w:t>
      </w:r>
    </w:p>
    <w:p w14:paraId="30A17F1C" w14:textId="0EC5DB5A" w:rsidR="0083753D" w:rsidRPr="004A5029" w:rsidRDefault="0083753D" w:rsidP="0083753D">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L’esecuzione delle concessioni</w:t>
      </w:r>
    </w:p>
    <w:p w14:paraId="299D8616" w14:textId="77777777" w:rsidR="0083753D" w:rsidRPr="004A5029" w:rsidRDefault="0083753D" w:rsidP="0083753D">
      <w:pPr>
        <w:jc w:val="center"/>
        <w:rPr>
          <w:rFonts w:ascii="Times New Roman" w:hAnsi="Times New Roman" w:cs="Times New Roman"/>
          <w:b/>
          <w:color w:val="000000" w:themeColor="text1"/>
        </w:rPr>
      </w:pPr>
    </w:p>
    <w:p w14:paraId="4234A9A5"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188.</w:t>
      </w:r>
    </w:p>
    <w:p w14:paraId="7DF77A07"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color w:val="000000" w:themeColor="text1"/>
        </w:rPr>
        <w:t>Subappalto.</w:t>
      </w:r>
    </w:p>
    <w:p w14:paraId="115F02C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Il ricorso al subappalto da parte del concessionario è regolato dalle corrispondenti disposizioni in materia di appalto, di cui all’articolo 119.</w:t>
      </w:r>
    </w:p>
    <w:p w14:paraId="491D2769" w14:textId="77777777" w:rsidR="0083753D" w:rsidRPr="004A5029" w:rsidRDefault="0083753D" w:rsidP="0083753D">
      <w:pPr>
        <w:jc w:val="both"/>
        <w:rPr>
          <w:rFonts w:ascii="Times New Roman" w:hAnsi="Times New Roman" w:cs="Times New Roman"/>
          <w:color w:val="000000" w:themeColor="text1"/>
        </w:rPr>
      </w:pPr>
    </w:p>
    <w:p w14:paraId="253B10A2"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color w:val="000000" w:themeColor="text1"/>
        </w:rPr>
        <w:t>Articolo 189</w:t>
      </w:r>
      <w:r w:rsidRPr="004A5029">
        <w:rPr>
          <w:rFonts w:ascii="Times New Roman" w:hAnsi="Times New Roman" w:cs="Times New Roman"/>
          <w:b/>
          <w:bCs/>
          <w:color w:val="000000" w:themeColor="text1"/>
        </w:rPr>
        <w:t>.</w:t>
      </w:r>
    </w:p>
    <w:p w14:paraId="25406FF5"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bCs/>
          <w:i/>
          <w:color w:val="000000" w:themeColor="text1"/>
        </w:rPr>
        <w:t>Modifica di contratti durante il periodo di efficacia.</w:t>
      </w:r>
    </w:p>
    <w:p w14:paraId="4DB38CC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Le concessioni possono essere modificate senza una nuova procedura di aggiudicazione della concessione nei casi seguenti:</w:t>
      </w:r>
    </w:p>
    <w:p w14:paraId="2A6A706D" w14:textId="7177FC9A" w:rsidR="0083753D" w:rsidRPr="004A5029" w:rsidRDefault="00E422AB"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se le modifiche, a prescindere dal loro valore monetario, sono state previste nei documenti di gara iniziali in clausole chiare, precise e inequivocabili, che possono comprendere clausole di revisione dei prezzi purché riferite agli indici sintetici di cui all’articolo 60, comma 3</w:t>
      </w:r>
      <w:r w:rsidR="00FA12AC" w:rsidRPr="004A5029">
        <w:rPr>
          <w:rFonts w:ascii="Times New Roman" w:hAnsi="Times New Roman" w:cs="Times New Roman"/>
          <w:b/>
          <w:bCs/>
          <w:color w:val="000000" w:themeColor="text1"/>
        </w:rPr>
        <w:t xml:space="preserve">, </w:t>
      </w:r>
      <w:bookmarkStart w:id="60" w:name="_Hlk127465342"/>
      <w:r w:rsidR="00FA12AC" w:rsidRPr="004A5029">
        <w:rPr>
          <w:rFonts w:ascii="Times New Roman" w:hAnsi="Times New Roman" w:cs="Times New Roman"/>
          <w:b/>
          <w:bCs/>
          <w:color w:val="000000" w:themeColor="text1"/>
        </w:rPr>
        <w:t xml:space="preserve">od </w:t>
      </w:r>
      <w:bookmarkEnd w:id="60"/>
      <w:r w:rsidR="00FA12AC" w:rsidRPr="004A5029">
        <w:rPr>
          <w:rFonts w:ascii="Times New Roman" w:hAnsi="Times New Roman" w:cs="Times New Roman"/>
          <w:b/>
          <w:bCs/>
          <w:color w:val="000000" w:themeColor="text1"/>
        </w:rPr>
        <w:t>opzioni</w:t>
      </w:r>
      <w:r w:rsidRPr="004A5029">
        <w:rPr>
          <w:rFonts w:ascii="Times New Roman" w:hAnsi="Times New Roman" w:cs="Times New Roman"/>
          <w:color w:val="000000" w:themeColor="text1"/>
        </w:rPr>
        <w:t xml:space="preserve">; tali clausole fissano la portata e la natura di eventuali modifiche </w:t>
      </w:r>
      <w:r w:rsidRPr="004A5029">
        <w:rPr>
          <w:rFonts w:ascii="Times New Roman" w:hAnsi="Times New Roman" w:cs="Times New Roman"/>
          <w:b/>
          <w:bCs/>
          <w:color w:val="000000" w:themeColor="text1"/>
        </w:rPr>
        <w:t>od opzioni</w:t>
      </w:r>
      <w:r w:rsidRPr="004A5029">
        <w:rPr>
          <w:rFonts w:ascii="Times New Roman" w:hAnsi="Times New Roman" w:cs="Times New Roman"/>
          <w:color w:val="000000" w:themeColor="text1"/>
        </w:rPr>
        <w:t xml:space="preserve">, nonché le condizioni alle quali possono essere impiegate; esse non apportano modifiche </w:t>
      </w:r>
      <w:r w:rsidRPr="004A5029">
        <w:rPr>
          <w:rFonts w:ascii="Times New Roman" w:hAnsi="Times New Roman" w:cs="Times New Roman"/>
          <w:b/>
          <w:bCs/>
          <w:color w:val="000000" w:themeColor="text1"/>
        </w:rPr>
        <w:t>od opzioni</w:t>
      </w:r>
      <w:r w:rsidRPr="004A5029">
        <w:rPr>
          <w:rFonts w:ascii="Times New Roman" w:hAnsi="Times New Roman" w:cs="Times New Roman"/>
          <w:color w:val="000000" w:themeColor="text1"/>
        </w:rPr>
        <w:t xml:space="preserve"> che altererebbero la natura generale della concessione</w:t>
      </w:r>
      <w:r w:rsidR="0083753D" w:rsidRPr="004A5029">
        <w:rPr>
          <w:rFonts w:ascii="Times New Roman" w:hAnsi="Times New Roman" w:cs="Times New Roman"/>
          <w:color w:val="000000" w:themeColor="text1"/>
        </w:rPr>
        <w:t>;</w:t>
      </w:r>
    </w:p>
    <w:p w14:paraId="6CA1B89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per lavori o servizi supplementari da parte del concessionario originario che si sono resi necessari e non erano inclusi nella concessione iniziale, quando un cambiamento di concessionario:</w:t>
      </w:r>
    </w:p>
    <w:p w14:paraId="541DF67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risulti impraticabile per motivi economici o tecnici, quali il rispetto dei requisiti di intercambiabilità o interoperatività tra apparecchiature, servizi o impianti esistenti forniti nell'ambito della concessione iniziale;</w:t>
      </w:r>
    </w:p>
    <w:p w14:paraId="13C6DD4F" w14:textId="5CED0366"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comporti per l’ente concedente notevoli inconvenienti o una sostanziale duplicazione dei costi</w:t>
      </w:r>
      <w:r w:rsidR="000B7948">
        <w:rPr>
          <w:rFonts w:ascii="Times New Roman" w:hAnsi="Times New Roman" w:cs="Times New Roman"/>
          <w:bCs/>
          <w:color w:val="000000" w:themeColor="text1"/>
        </w:rPr>
        <w:t>;</w:t>
      </w:r>
      <w:r w:rsidRPr="004A5029">
        <w:rPr>
          <w:rFonts w:ascii="Times New Roman" w:hAnsi="Times New Roman" w:cs="Times New Roman"/>
          <w:bCs/>
          <w:color w:val="000000" w:themeColor="text1"/>
        </w:rPr>
        <w:t xml:space="preserve"> </w:t>
      </w:r>
      <w:r w:rsidRPr="00F75DB3">
        <w:rPr>
          <w:rFonts w:ascii="Times New Roman" w:hAnsi="Times New Roman" w:cs="Times New Roman"/>
          <w:b/>
          <w:strike/>
          <w:color w:val="000000" w:themeColor="text1"/>
        </w:rPr>
        <w:t>Tuttavia nel caso di concessioni aggiudicate dall’ente concedente allo scopo di svolgere un’attività diversa da quelle di cui all’allegato II alla direttiva 2014/23/UE del Parlamento europeo e del Consiglio, del 26 febbraio 2014, l’eventuale aumento di valore non deve eccedere il 50 per cento del valore della concessione iniziale. In caso di più modifiche successive, tale limitazione si applica al valore di ciascuna modifica. Tali modifiche successive non sono intese ad aggirare le disposizioni della presente Parte</w:t>
      </w:r>
      <w:r w:rsidRPr="004A5029">
        <w:rPr>
          <w:rFonts w:ascii="Times New Roman" w:hAnsi="Times New Roman" w:cs="Times New Roman"/>
          <w:bCs/>
          <w:color w:val="000000" w:themeColor="text1"/>
        </w:rPr>
        <w:t>;</w:t>
      </w:r>
    </w:p>
    <w:p w14:paraId="6C446E2E"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negli ulteriori casi in cui siano soddisfatte tutte le seguenti condizioni:</w:t>
      </w:r>
    </w:p>
    <w:p w14:paraId="3F405D9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 necessità di modifica è determinata da circostanze che un ente concedente diligente non ha potuto prevedere;</w:t>
      </w:r>
    </w:p>
    <w:p w14:paraId="61A6F12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la modifica non altera la natura generale della concessione;</w:t>
      </w:r>
    </w:p>
    <w:p w14:paraId="49154B76"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nel caso di concessioni aggiudicate dall’ente concedente allo scopo di svolgere un’attività diversa da quelle di cui all’allegato II alla direttiva 2014/23/UE del Parlamento europeo e del Consiglio, del 26 febbraio 2014, l’eventuale aumento di valore non deve eccedere il 50 per cento del valore della concessione iniziale. In caso di più modifiche successive, tale limitazione si applica al valore di ciascuna modifica. Tali modifiche successive non sono intese ad aggirare le disposizioni della presente Parte;</w:t>
      </w:r>
    </w:p>
    <w:p w14:paraId="11FBFD1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se un nuovo concessionario sostituisce quello a cui l’ente concedente aveva inizialmente aggiudicato la concessione a causa di una delle seguenti circostanze:</w:t>
      </w:r>
    </w:p>
    <w:p w14:paraId="58B3537F" w14:textId="6589438B"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la presenza di una clausola o</w:t>
      </w:r>
      <w:r w:rsidR="00FF7870"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 xml:space="preserve"> opzione di revisione inequivocabile in conformità della lettera a);</w:t>
      </w:r>
    </w:p>
    <w:p w14:paraId="0C2995B3" w14:textId="0C32377C"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2) al concessionario iniziale succeda, in via universale o parziale, a seguito di ristrutturazioni societarie, comprese rilevazioni, fusioni, acquisizione o insolvenza, un altro operatore economico che soddisfi i criteri di selezione qualitativa stabiliti inizialmente, purché ciò non implichi altre modifiche sostanziali al contratto e non sia finalizzato ad eludere l'applicazione </w:t>
      </w:r>
      <w:r w:rsidRPr="004A5029">
        <w:rPr>
          <w:rFonts w:ascii="Times New Roman" w:hAnsi="Times New Roman" w:cs="Times New Roman"/>
          <w:bCs/>
          <w:color w:val="000000" w:themeColor="text1"/>
        </w:rPr>
        <w:t>della direttiva 2014/23/UE;</w:t>
      </w:r>
    </w:p>
    <w:p w14:paraId="7C7F94AF"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3) nel caso in cui l’ente concedente si assuma gli obblighi del concessionario principale nei confronti dei suoi subappaltatori, </w:t>
      </w:r>
      <w:r w:rsidRPr="004A5029">
        <w:rPr>
          <w:rFonts w:ascii="Times New Roman" w:hAnsi="Times New Roman" w:cs="Times New Roman"/>
          <w:bCs/>
          <w:color w:val="000000" w:themeColor="text1"/>
        </w:rPr>
        <w:t>ove tale possibilità sia prevista dalla legislazione nazionale;</w:t>
      </w:r>
    </w:p>
    <w:p w14:paraId="1E990E78" w14:textId="77777777"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e) se le modifiche, a prescindere dal loro valore, non sono sostanziali.</w:t>
      </w:r>
    </w:p>
    <w:p w14:paraId="35C48E6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concessioni possono parimenti essere modificate senza necessità di una nuova procedura di aggiudicazione se il valore della modifica è inferiore a entrambi i valori seguenti:</w:t>
      </w:r>
    </w:p>
    <w:p w14:paraId="543214A6" w14:textId="4CE16914"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 soglia di cui all’articolo 8 della </w:t>
      </w:r>
      <w:r w:rsidR="002C09ED" w:rsidRPr="004A5029">
        <w:rPr>
          <w:rFonts w:ascii="Times New Roman" w:hAnsi="Times New Roman" w:cs="Times New Roman"/>
          <w:color w:val="000000" w:themeColor="text1"/>
        </w:rPr>
        <w:t>direttiva 2014/23/UE</w:t>
      </w:r>
      <w:r w:rsidR="00506ECA" w:rsidRPr="004A5029">
        <w:rPr>
          <w:rFonts w:ascii="Times New Roman" w:hAnsi="Times New Roman" w:cs="Times New Roman"/>
          <w:color w:val="000000" w:themeColor="text1"/>
        </w:rPr>
        <w:t>;</w:t>
      </w:r>
    </w:p>
    <w:p w14:paraId="63093AA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il 10 per cento del valore della concessione iniziale.</w:t>
      </w:r>
    </w:p>
    <w:p w14:paraId="00884B23" w14:textId="77777777" w:rsidR="0083753D" w:rsidRPr="004A5029" w:rsidRDefault="0083753D" w:rsidP="0083753D">
      <w:pPr>
        <w:jc w:val="both"/>
        <w:rPr>
          <w:rFonts w:ascii="Times New Roman" w:hAnsi="Times New Roman" w:cs="Times New Roman"/>
          <w:i/>
          <w:color w:val="000000" w:themeColor="text1"/>
          <w:shd w:val="clear" w:color="auto" w:fill="FFFFFF"/>
        </w:rPr>
      </w:pPr>
      <w:r w:rsidRPr="004A5029">
        <w:rPr>
          <w:rFonts w:ascii="Times New Roman" w:hAnsi="Times New Roman" w:cs="Times New Roman"/>
          <w:color w:val="000000" w:themeColor="text1"/>
        </w:rPr>
        <w:t>3. Le modifiche di cui al comma 2 non possono alterare la natura generale della concessione. In caso di più modifiche successive, il valore è accertato sulla base del valore complessivo netto delle successive modifiche.</w:t>
      </w:r>
    </w:p>
    <w:p w14:paraId="58B71F1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La modifica di una concessione durante il periodo della sua validità è considerata sostanziale se la natura della concessione muta nella sua essenza rispetto a quella inizialmente conclusa. In ogni caso, una modifica è considerata sostanziale se una o più delle seguenti condizioni sono soddisfatte:</w:t>
      </w:r>
    </w:p>
    <w:p w14:paraId="7BCFF79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 modifica introduce condizioni che, se fossero state contenute nella procedura iniziale di aggiudicazione della concessione, avrebbero consentito l'ammissione di candidati diversi da quelli inizialmente selezionati o l'accettazione di un'offerta diversa da quella inizialmente accettata, oppure avrebbero attirato ulteriori partecipanti alla procedura di aggiudicazione della concessione;</w:t>
      </w:r>
    </w:p>
    <w:p w14:paraId="3887A78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la modifica cambia l'equilibrio economico della concessione a favore del concessionario in modo non previsto dalla concessione iniziale;</w:t>
      </w:r>
    </w:p>
    <w:p w14:paraId="6BA78FE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la modifica estende notevolmente l'ambito di applicazione della concessione;</w:t>
      </w:r>
    </w:p>
    <w:p w14:paraId="305F372F" w14:textId="7A8578AB"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 se un nuovo concessionario sostituisce quello cui l’ente concedente aveva inizialmente aggiudicato la concessione in casi diversi da quelli previsti </w:t>
      </w:r>
      <w:r w:rsidR="00FE1836"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comma 1, lettera d).</w:t>
      </w:r>
    </w:p>
    <w:p w14:paraId="69AD0410" w14:textId="5DDF1D93"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5. Nelle situazioni di cui al comma 1, letter</w:t>
      </w:r>
      <w:r w:rsidR="00FE1836" w:rsidRPr="004A5029">
        <w:rPr>
          <w:rFonts w:ascii="Times New Roman" w:hAnsi="Times New Roman" w:cs="Times New Roman"/>
          <w:bCs/>
          <w:color w:val="000000" w:themeColor="text1"/>
        </w:rPr>
        <w:t>e</w:t>
      </w:r>
      <w:r w:rsidRPr="004A5029">
        <w:rPr>
          <w:rFonts w:ascii="Times New Roman" w:hAnsi="Times New Roman" w:cs="Times New Roman"/>
          <w:bCs/>
          <w:color w:val="000000" w:themeColor="text1"/>
        </w:rPr>
        <w:t xml:space="preserve"> b) e c), l’ente concedente pubblica un avviso al riguardo nella Gazzetta</w:t>
      </w:r>
      <w:r w:rsidR="001E783B" w:rsidRPr="004A5029">
        <w:rPr>
          <w:rFonts w:ascii="Times New Roman" w:hAnsi="Times New Roman" w:cs="Times New Roman"/>
          <w:bCs/>
          <w:color w:val="000000" w:themeColor="text1"/>
        </w:rPr>
        <w:t xml:space="preserve"> u</w:t>
      </w:r>
      <w:r w:rsidRPr="004A5029">
        <w:rPr>
          <w:rFonts w:ascii="Times New Roman" w:hAnsi="Times New Roman" w:cs="Times New Roman"/>
          <w:bCs/>
          <w:color w:val="000000" w:themeColor="text1"/>
        </w:rPr>
        <w:t>fficiale dell’Unione europea. Tale avviso contiene le informazioni di cui all’allegato XI alla direttiva 2014/23/UE</w:t>
      </w:r>
      <w:r w:rsidR="00506ECA"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ed è pubblicato conformemente all’articolo 33 della stessa direttiva.</w:t>
      </w:r>
    </w:p>
    <w:p w14:paraId="6E2AD461" w14:textId="0129EA7C" w:rsidR="00466D58" w:rsidRPr="004A5029" w:rsidRDefault="00466D58" w:rsidP="0083753D">
      <w:pPr>
        <w:jc w:val="both"/>
        <w:rPr>
          <w:rFonts w:ascii="Times New Roman" w:hAnsi="Times New Roman" w:cs="Times New Roman"/>
          <w:b/>
          <w:color w:val="000000" w:themeColor="text1"/>
          <w:shd w:val="clear" w:color="auto" w:fill="FFFFFF"/>
        </w:rPr>
      </w:pPr>
      <w:r w:rsidRPr="004A5029">
        <w:rPr>
          <w:rFonts w:ascii="Times New Roman" w:hAnsi="Times New Roman" w:cs="Times New Roman"/>
          <w:b/>
          <w:color w:val="000000" w:themeColor="text1"/>
        </w:rPr>
        <w:t>6. Nelle ipotesi di cui al comma 1, lettere a) e b), per le concessioni aggiudicate dall’ente concedente allo scopo di svolgere un’attività diversa da quelle di cui all’allegato II alla direttiva 2014/23/UE, l’eventuale aumento di valore non deve eccedere il 50 per cento del valore della concessione iniziale. In caso di più modifiche successive, tale limitazione si applica al valore di ciascuna modifica. Tali modifiche successive non sono intese ad aggirare le disposizioni della presente Parte.</w:t>
      </w:r>
    </w:p>
    <w:p w14:paraId="6F5CD9ED" w14:textId="77777777" w:rsidR="0083753D" w:rsidRPr="004A5029" w:rsidRDefault="0083753D" w:rsidP="0083753D">
      <w:pPr>
        <w:jc w:val="both"/>
        <w:rPr>
          <w:rFonts w:ascii="Times New Roman" w:hAnsi="Times New Roman" w:cs="Times New Roman"/>
          <w:i/>
          <w:iCs/>
          <w:color w:val="000000" w:themeColor="text1"/>
          <w:shd w:val="clear" w:color="auto" w:fill="FFFFFF"/>
        </w:rPr>
      </w:pPr>
    </w:p>
    <w:p w14:paraId="5DE13F83"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190.</w:t>
      </w:r>
    </w:p>
    <w:p w14:paraId="48B1450B"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i/>
          <w:color w:val="000000" w:themeColor="text1"/>
        </w:rPr>
        <w:t>Risoluzione e recesso.</w:t>
      </w:r>
      <w:r w:rsidRPr="004A5029">
        <w:rPr>
          <w:rFonts w:ascii="Times New Roman" w:hAnsi="Times New Roman" w:cs="Times New Roman"/>
          <w:bCs/>
          <w:i/>
          <w:color w:val="000000" w:themeColor="text1"/>
          <w:vertAlign w:val="superscript"/>
        </w:rPr>
        <w:t xml:space="preserve"> </w:t>
      </w:r>
    </w:p>
    <w:p w14:paraId="4402A31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w:t>
      </w:r>
      <w:r w:rsidRPr="004A5029">
        <w:rPr>
          <w:rFonts w:ascii="Times New Roman" w:hAnsi="Times New Roman" w:cs="Times New Roman"/>
          <w:bCs/>
          <w:color w:val="000000" w:themeColor="text1"/>
        </w:rPr>
        <w:t>L’ente concedente può dichiarare risolta la concessione in corso di rapporto della stessa se una o più delle seguenti condizioni si verificano:</w:t>
      </w:r>
    </w:p>
    <w:p w14:paraId="5C7D2B3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la concessione ha subito una modifica che avrebbe richiesto una nuova procedura di aggiudicazione della concessione;</w:t>
      </w:r>
    </w:p>
    <w:p w14:paraId="381D1C2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il concessionario </w:t>
      </w:r>
      <w:r w:rsidRPr="004A5029">
        <w:rPr>
          <w:rFonts w:ascii="Times New Roman" w:hAnsi="Times New Roman" w:cs="Times New Roman"/>
          <w:bCs/>
          <w:color w:val="000000" w:themeColor="text1"/>
        </w:rPr>
        <w:t>si trovava, al momento dell'aggiudicazione della concessione, in una delle situazioni che comportano l’esclusione dalla procedura di aggiudicazione della concessione</w:t>
      </w:r>
      <w:r w:rsidRPr="004A5029">
        <w:rPr>
          <w:rFonts w:ascii="Times New Roman" w:hAnsi="Times New Roman" w:cs="Times New Roman"/>
          <w:color w:val="000000" w:themeColor="text1"/>
        </w:rPr>
        <w:t>;</w:t>
      </w:r>
    </w:p>
    <w:p w14:paraId="17B432ED" w14:textId="4DD37E4D"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la Corte di giustizia dell'Unione europea constata, in un procedimento ai sensi dell'articolo 258 </w:t>
      </w:r>
      <w:r w:rsidR="004B7F60" w:rsidRPr="004A5029">
        <w:rPr>
          <w:rFonts w:ascii="Times New Roman" w:hAnsi="Times New Roman" w:cs="Times New Roman"/>
          <w:color w:val="000000" w:themeColor="text1"/>
        </w:rPr>
        <w:t>del Trattato sul funzionamento dell'Unione europea</w:t>
      </w:r>
      <w:r w:rsidRPr="004A5029">
        <w:rPr>
          <w:rFonts w:ascii="Times New Roman" w:hAnsi="Times New Roman" w:cs="Times New Roman"/>
          <w:color w:val="000000" w:themeColor="text1"/>
        </w:rPr>
        <w:t>, che uno Stato membro ha violato uno degli obblighi su lui incombenti in virtù dei trattati europei per il fatto che un ente concedente appartenente allo Stato membro in questione ha aggiudicato la concessione in oggetto senza adempiere gli obblighi previsti dai trattati europei e dalla direttiva 2014/23/UE del Parlamento europeo e del Consiglio, del 26 febbraio 2014.</w:t>
      </w:r>
    </w:p>
    <w:p w14:paraId="4429A898" w14:textId="7674EC57" w:rsidR="513527DC" w:rsidRPr="004A5029" w:rsidRDefault="513527DC" w:rsidP="6E003A1F">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2. </w:t>
      </w:r>
      <w:r w:rsidR="00D32F49" w:rsidRPr="004A5029">
        <w:rPr>
          <w:rFonts w:ascii="Times New Roman" w:eastAsia="Times New Roman" w:hAnsi="Times New Roman" w:cs="Times New Roman"/>
          <w:color w:val="000000" w:themeColor="text1"/>
        </w:rPr>
        <w:t>La risoluzione della concessione per inadempimento dell’ente concedente o del concessionario è disciplinata dagli articoli 1453 e seguenti del codice civile. Il contratto prevede per il caso di inadempimento una clausola penale di predeterminazione del danno e i criteri per il calcolo dell’indennizzo.</w:t>
      </w:r>
    </w:p>
    <w:p w14:paraId="0812B0A1" w14:textId="5C823A39"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Nei casi che comporterebbero la risoluzione di una concessione per cause imputabili al concessionario, l’ente concedente comunica per iscritto al concessionario e agli enti finanziatori l'intenzione di risolvere il rapporto. Gli enti finanziatori, ivi inclusi i titolari di obbligazioni e titoli analoghi emessi dal concessionario, entro </w:t>
      </w:r>
      <w:r w:rsidRPr="004A5029">
        <w:rPr>
          <w:rFonts w:ascii="Times New Roman" w:hAnsi="Times New Roman" w:cs="Times New Roman"/>
          <w:strike/>
          <w:color w:val="000000" w:themeColor="text1"/>
        </w:rPr>
        <w:t>120</w:t>
      </w:r>
      <w:r w:rsidRPr="004A5029">
        <w:rPr>
          <w:rFonts w:ascii="Times New Roman" w:hAnsi="Times New Roman" w:cs="Times New Roman"/>
          <w:color w:val="000000" w:themeColor="text1"/>
        </w:rPr>
        <w:t xml:space="preserve"> </w:t>
      </w:r>
      <w:r w:rsidR="004E4B92" w:rsidRPr="004A5029">
        <w:rPr>
          <w:rFonts w:ascii="Times New Roman" w:hAnsi="Times New Roman" w:cs="Times New Roman"/>
          <w:b/>
          <w:bCs/>
          <w:color w:val="000000" w:themeColor="text1"/>
        </w:rPr>
        <w:t xml:space="preserve">centoventi </w:t>
      </w:r>
      <w:r w:rsidRPr="004A5029">
        <w:rPr>
          <w:rFonts w:ascii="Times New Roman" w:hAnsi="Times New Roman" w:cs="Times New Roman"/>
          <w:color w:val="000000" w:themeColor="text1"/>
        </w:rPr>
        <w:t>giorni dal ricevimento della comunicazione, possono indicare un operatore economico che subentri nella concessione avente caratteristiche tecniche e finanziarie corrispondenti a quelle previste nel bando di gara o negli atti in forza dei quali la concessione è stata affidata, con riguardo allo stato di avanzamento dell'oggetto della concessione alla data del subentro. L'operatore economico subentrante assicura la ripresa dell’esecuzione della concessione e l'esatto adempimento originariamente richiesto al concessionario sostituito entro il termine indicato dall’ente concedente. Il subentro dell'operatore economico ha effetto da quando l’ente concedente presta il consenso.</w:t>
      </w:r>
    </w:p>
    <w:p w14:paraId="0F92A02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Se l’ente concedente recede dal contratto di concessione per motivi di pubblico interesse spettano al concessionario:</w:t>
      </w:r>
    </w:p>
    <w:p w14:paraId="2A8DCFFE"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il valore delle opere realizzate più gli oneri accessori, al netto degli ammortamenti, oppure, nel caso in cui l’opera non abbia ancora superato la fase di collaudo, i costi effettivamente sostenuti dal concessionario;</w:t>
      </w:r>
    </w:p>
    <w:p w14:paraId="783BA26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 costi sostenuti o da sostenere in conseguenza del recesso, ivi inclusi gli oneri derivanti dallo scioglimento anticipato dei contratti di copertura del rischio di fluttuazione del tasso di interesse;</w:t>
      </w:r>
    </w:p>
    <w:p w14:paraId="0816C35D" w14:textId="5BFC04E4" w:rsidR="0083753D" w:rsidRPr="004A5029" w:rsidRDefault="0083753D" w:rsidP="00BD2DDE">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w:t>
      </w:r>
      <w:r w:rsidR="00BD2DDE" w:rsidRPr="004A5029">
        <w:rPr>
          <w:rFonts w:ascii="Times New Roman" w:hAnsi="Times New Roman" w:cs="Times New Roman"/>
          <w:color w:val="000000" w:themeColor="text1"/>
        </w:rPr>
        <w:t xml:space="preserve">un indennizzo a titolo di mancato guadagno compreso tra il minimo del 2 per cento ed il massimo del 5 per cento degli utili previsti dal </w:t>
      </w:r>
      <w:bookmarkStart w:id="61" w:name="_Hlk127465879"/>
      <w:r w:rsidR="006C2A74" w:rsidRPr="004A5029">
        <w:rPr>
          <w:rFonts w:ascii="Times New Roman" w:hAnsi="Times New Roman" w:cs="Times New Roman"/>
          <w:b/>
          <w:bCs/>
          <w:strike/>
          <w:color w:val="000000" w:themeColor="text1"/>
        </w:rPr>
        <w:t>P</w:t>
      </w:r>
      <w:r w:rsidR="004873AF" w:rsidRPr="004A5029">
        <w:rPr>
          <w:rFonts w:ascii="Times New Roman" w:hAnsi="Times New Roman" w:cs="Times New Roman"/>
          <w:b/>
          <w:bCs/>
          <w:color w:val="000000" w:themeColor="text1"/>
        </w:rPr>
        <w:t>p</w:t>
      </w:r>
      <w:bookmarkEnd w:id="61"/>
      <w:r w:rsidR="00BD2DDE" w:rsidRPr="004A5029">
        <w:rPr>
          <w:rFonts w:ascii="Times New Roman" w:hAnsi="Times New Roman" w:cs="Times New Roman"/>
          <w:color w:val="000000" w:themeColor="text1"/>
        </w:rPr>
        <w:t xml:space="preserve">iano economico-finanziario, in base ad una valutazione che tenga conto delle circostanze, della tipologia di investimenti programmati e delle esigenze di protezione dei crediti dei soggetti finanziatori. In ogni caso i criteri per l’individuazione dell’indennizzo devono essere esplicitati in maniera inequivocabile nell’ambito del bando di gara ed indicati nel contratto, tenuto conto della tipologia e dell’oggetto del rapporto concessorio, con particolare riferimento alla percentuale, al </w:t>
      </w:r>
      <w:r w:rsidR="000A771E" w:rsidRPr="004A5029">
        <w:rPr>
          <w:rFonts w:ascii="Times New Roman" w:hAnsi="Times New Roman" w:cs="Times New Roman"/>
          <w:b/>
          <w:color w:val="000000" w:themeColor="text1"/>
        </w:rPr>
        <w:t>piano economico- finanziario</w:t>
      </w:r>
      <w:r w:rsidR="000A771E" w:rsidRPr="004A5029">
        <w:rPr>
          <w:rFonts w:ascii="Times New Roman" w:hAnsi="Times New Roman" w:cs="Times New Roman"/>
          <w:color w:val="000000" w:themeColor="text1"/>
        </w:rPr>
        <w:t xml:space="preserve"> </w:t>
      </w:r>
      <w:r w:rsidR="00BD2DDE" w:rsidRPr="004A5029">
        <w:rPr>
          <w:rFonts w:ascii="Times New Roman" w:hAnsi="Times New Roman" w:cs="Times New Roman"/>
          <w:strike/>
          <w:color w:val="000000" w:themeColor="text1"/>
        </w:rPr>
        <w:t>PEF</w:t>
      </w:r>
      <w:r w:rsidR="00BD2DDE" w:rsidRPr="004A5029">
        <w:rPr>
          <w:rFonts w:ascii="Times New Roman" w:hAnsi="Times New Roman" w:cs="Times New Roman"/>
          <w:color w:val="000000" w:themeColor="text1"/>
        </w:rPr>
        <w:t xml:space="preserve"> e agli anni da prendere in considerazione nel calcolo</w:t>
      </w:r>
      <w:r w:rsidR="00EE2A24" w:rsidRPr="004A5029">
        <w:rPr>
          <w:rFonts w:ascii="Times New Roman" w:hAnsi="Times New Roman" w:cs="Times New Roman"/>
          <w:color w:val="000000" w:themeColor="text1"/>
        </w:rPr>
        <w:t>.</w:t>
      </w:r>
    </w:p>
    <w:p w14:paraId="76B47C7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Le somme </w:t>
      </w:r>
      <w:r w:rsidRPr="004A5029">
        <w:rPr>
          <w:rFonts w:ascii="Times New Roman" w:hAnsi="Times New Roman" w:cs="Times New Roman"/>
          <w:bCs/>
          <w:color w:val="000000" w:themeColor="text1"/>
        </w:rPr>
        <w:t>dovute ai sensi del comma 4</w:t>
      </w:r>
      <w:r w:rsidRPr="004A5029">
        <w:rPr>
          <w:rFonts w:ascii="Times New Roman" w:hAnsi="Times New Roman" w:cs="Times New Roman"/>
          <w:color w:val="000000" w:themeColor="text1"/>
        </w:rPr>
        <w:t xml:space="preserve"> sono destinate prioritariamente al soddisfacimento dei crediti dei finanziatori del concessionario e dei titolari di titoli emessi.</w:t>
      </w:r>
    </w:p>
    <w:p w14:paraId="13A5B4D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Senza pregiudizio per il pagamento delle somme dovute, in tutti i casi di cessazione del rapporto concessorio diversi dalla risoluzione per inadempimento del concessionario questi ha il diritto di proseguire nella gestione ordinaria dell'opera, incassandone i ricavi da essa derivanti, sino all'effettivo pagamento delle suddette somme, fatti salvi gli eventuali investimenti improcrastinabili individuati dal concedente unitamente alle modalità di finanziamento e di ristoro dei correlati costi.</w:t>
      </w:r>
    </w:p>
    <w:p w14:paraId="44E9E497" w14:textId="43C026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7. L'efficacia del recesso dalla concessione è sottoposta alla condizione del pagamento da parte dell’ente concedente delle somme previste </w:t>
      </w:r>
      <w:r w:rsidR="00FE1836"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al comma 4.</w:t>
      </w:r>
    </w:p>
    <w:p w14:paraId="4EF7FBD7" w14:textId="77777777" w:rsidR="0083753D" w:rsidRPr="004A5029" w:rsidRDefault="0083753D" w:rsidP="0083753D">
      <w:pPr>
        <w:rPr>
          <w:rFonts w:ascii="Times New Roman" w:hAnsi="Times New Roman" w:cs="Times New Roman"/>
          <w:color w:val="000000" w:themeColor="text1"/>
        </w:rPr>
      </w:pPr>
    </w:p>
    <w:p w14:paraId="3B119E6C"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Articolo 191. </w:t>
      </w:r>
    </w:p>
    <w:p w14:paraId="6FDC9DD1"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bCs/>
          <w:i/>
          <w:color w:val="000000" w:themeColor="text1"/>
        </w:rPr>
        <w:t>Subentro.</w:t>
      </w:r>
      <w:r w:rsidRPr="004A5029">
        <w:rPr>
          <w:rFonts w:ascii="Times New Roman" w:hAnsi="Times New Roman" w:cs="Times New Roman"/>
          <w:bCs/>
          <w:i/>
          <w:color w:val="000000" w:themeColor="text1"/>
          <w:vertAlign w:val="superscript"/>
        </w:rPr>
        <w:t xml:space="preserve"> </w:t>
      </w:r>
    </w:p>
    <w:p w14:paraId="204C08C7"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Alla scadenza del periodo di affidamento e in conseguenza del nuovo affidamento, le reti, gli impianti e le altre dotazioni patrimoniali essenziali per la prosecuzione del servizio, in quanto non duplicabili a costi socialmente sostenibili, sono assegnati al nuovo gestore. Analogamente si procede in caso di cessazione anticipata.</w:t>
      </w:r>
    </w:p>
    <w:p w14:paraId="2618777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Sono altresì ceduti al nuovo gestore i beni strumentali realizzati in attuazione dei piani di investimento concordati con l’ente concedente.</w:t>
      </w:r>
    </w:p>
    <w:p w14:paraId="30DFDCC5" w14:textId="11AACED3"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3. </w:t>
      </w:r>
      <w:r w:rsidRPr="004A5029">
        <w:rPr>
          <w:rFonts w:ascii="Times New Roman" w:hAnsi="Times New Roman" w:cs="Times New Roman"/>
          <w:bCs/>
          <w:strike/>
          <w:color w:val="000000" w:themeColor="text1"/>
        </w:rPr>
        <w:t>Salve</w:t>
      </w:r>
      <w:r w:rsidRPr="004A5029">
        <w:rPr>
          <w:rFonts w:ascii="Times New Roman" w:hAnsi="Times New Roman" w:cs="Times New Roman"/>
          <w:bCs/>
          <w:color w:val="000000" w:themeColor="text1"/>
        </w:rPr>
        <w:t xml:space="preserve"> </w:t>
      </w:r>
      <w:r w:rsidR="006C2A74" w:rsidRPr="004A5029">
        <w:rPr>
          <w:rFonts w:ascii="Times New Roman" w:hAnsi="Times New Roman" w:cs="Times New Roman"/>
          <w:b/>
          <w:color w:val="000000" w:themeColor="text1"/>
        </w:rPr>
        <w:t>Fatte salve</w:t>
      </w:r>
      <w:r w:rsidR="006C2A74"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 xml:space="preserve">le discipline di settore, nel caso di durata dell’affidamento inferiore rispetto al tempo di recupero dell’ammortamento oppure di cessazione anticipata, </w:t>
      </w:r>
      <w:r w:rsidR="00F3759C" w:rsidRPr="004A5029">
        <w:rPr>
          <w:rFonts w:ascii="Times New Roman" w:hAnsi="Times New Roman" w:cs="Times New Roman"/>
          <w:b/>
          <w:color w:val="000000" w:themeColor="text1"/>
        </w:rPr>
        <w:t xml:space="preserve">per </w:t>
      </w:r>
      <w:r w:rsidR="00DD3CEB" w:rsidRPr="004A5029">
        <w:rPr>
          <w:rFonts w:ascii="Times New Roman" w:hAnsi="Times New Roman" w:cs="Times New Roman"/>
          <w:b/>
          <w:color w:val="000000" w:themeColor="text1"/>
        </w:rPr>
        <w:t>causa</w:t>
      </w:r>
      <w:r w:rsidR="00F3759C" w:rsidRPr="004A5029">
        <w:rPr>
          <w:rFonts w:ascii="Times New Roman" w:hAnsi="Times New Roman" w:cs="Times New Roman"/>
          <w:b/>
          <w:color w:val="000000" w:themeColor="text1"/>
        </w:rPr>
        <w:t xml:space="preserve"> non attribuibile al concessionario,</w:t>
      </w:r>
      <w:r w:rsidR="00F3759C"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si prevede, a carico del gestore subentrante, un indennizzo pari al valore contabile non ancora ammortizzato, rivalutato attraverso pertinenti deflatori fissati dall’ISTAT e al netto di eventuali</w:t>
      </w:r>
      <w:r w:rsidR="00412844"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contributi pubblici direttamente riferibili agli investimenti stessi. I criteri di determinazione dell’indennizzo sono indicati nel bando o nella lettera di invito relativi alla gara indetta per il successivo affidamento a seguito della scadenza o della cessazione anticipata della gestione.</w:t>
      </w:r>
    </w:p>
    <w:p w14:paraId="4B56A7AC" w14:textId="1D16F294"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4. </w:t>
      </w:r>
      <w:r w:rsidR="00965B99" w:rsidRPr="004A5029">
        <w:rPr>
          <w:rFonts w:ascii="Times New Roman" w:hAnsi="Times New Roman" w:cs="Times New Roman"/>
          <w:color w:val="000000" w:themeColor="text1"/>
        </w:rPr>
        <w:t>R</w:t>
      </w:r>
      <w:r w:rsidRPr="004A5029">
        <w:rPr>
          <w:rFonts w:ascii="Times New Roman" w:hAnsi="Times New Roman" w:cs="Times New Roman"/>
          <w:color w:val="000000" w:themeColor="text1"/>
        </w:rPr>
        <w:t>estano salvi</w:t>
      </w:r>
      <w:r w:rsidR="00014FDA" w:rsidRPr="004A5029">
        <w:rPr>
          <w:rFonts w:ascii="Times New Roman" w:hAnsi="Times New Roman" w:cs="Times New Roman"/>
          <w:b/>
          <w:bCs/>
          <w:strike/>
          <w:color w:val="000000" w:themeColor="text1"/>
        </w:rPr>
        <w:t>,</w:t>
      </w:r>
      <w:r w:rsidR="00014FDA"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eventuali diversi accordi tra le parti stipulati prima dell’entrata in vigore del codice.</w:t>
      </w:r>
    </w:p>
    <w:p w14:paraId="615D2CE1" w14:textId="60CD291A" w:rsidR="0083753D" w:rsidRPr="004A5029" w:rsidRDefault="0083753D"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w:t>
      </w:r>
      <w:r w:rsidR="092E1517" w:rsidRPr="004A5029">
        <w:rPr>
          <w:rFonts w:ascii="Times New Roman" w:hAnsi="Times New Roman" w:cs="Times New Roman"/>
          <w:color w:val="000000" w:themeColor="text1"/>
        </w:rPr>
        <w:t>I</w:t>
      </w:r>
      <w:r w:rsidRPr="004A5029">
        <w:rPr>
          <w:rFonts w:ascii="Times New Roman" w:hAnsi="Times New Roman" w:cs="Times New Roman"/>
          <w:color w:val="000000" w:themeColor="text1"/>
        </w:rPr>
        <w:t>l subentro per le concessioni di servizi di interesse economico generale prestati a livello locale resta disciplinat</w:t>
      </w:r>
      <w:r w:rsidR="4DB55E8A" w:rsidRPr="004A5029">
        <w:rPr>
          <w:rFonts w:ascii="Times New Roman" w:hAnsi="Times New Roman" w:cs="Times New Roman"/>
          <w:color w:val="000000" w:themeColor="text1"/>
        </w:rPr>
        <w:t>o</w:t>
      </w:r>
      <w:r w:rsidRPr="004A5029">
        <w:rPr>
          <w:rFonts w:ascii="Times New Roman" w:hAnsi="Times New Roman" w:cs="Times New Roman"/>
          <w:color w:val="000000" w:themeColor="text1"/>
        </w:rPr>
        <w:t xml:space="preserve"> dall’articolo 23 del decreto legislativo </w:t>
      </w:r>
      <w:r w:rsidR="00091A99" w:rsidRPr="004A5029">
        <w:rPr>
          <w:rFonts w:ascii="Times New Roman" w:hAnsi="Times New Roman" w:cs="Times New Roman"/>
          <w:b/>
          <w:color w:val="000000" w:themeColor="text1"/>
        </w:rPr>
        <w:t>23 dicembre 2022, n. 201</w:t>
      </w:r>
      <w:r w:rsidRPr="004A5029">
        <w:rPr>
          <w:rFonts w:ascii="Times New Roman" w:hAnsi="Times New Roman" w:cs="Times New Roman"/>
          <w:color w:val="000000" w:themeColor="text1"/>
        </w:rPr>
        <w:t>.</w:t>
      </w:r>
    </w:p>
    <w:p w14:paraId="740C982E" w14:textId="77777777" w:rsidR="0083753D" w:rsidRPr="004A5029" w:rsidRDefault="0083753D" w:rsidP="0083753D">
      <w:pPr>
        <w:jc w:val="both"/>
        <w:rPr>
          <w:rFonts w:ascii="Times New Roman" w:hAnsi="Times New Roman" w:cs="Times New Roman"/>
          <w:color w:val="000000" w:themeColor="text1"/>
        </w:rPr>
      </w:pPr>
    </w:p>
    <w:p w14:paraId="1C4FFD6C"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192.</w:t>
      </w:r>
    </w:p>
    <w:p w14:paraId="28105DE0"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Cs/>
          <w:i/>
          <w:color w:val="000000" w:themeColor="text1"/>
        </w:rPr>
        <w:t>Revisione del contratto di concessione.</w:t>
      </w:r>
    </w:p>
    <w:p w14:paraId="005C7C50" w14:textId="1C3B8C48"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Al verificarsi di eventi sopravvenuti straordinari e imprevedibili, ivi compreso il mutamento della normativa o della regolazione di riferimento</w:t>
      </w:r>
      <w:r w:rsidR="00972003" w:rsidRPr="004A5029">
        <w:rPr>
          <w:rFonts w:ascii="Times New Roman" w:hAnsi="Times New Roman" w:cs="Times New Roman"/>
          <w:color w:val="000000" w:themeColor="text1"/>
        </w:rPr>
        <w:t xml:space="preserve">, </w:t>
      </w:r>
      <w:bookmarkStart w:id="62" w:name="_Hlk123338867"/>
      <w:r w:rsidR="00972003" w:rsidRPr="004A5029">
        <w:rPr>
          <w:rFonts w:ascii="Times New Roman" w:hAnsi="Times New Roman" w:cs="Times New Roman"/>
          <w:color w:val="000000" w:themeColor="text1"/>
        </w:rPr>
        <w:t>purché non imputabili al concessionario</w:t>
      </w:r>
      <w:bookmarkEnd w:id="62"/>
      <w:r w:rsidRPr="004A5029">
        <w:rPr>
          <w:rFonts w:ascii="Times New Roman" w:hAnsi="Times New Roman" w:cs="Times New Roman"/>
          <w:color w:val="000000" w:themeColor="text1"/>
        </w:rPr>
        <w:t xml:space="preserve">, che </w:t>
      </w:r>
      <w:bookmarkStart w:id="63" w:name="_Hlk127466320"/>
      <w:r w:rsidRPr="004A5029">
        <w:rPr>
          <w:rFonts w:ascii="Times New Roman" w:hAnsi="Times New Roman" w:cs="Times New Roman"/>
          <w:strike/>
          <w:color w:val="000000" w:themeColor="text1"/>
        </w:rPr>
        <w:t>incida</w:t>
      </w:r>
      <w:r w:rsidRPr="004A5029">
        <w:rPr>
          <w:rFonts w:ascii="Times New Roman" w:hAnsi="Times New Roman" w:cs="Times New Roman"/>
          <w:color w:val="000000" w:themeColor="text1"/>
        </w:rPr>
        <w:t xml:space="preserve"> </w:t>
      </w:r>
      <w:r w:rsidR="00B94D80" w:rsidRPr="004A5029">
        <w:rPr>
          <w:rFonts w:ascii="Times New Roman" w:hAnsi="Times New Roman" w:cs="Times New Roman"/>
          <w:b/>
          <w:bCs/>
          <w:color w:val="000000" w:themeColor="text1"/>
        </w:rPr>
        <w:t xml:space="preserve">incidano </w:t>
      </w:r>
      <w:bookmarkEnd w:id="63"/>
      <w:r w:rsidRPr="004A5029">
        <w:rPr>
          <w:rFonts w:ascii="Times New Roman" w:hAnsi="Times New Roman" w:cs="Times New Roman"/>
          <w:color w:val="000000" w:themeColor="text1"/>
        </w:rPr>
        <w:t>in modo significativo sull’equilibrio economico-finanziario dell’operazione, il concessionario può chiedere la revisione del contratto nella misura strettamente necessaria a ricondurlo ai livelli di equilibrio e di traslazione del rischio pattuiti al momento della conclusione del contratto. L’alterazione dell’equilibrio economico e finanziario dovuto a eventi diversi da quelli di cui al primo periodo e rientranti nei rischi allocati alla parte privata sono a carico della stessa.</w:t>
      </w:r>
    </w:p>
    <w:p w14:paraId="5D19A05D" w14:textId="2F756EF5"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In sede di revisione </w:t>
      </w:r>
      <w:bookmarkStart w:id="64" w:name="_Hlk123339099"/>
      <w:r w:rsidR="00467F2A" w:rsidRPr="004A5029">
        <w:rPr>
          <w:rFonts w:ascii="Times New Roman" w:hAnsi="Times New Roman" w:cs="Times New Roman"/>
          <w:color w:val="000000" w:themeColor="text1"/>
        </w:rPr>
        <w:t>ai sensi del comma 1</w:t>
      </w:r>
      <w:bookmarkEnd w:id="64"/>
      <w:r w:rsidR="00467F2A"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non è consentito concordare modifiche che alterino la natura della concessione, o modifiche sostanziali che, se fossero state contenute nella procedura iniziale di aggiudicazione della concessione, avrebbero consentito l’ammissione di candidati diversi da quelli inizialmente selezionati o l’accettazione di un’offerta diversa da quella inizialmente accettata, oppure avrebbero attirato ulteriori partecipanti alla procedura di aggiudicazione della concessione. </w:t>
      </w:r>
    </w:p>
    <w:p w14:paraId="58D643FC" w14:textId="70E0799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w:t>
      </w:r>
      <w:r w:rsidRPr="004A5029">
        <w:rPr>
          <w:rFonts w:ascii="Times New Roman" w:eastAsia="Georgia" w:hAnsi="Times New Roman" w:cs="Times New Roman"/>
          <w:color w:val="000000" w:themeColor="text1"/>
        </w:rPr>
        <w:t xml:space="preserve">Nei casi di opere di interesse statale ovvero finanziate con contributo a carico dello Stato per le quali non sia già prevista l'espressione del CIPESS la revisione è subordinata alla previa valutazione del Dipartimento per la programmazione e il coordinamento della politica economica (DIPE) della Presidenza del Consiglio dei </w:t>
      </w:r>
      <w:bookmarkStart w:id="65" w:name="_Hlk127466414"/>
      <w:r w:rsidR="004520DA" w:rsidRPr="004A5029">
        <w:rPr>
          <w:rFonts w:ascii="Times New Roman" w:hAnsi="Times New Roman" w:cs="Times New Roman"/>
          <w:bCs/>
          <w:strike/>
          <w:color w:val="000000" w:themeColor="text1"/>
        </w:rPr>
        <w:t>M</w:t>
      </w:r>
      <w:r w:rsidR="004520DA" w:rsidRPr="004A5029">
        <w:rPr>
          <w:rFonts w:ascii="Times New Roman" w:hAnsi="Times New Roman" w:cs="Times New Roman"/>
          <w:b/>
          <w:color w:val="000000" w:themeColor="text1"/>
        </w:rPr>
        <w:t>m</w:t>
      </w:r>
      <w:bookmarkEnd w:id="65"/>
      <w:r w:rsidR="004520DA" w:rsidRPr="004A5029">
        <w:rPr>
          <w:rFonts w:ascii="Times New Roman" w:hAnsi="Times New Roman" w:cs="Times New Roman"/>
          <w:bCs/>
          <w:color w:val="000000" w:themeColor="text1"/>
        </w:rPr>
        <w:t>inistri</w:t>
      </w:r>
      <w:r w:rsidRPr="004A5029">
        <w:rPr>
          <w:rFonts w:ascii="Times New Roman" w:eastAsia="Georgia" w:hAnsi="Times New Roman" w:cs="Times New Roman"/>
          <w:color w:val="000000" w:themeColor="text1"/>
        </w:rPr>
        <w:t>, sentito il Nucleo di consulenza per l’</w:t>
      </w:r>
      <w:r w:rsidR="00FE1836" w:rsidRPr="004A5029">
        <w:rPr>
          <w:rFonts w:ascii="Times New Roman" w:eastAsia="Georgia" w:hAnsi="Times New Roman" w:cs="Times New Roman"/>
          <w:color w:val="000000" w:themeColor="text1"/>
        </w:rPr>
        <w:t>a</w:t>
      </w:r>
      <w:r w:rsidRPr="004A5029">
        <w:rPr>
          <w:rFonts w:ascii="Times New Roman" w:eastAsia="Georgia" w:hAnsi="Times New Roman" w:cs="Times New Roman"/>
          <w:color w:val="000000" w:themeColor="text1"/>
        </w:rPr>
        <w:t xml:space="preserve">ttuazione delle linee guida per la </w:t>
      </w:r>
      <w:r w:rsidR="00FE1836" w:rsidRPr="004A5029">
        <w:rPr>
          <w:rFonts w:ascii="Times New Roman" w:eastAsia="Georgia" w:hAnsi="Times New Roman" w:cs="Times New Roman"/>
          <w:color w:val="000000" w:themeColor="text1"/>
        </w:rPr>
        <w:t>r</w:t>
      </w:r>
      <w:r w:rsidRPr="004A5029">
        <w:rPr>
          <w:rFonts w:ascii="Times New Roman" w:eastAsia="Georgia" w:hAnsi="Times New Roman" w:cs="Times New Roman"/>
          <w:color w:val="000000" w:themeColor="text1"/>
        </w:rPr>
        <w:t xml:space="preserve">egolazione dei </w:t>
      </w:r>
      <w:r w:rsidR="00FE1836" w:rsidRPr="004A5029">
        <w:rPr>
          <w:rFonts w:ascii="Times New Roman" w:eastAsia="Georgia" w:hAnsi="Times New Roman" w:cs="Times New Roman"/>
          <w:color w:val="000000" w:themeColor="text1"/>
        </w:rPr>
        <w:t>s</w:t>
      </w:r>
      <w:r w:rsidRPr="004A5029">
        <w:rPr>
          <w:rFonts w:ascii="Times New Roman" w:eastAsia="Georgia" w:hAnsi="Times New Roman" w:cs="Times New Roman"/>
          <w:color w:val="000000" w:themeColor="text1"/>
        </w:rPr>
        <w:t>ervizi di pubblica utilità (NARS), che emette un parere di concerto con il Ministero dell’economia e delle finanze - Dipartimento della Ragioneria Generale dello Stato.</w:t>
      </w:r>
    </w:p>
    <w:p w14:paraId="643FB9AB" w14:textId="1A311112"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In caso di mancato accordo sul riequilibrio del piano economico</w:t>
      </w:r>
      <w:r w:rsidR="004873AF" w:rsidRPr="004A5029">
        <w:rPr>
          <w:rFonts w:ascii="Times New Roman" w:hAnsi="Times New Roman" w:cs="Times New Roman"/>
          <w:bCs/>
          <w:color w:val="000000" w:themeColor="text1"/>
        </w:rPr>
        <w:t>-</w:t>
      </w:r>
      <w:r w:rsidRPr="004A5029">
        <w:rPr>
          <w:rFonts w:ascii="Times New Roman" w:hAnsi="Times New Roman" w:cs="Times New Roman"/>
          <w:color w:val="000000" w:themeColor="text1"/>
        </w:rPr>
        <w:t>finanziario le parti possono recedere dal contratto. In tal caso, al concessionario sono rimborsati gli importi di cui all’articolo 190, comma 4, lettere a) e b), a esclusione degli oneri derivanti dallo scioglimento anticipato dei contratti di copertura del rischio di fluttuazione del tasso di interesse.</w:t>
      </w:r>
    </w:p>
    <w:p w14:paraId="15C78039" w14:textId="77777777" w:rsidR="0083753D" w:rsidRPr="004A5029" w:rsidRDefault="0083753D" w:rsidP="0083753D">
      <w:pPr>
        <w:jc w:val="center"/>
        <w:rPr>
          <w:rFonts w:ascii="Times New Roman" w:hAnsi="Times New Roman" w:cs="Times New Roman"/>
          <w:b/>
          <w:bCs/>
          <w:color w:val="000000" w:themeColor="text1"/>
        </w:rPr>
      </w:pPr>
      <w:bookmarkStart w:id="66" w:name="1fob9te" w:colFirst="0" w:colLast="0"/>
      <w:bookmarkEnd w:id="66"/>
    </w:p>
    <w:p w14:paraId="3C40A6F6" w14:textId="77777777" w:rsidR="00635C41" w:rsidRPr="004A5029" w:rsidRDefault="00635C41" w:rsidP="0083753D">
      <w:pPr>
        <w:jc w:val="center"/>
        <w:rPr>
          <w:rFonts w:ascii="Times New Roman" w:hAnsi="Times New Roman" w:cs="Times New Roman"/>
          <w:b/>
          <w:bCs/>
          <w:color w:val="000000" w:themeColor="text1"/>
        </w:rPr>
      </w:pPr>
    </w:p>
    <w:p w14:paraId="6DD14CA8" w14:textId="77777777" w:rsidR="00D076E1" w:rsidRDefault="00D076E1">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3408E25C" w14:textId="0776A62A" w:rsidR="00DC7D5C"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TITOLO IV </w:t>
      </w:r>
    </w:p>
    <w:p w14:paraId="79AF678D" w14:textId="4AE4511F" w:rsidR="0083753D" w:rsidRPr="004A5029" w:rsidRDefault="0083753D" w:rsidP="0083753D">
      <w:pPr>
        <w:jc w:val="center"/>
        <w:rPr>
          <w:rFonts w:ascii="Times New Roman" w:hAnsi="Times New Roman" w:cs="Times New Roman"/>
          <w:color w:val="000000" w:themeColor="text1"/>
        </w:rPr>
      </w:pPr>
      <w:r w:rsidRPr="004A5029">
        <w:rPr>
          <w:rFonts w:ascii="Times New Roman" w:hAnsi="Times New Roman" w:cs="Times New Roman"/>
          <w:b/>
          <w:bCs/>
          <w:color w:val="000000" w:themeColor="text1"/>
        </w:rPr>
        <w:t>La finanza di progetto</w:t>
      </w:r>
    </w:p>
    <w:p w14:paraId="527D639D" w14:textId="77777777" w:rsidR="0083753D" w:rsidRPr="004A5029" w:rsidRDefault="0083753D" w:rsidP="0083753D">
      <w:pPr>
        <w:jc w:val="center"/>
        <w:rPr>
          <w:rFonts w:ascii="Times New Roman" w:hAnsi="Times New Roman" w:cs="Times New Roman"/>
          <w:color w:val="000000" w:themeColor="text1"/>
        </w:rPr>
      </w:pPr>
    </w:p>
    <w:p w14:paraId="7E393A23"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bCs/>
          <w:color w:val="000000" w:themeColor="text1"/>
        </w:rPr>
        <w:t>Articolo 193.</w:t>
      </w:r>
    </w:p>
    <w:p w14:paraId="1BAA8665" w14:textId="77777777" w:rsidR="0083753D" w:rsidRPr="004A5029" w:rsidRDefault="0083753D" w:rsidP="0083753D">
      <w:pPr>
        <w:jc w:val="both"/>
        <w:rPr>
          <w:rFonts w:ascii="Times New Roman" w:hAnsi="Times New Roman" w:cs="Times New Roman"/>
          <w:bCs/>
          <w:i/>
          <w:color w:val="000000" w:themeColor="text1"/>
        </w:rPr>
      </w:pPr>
      <w:r w:rsidRPr="004A5029">
        <w:rPr>
          <w:rFonts w:ascii="Times New Roman" w:hAnsi="Times New Roman" w:cs="Times New Roman"/>
          <w:bCs/>
          <w:i/>
          <w:color w:val="000000" w:themeColor="text1"/>
        </w:rPr>
        <w:t>Procedura di affidamento.</w:t>
      </w:r>
    </w:p>
    <w:p w14:paraId="5D678A7D" w14:textId="02FCFD3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Gli operatori economici possono presentare agli enti concedenti </w:t>
      </w:r>
      <w:bookmarkStart w:id="67" w:name="_Hlk127466646"/>
      <w:r w:rsidRPr="004A5029">
        <w:rPr>
          <w:rFonts w:ascii="Times New Roman" w:hAnsi="Times New Roman" w:cs="Times New Roman"/>
          <w:color w:val="000000" w:themeColor="text1"/>
        </w:rPr>
        <w:t>proposte relative alla realizzazione in concessione di lavori o servizi</w:t>
      </w:r>
      <w:bookmarkEnd w:id="67"/>
      <w:r w:rsidRPr="004A5029">
        <w:rPr>
          <w:rFonts w:ascii="Times New Roman" w:hAnsi="Times New Roman" w:cs="Times New Roman"/>
          <w:color w:val="000000" w:themeColor="text1"/>
        </w:rPr>
        <w:t xml:space="preserve">. Ciascuna proposta contiene un progetto di fattibilità, una bozza di convenzione, il piano economico-finanziario asseverato e la specificazione delle caratteristiche del servizio e della gestione. Il piano economico-finanziario comprende l'importo delle spese sostenute per la predisposizione della proposta, comprensivo anche dei diritti sulle opere dell'ingegno. Gli investitori istituzionali di cui all'articolo 32, comma 3, del decreto-legge 31 maggio 2010, n. 78, convertito, con modificazioni, dalla legge 30 luglio 2010, n. 122, nonché i soggetti di cui all’articolo 2, numero 3), del regolamento (UE) 2015/1017 del Parlamento europeo e del Consiglio, del 25 giugno 2015, possono formulare le proposte di cui al primo periodo salva la necessità, nella successiva gara per l’affidamento dei lavori o dei servizi, di associarsi o consorziarsi con </w:t>
      </w:r>
      <w:r w:rsidRPr="004A5029">
        <w:rPr>
          <w:rFonts w:ascii="Times New Roman" w:eastAsia="Georgia" w:hAnsi="Times New Roman" w:cs="Times New Roman"/>
          <w:color w:val="000000" w:themeColor="text1"/>
        </w:rPr>
        <w:t xml:space="preserve">operatori economici in possesso dei requisiti richiesti dal bando, qualora gli stessi investitori istituzionali ne siano privi. Gli investitori istituzionali, in sede di gara, possono soddisfare la richiesta dei </w:t>
      </w:r>
      <w:r w:rsidRPr="004A5029">
        <w:rPr>
          <w:rFonts w:ascii="Times New Roman" w:hAnsi="Times New Roman" w:cs="Times New Roman"/>
          <w:color w:val="000000" w:themeColor="text1"/>
        </w:rPr>
        <w:t>requisiti di carattere economico, finanziario, tecnico e professionale avvalendosi, anche integralmente, delle capacità di altri soggetti.</w:t>
      </w:r>
      <w:r w:rsidRPr="004A5029">
        <w:rPr>
          <w:rFonts w:ascii="Times New Roman" w:eastAsia="Georgia" w:hAnsi="Times New Roman" w:cs="Times New Roman"/>
          <w:color w:val="000000" w:themeColor="text1"/>
        </w:rPr>
        <w:t xml:space="preserve"> Gli investitori istituzionali possono altresì impegnarsi a subappaltare, anche integralmente, </w:t>
      </w:r>
      <w:r w:rsidRPr="004A5029">
        <w:rPr>
          <w:rFonts w:ascii="Times New Roman" w:hAnsi="Times New Roman" w:cs="Times New Roman"/>
          <w:color w:val="000000" w:themeColor="text1"/>
        </w:rPr>
        <w:t xml:space="preserve">le prestazioni oggetto del contratto di concessione a imprese in possesso dei requisiti richiesti dal bando, a condizione che il nominativo del subappaltatore </w:t>
      </w:r>
      <w:r w:rsidRPr="004A5029">
        <w:rPr>
          <w:rFonts w:ascii="Times New Roman" w:hAnsi="Times New Roman" w:cs="Times New Roman"/>
          <w:strike/>
          <w:color w:val="000000" w:themeColor="text1"/>
        </w:rPr>
        <w:t>venga</w:t>
      </w:r>
      <w:r w:rsidRPr="004A5029">
        <w:rPr>
          <w:rFonts w:ascii="Times New Roman" w:hAnsi="Times New Roman" w:cs="Times New Roman"/>
          <w:color w:val="000000" w:themeColor="text1"/>
        </w:rPr>
        <w:t xml:space="preserve"> </w:t>
      </w:r>
      <w:r w:rsidR="00B94D80" w:rsidRPr="004A5029">
        <w:rPr>
          <w:rFonts w:ascii="Times New Roman" w:hAnsi="Times New Roman" w:cs="Times New Roman"/>
          <w:b/>
          <w:bCs/>
          <w:color w:val="000000" w:themeColor="text1"/>
        </w:rPr>
        <w:t xml:space="preserve">sia </w:t>
      </w:r>
      <w:r w:rsidRPr="004A5029">
        <w:rPr>
          <w:rFonts w:ascii="Times New Roman" w:hAnsi="Times New Roman" w:cs="Times New Roman"/>
          <w:color w:val="000000" w:themeColor="text1"/>
        </w:rPr>
        <w:t xml:space="preserve">comunicato, con il suo consenso, all’ente concedente entro la scadenza del termine per la presentazione dell’offerta.  </w:t>
      </w:r>
    </w:p>
    <w:p w14:paraId="704F3BAB" w14:textId="727420E0"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w:t>
      </w:r>
      <w:r w:rsidRPr="004A5029">
        <w:rPr>
          <w:rFonts w:ascii="Times New Roman" w:hAnsi="Times New Roman" w:cs="Times New Roman"/>
          <w:color w:val="000000" w:themeColor="text1"/>
        </w:rPr>
        <w:t xml:space="preserve"> L’ente concedente valuta </w:t>
      </w:r>
      <w:r w:rsidRPr="004A5029">
        <w:rPr>
          <w:rFonts w:ascii="Times New Roman" w:hAnsi="Times New Roman" w:cs="Times New Roman"/>
          <w:b/>
          <w:bCs/>
          <w:strike/>
          <w:color w:val="000000" w:themeColor="text1"/>
        </w:rPr>
        <w:t>tempestivamente</w:t>
      </w:r>
      <w:r w:rsidRPr="004A5029">
        <w:rPr>
          <w:rFonts w:ascii="Times New Roman" w:hAnsi="Times New Roman" w:cs="Times New Roman"/>
          <w:color w:val="000000" w:themeColor="text1"/>
        </w:rPr>
        <w:t xml:space="preserve"> </w:t>
      </w:r>
      <w:r w:rsidR="00E06FE4" w:rsidRPr="004A5029">
        <w:rPr>
          <w:rFonts w:ascii="Times New Roman" w:hAnsi="Times New Roman" w:cs="Times New Roman"/>
          <w:b/>
          <w:bCs/>
          <w:color w:val="000000" w:themeColor="text1"/>
        </w:rPr>
        <w:t xml:space="preserve">entro </w:t>
      </w:r>
      <w:r w:rsidR="00E06FE4" w:rsidRPr="004A5029">
        <w:rPr>
          <w:rFonts w:ascii="Times New Roman" w:hAnsi="Times New Roman" w:cs="Times New Roman"/>
          <w:b/>
          <w:bCs/>
          <w:strike/>
          <w:color w:val="000000" w:themeColor="text1"/>
        </w:rPr>
        <w:t>tre mesi</w:t>
      </w:r>
      <w:r w:rsidR="00E06FE4" w:rsidRPr="004A5029">
        <w:rPr>
          <w:rFonts w:ascii="Times New Roman" w:hAnsi="Times New Roman" w:cs="Times New Roman"/>
          <w:b/>
          <w:bCs/>
          <w:color w:val="000000" w:themeColor="text1"/>
        </w:rPr>
        <w:t xml:space="preserve"> </w:t>
      </w:r>
      <w:r w:rsidR="008D0866" w:rsidRPr="004A5029">
        <w:rPr>
          <w:rFonts w:ascii="Times New Roman" w:hAnsi="Times New Roman" w:cs="Times New Roman"/>
          <w:b/>
          <w:bCs/>
          <w:color w:val="000000" w:themeColor="text1"/>
        </w:rPr>
        <w:t xml:space="preserve">novanta giorni </w:t>
      </w:r>
      <w:r w:rsidR="007C0745" w:rsidRPr="004A5029">
        <w:rPr>
          <w:rFonts w:ascii="Times New Roman" w:hAnsi="Times New Roman" w:cs="Times New Roman"/>
          <w:b/>
          <w:bCs/>
          <w:color w:val="000000" w:themeColor="text1"/>
        </w:rPr>
        <w:t xml:space="preserve">dalla presentazione della proposta, </w:t>
      </w:r>
      <w:r w:rsidRPr="004A5029">
        <w:rPr>
          <w:rFonts w:ascii="Times New Roman" w:hAnsi="Times New Roman" w:cs="Times New Roman"/>
          <w:color w:val="000000" w:themeColor="text1"/>
        </w:rPr>
        <w:t>la fattibilità della</w:t>
      </w:r>
      <w:r w:rsidR="007C0745" w:rsidRPr="004A5029">
        <w:rPr>
          <w:rFonts w:ascii="Times New Roman" w:hAnsi="Times New Roman" w:cs="Times New Roman"/>
          <w:color w:val="000000" w:themeColor="text1"/>
        </w:rPr>
        <w:t xml:space="preserve"> </w:t>
      </w:r>
      <w:r w:rsidR="007C0745" w:rsidRPr="004A5029">
        <w:rPr>
          <w:rFonts w:ascii="Times New Roman" w:hAnsi="Times New Roman" w:cs="Times New Roman"/>
          <w:b/>
          <w:bCs/>
          <w:color w:val="000000" w:themeColor="text1"/>
        </w:rPr>
        <w:t>medesima</w:t>
      </w:r>
      <w:r w:rsidRPr="004A5029">
        <w:rPr>
          <w:rFonts w:ascii="Times New Roman" w:hAnsi="Times New Roman" w:cs="Times New Roman"/>
          <w:b/>
          <w:bCs/>
          <w:color w:val="000000" w:themeColor="text1"/>
        </w:rPr>
        <w:t xml:space="preserve"> </w:t>
      </w:r>
      <w:r w:rsidRPr="004A5029">
        <w:rPr>
          <w:rFonts w:ascii="Times New Roman" w:hAnsi="Times New Roman" w:cs="Times New Roman"/>
          <w:b/>
          <w:bCs/>
          <w:strike/>
          <w:color w:val="000000" w:themeColor="text1"/>
        </w:rPr>
        <w:t>proposta</w:t>
      </w:r>
      <w:r w:rsidRPr="004A5029">
        <w:rPr>
          <w:rFonts w:ascii="Times New Roman" w:hAnsi="Times New Roman" w:cs="Times New Roman"/>
          <w:color w:val="000000" w:themeColor="text1"/>
        </w:rPr>
        <w:t xml:space="preserve">, invitando se necessario il promotore ad apportare al progetto di fattibilità le modifiche necessarie per la sua approvazione. Se il promotore non apporta le modifiche richieste, come eventualmente rimodulate sulla base di soluzioni alternative suggerite dallo stesso promotore per recepire le indicazioni dell’ente concedente, la proposta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respinta. </w:t>
      </w:r>
      <w:r w:rsidR="008D4109" w:rsidRPr="004A5029">
        <w:rPr>
          <w:rFonts w:ascii="Times New Roman" w:hAnsi="Times New Roman" w:cs="Times New Roman"/>
          <w:b/>
          <w:bCs/>
          <w:color w:val="000000" w:themeColor="text1"/>
        </w:rPr>
        <w:t>L’ente concedente conclude la procedura di valutazione con provvedimento espresso, pubblicato sul proprio sito istituzionale e oggetto di comunicazione ai soggetti interessati.</w:t>
      </w:r>
      <w:r w:rsidR="008D4109"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Il progetto di fattibilità, una volta approvato, è inserito tra gli strumenti di programmazione dell’ente concedente.</w:t>
      </w:r>
    </w:p>
    <w:p w14:paraId="75629881"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w:t>
      </w:r>
      <w:r w:rsidRPr="004A5029">
        <w:rPr>
          <w:rFonts w:ascii="Times New Roman" w:hAnsi="Times New Roman" w:cs="Times New Roman"/>
          <w:color w:val="000000" w:themeColor="text1"/>
        </w:rPr>
        <w:t xml:space="preserve"> Il progetto di fattibilità approvato è posto a base di gara nei tempi previsti dalla programmazione. Il criterio di aggiudicazione è l’offerta economicamente più vantaggiosa individuata sulla base del miglior rapporto tra qualità e prezzo.</w:t>
      </w:r>
    </w:p>
    <w:p w14:paraId="1C41FB93" w14:textId="3187144D" w:rsidR="0083753D" w:rsidRPr="004A5029" w:rsidRDefault="0083753D" w:rsidP="0083753D">
      <w:pP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 xml:space="preserve">4. La configurazione giuridica del soggetto proponente può essere modificata e integrata sino alla data di scadenza della presentazione delle offerte. Nel bando l’ente concedente dispone che il promotore </w:t>
      </w:r>
      <w:r w:rsidR="0040451C" w:rsidRPr="004A5029">
        <w:rPr>
          <w:rFonts w:ascii="Times New Roman" w:hAnsi="Times New Roman" w:cs="Times New Roman"/>
          <w:bCs/>
          <w:color w:val="000000" w:themeColor="text1"/>
        </w:rPr>
        <w:t>può</w:t>
      </w:r>
      <w:r w:rsidR="0040451C" w:rsidRPr="004A5029">
        <w:rPr>
          <w:rFonts w:ascii="Times New Roman" w:hAnsi="Times New Roman" w:cs="Times New Roman"/>
          <w:b/>
          <w:color w:val="000000" w:themeColor="text1"/>
        </w:rPr>
        <w:t xml:space="preserve"> </w:t>
      </w:r>
      <w:r w:rsidRPr="004A5029">
        <w:rPr>
          <w:rFonts w:ascii="Times New Roman" w:hAnsi="Times New Roman" w:cs="Times New Roman"/>
          <w:bCs/>
          <w:color w:val="000000" w:themeColor="text1"/>
        </w:rPr>
        <w:t xml:space="preserve">esercitare il diritto di prelazione. </w:t>
      </w:r>
    </w:p>
    <w:p w14:paraId="73EF55DA" w14:textId="7CE869CD"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5. I concorrenti, compreso il promotore, in possesso dei requisiti previsti dal bando, presentano un’offerta contenente il piano economico-finanziario asseverato, la specificazione delle caratteristiche del servizio e della gestione</w:t>
      </w:r>
      <w:r w:rsidRPr="004A5029">
        <w:rPr>
          <w:rFonts w:ascii="Times New Roman" w:hAnsi="Times New Roman" w:cs="Times New Roman"/>
          <w:b/>
          <w:bCs/>
          <w:strike/>
          <w:color w:val="000000" w:themeColor="text1"/>
        </w:rPr>
        <w:t>,</w:t>
      </w:r>
      <w:r w:rsidRPr="004A5029">
        <w:rPr>
          <w:rFonts w:ascii="Times New Roman" w:hAnsi="Times New Roman" w:cs="Times New Roman"/>
          <w:color w:val="000000" w:themeColor="text1"/>
        </w:rPr>
        <w:t xml:space="preserve"> </w:t>
      </w:r>
      <w:r w:rsidR="00CD73BF" w:rsidRPr="004A5029">
        <w:rPr>
          <w:rFonts w:ascii="Times New Roman" w:hAnsi="Times New Roman" w:cs="Times New Roman"/>
          <w:b/>
          <w:bCs/>
          <w:color w:val="000000" w:themeColor="text1"/>
        </w:rPr>
        <w:t xml:space="preserve">e </w:t>
      </w:r>
      <w:r w:rsidRPr="004A5029">
        <w:rPr>
          <w:rFonts w:ascii="Times New Roman" w:hAnsi="Times New Roman" w:cs="Times New Roman"/>
          <w:color w:val="000000" w:themeColor="text1"/>
        </w:rPr>
        <w:t>le varianti migliorative al progetto di fattibilità posto a base di gara, secondo gli indicatori previsti nel bando.</w:t>
      </w:r>
    </w:p>
    <w:p w14:paraId="6DEC1C1D" w14:textId="57EC0018"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Le offerte sono corredate </w:t>
      </w:r>
      <w:bookmarkStart w:id="68" w:name="_Hlk127466915"/>
      <w:r w:rsidRPr="004A5029">
        <w:rPr>
          <w:rFonts w:ascii="Times New Roman" w:hAnsi="Times New Roman" w:cs="Times New Roman"/>
          <w:b/>
          <w:bCs/>
          <w:strike/>
          <w:color w:val="000000" w:themeColor="text1"/>
        </w:rPr>
        <w:t xml:space="preserve">dalle </w:t>
      </w:r>
      <w:r w:rsidR="00C83612" w:rsidRPr="004A5029">
        <w:rPr>
          <w:rFonts w:ascii="Times New Roman" w:hAnsi="Times New Roman" w:cs="Times New Roman"/>
          <w:b/>
          <w:bCs/>
          <w:color w:val="000000" w:themeColor="text1"/>
        </w:rPr>
        <w:t>delle</w:t>
      </w:r>
      <w:r w:rsidR="00C83612" w:rsidRPr="004A5029">
        <w:rPr>
          <w:rFonts w:ascii="Times New Roman" w:hAnsi="Times New Roman" w:cs="Times New Roman"/>
          <w:color w:val="000000" w:themeColor="text1"/>
        </w:rPr>
        <w:t xml:space="preserve"> </w:t>
      </w:r>
      <w:bookmarkEnd w:id="68"/>
      <w:r w:rsidRPr="004A5029">
        <w:rPr>
          <w:rFonts w:ascii="Times New Roman" w:hAnsi="Times New Roman" w:cs="Times New Roman"/>
          <w:color w:val="000000" w:themeColor="text1"/>
        </w:rPr>
        <w:t>garanzie di cui all’articolo 106. Il soggetto aggiudicatario presta la garanzia di cui all’articolo 117</w:t>
      </w:r>
      <w:r w:rsidR="00B268D8" w:rsidRPr="004A5029">
        <w:rPr>
          <w:rFonts w:ascii="Times New Roman" w:hAnsi="Times New Roman" w:cs="Times New Roman"/>
          <w:color w:val="000000" w:themeColor="text1"/>
        </w:rPr>
        <w:t xml:space="preserve">. </w:t>
      </w:r>
      <w:bookmarkStart w:id="69" w:name="_Hlk123717228"/>
      <w:r w:rsidR="00B268D8" w:rsidRPr="004A5029">
        <w:rPr>
          <w:rFonts w:ascii="Times New Roman" w:hAnsi="Times New Roman" w:cs="Times New Roman"/>
          <w:color w:val="000000" w:themeColor="text1"/>
        </w:rPr>
        <w:t>Dalla data di inizio dell'esercizio del servizio da parte del concessionario è dovuta una cauzione a garanzia delle penali relative al mancato o inesatto adempimento di tutti gli obblighi contrattuali relativi alla gestione dell'opera, da prestarsi nella misura del 10 per cento del costo annuo operativo di esercizio e con le modalità di cui all'articolo 117</w:t>
      </w:r>
      <w:bookmarkEnd w:id="69"/>
      <w:r w:rsidR="00B268D8" w:rsidRPr="004A5029">
        <w:rPr>
          <w:rFonts w:ascii="Times New Roman" w:hAnsi="Times New Roman" w:cs="Times New Roman"/>
          <w:color w:val="000000" w:themeColor="text1"/>
        </w:rPr>
        <w:t>. La mancata presentazione di tale cauzione costituisce grave inadempimento contrattuale.</w:t>
      </w:r>
    </w:p>
    <w:p w14:paraId="04794FA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L’ente concedente:</w:t>
      </w:r>
    </w:p>
    <w:p w14:paraId="1AAF8EA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prende in esame le offerte che sono pervenute nei termini indicati nel bando;</w:t>
      </w:r>
    </w:p>
    <w:p w14:paraId="3074D4E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redige una graduatoria e nomina aggiudicatario il soggetto che ha presentato la migliore offerta;</w:t>
      </w:r>
    </w:p>
    <w:p w14:paraId="6C02E7F5"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c) pone in approvazione i successivi livelli progettuali elaborati dall’aggiudicatario.</w:t>
      </w:r>
    </w:p>
    <w:p w14:paraId="1C4A4CD2" w14:textId="53EB8FCC"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8. Se il promotore non risulta aggiudicatario, può esercitare, entro </w:t>
      </w:r>
      <w:r w:rsidR="004E4B92" w:rsidRPr="004A5029">
        <w:rPr>
          <w:rFonts w:ascii="Times New Roman" w:hAnsi="Times New Roman" w:cs="Times New Roman"/>
          <w:strike/>
          <w:color w:val="000000" w:themeColor="text1"/>
        </w:rPr>
        <w:t>15</w:t>
      </w:r>
      <w:r w:rsidR="004E4B92" w:rsidRPr="004A5029">
        <w:rPr>
          <w:rFonts w:ascii="Times New Roman" w:hAnsi="Times New Roman" w:cs="Times New Roman"/>
          <w:color w:val="000000" w:themeColor="text1"/>
        </w:rPr>
        <w:t xml:space="preserve"> </w:t>
      </w:r>
      <w:r w:rsidR="004E4B92" w:rsidRPr="004A5029">
        <w:rPr>
          <w:rFonts w:ascii="Times New Roman" w:hAnsi="Times New Roman" w:cs="Times New Roman"/>
          <w:b/>
          <w:bCs/>
          <w:color w:val="000000" w:themeColor="text1"/>
        </w:rPr>
        <w:t>quindici</w:t>
      </w:r>
      <w:r w:rsidRPr="004A5029">
        <w:rPr>
          <w:rFonts w:ascii="Times New Roman" w:hAnsi="Times New Roman" w:cs="Times New Roman"/>
          <w:bCs/>
          <w:color w:val="000000" w:themeColor="text1"/>
        </w:rPr>
        <w:t xml:space="preserve"> giorni dalla comunicazione dell'aggiudicazione, il diritto di prelazione e divenire aggiudicatario se dichiara di impegnarsi ad adempiere alle obbligazioni contrattuali alle medesime condizioni offerte dall'aggiudicatario. Se il promotore non risulta aggiudicatario</w:t>
      </w:r>
      <w:r w:rsidR="00CF76BD" w:rsidRPr="004A5029">
        <w:rPr>
          <w:rFonts w:ascii="Times New Roman" w:hAnsi="Times New Roman" w:cs="Times New Roman"/>
          <w:bCs/>
          <w:color w:val="000000" w:themeColor="text1"/>
        </w:rPr>
        <w:t xml:space="preserve"> </w:t>
      </w:r>
      <w:r w:rsidR="0093109B" w:rsidRPr="00442633">
        <w:rPr>
          <w:rFonts w:ascii="Times New Roman" w:hAnsi="Times New Roman" w:cs="Times New Roman"/>
          <w:b/>
        </w:rPr>
        <w:t xml:space="preserve">e </w:t>
      </w:r>
      <w:r w:rsidR="0093109B" w:rsidRPr="0093109B">
        <w:rPr>
          <w:rFonts w:ascii="Times New Roman" w:hAnsi="Times New Roman" w:cs="Times New Roman"/>
          <w:b/>
          <w:strike/>
        </w:rPr>
        <w:t>nonostante l’attribuzione del punteggio premiale o perché</w:t>
      </w:r>
      <w:r w:rsidR="0093109B" w:rsidRPr="00C17FD9">
        <w:rPr>
          <w:rFonts w:ascii="Times New Roman" w:hAnsi="Times New Roman" w:cs="Times New Roman"/>
          <w:bCs/>
        </w:rPr>
        <w:t xml:space="preserve"> </w:t>
      </w:r>
      <w:r w:rsidRPr="004A5029">
        <w:rPr>
          <w:rFonts w:ascii="Times New Roman" w:hAnsi="Times New Roman" w:cs="Times New Roman"/>
          <w:bCs/>
          <w:color w:val="000000" w:themeColor="text1"/>
        </w:rPr>
        <w:t>non esercita la prelazione ha diritto al pagamento, a carico dell'aggiudicatario, dell'importo delle spese per la predisposizione della proposta, comprensive anche dei diritti sulle opere dell'ingegno. L'importo complessivo delle spese rimborsabili non può superare il 2,5 per cento del valore dell'investimento, come desumibile dal progetto di fattibilità posto a base di gara. Se il promotore esercita la prelazione, l’originario aggiudicatario ha diritto al pagamento, a carico del promotore, dell'importo delle spese documentate ed effettivamente sostenute per la predisposizione dell'offerta nei limiti di cui al terzo periodo.</w:t>
      </w:r>
    </w:p>
    <w:p w14:paraId="2472437F"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9. In relazione alla specifica tipologia di lavoro o servizio, l’ente concedente tiene conto, tra i criteri di aggiudicazione, della quota di investimenti destinata al progetto in termini di ricerca, sviluppo e innovazione tecnologica. </w:t>
      </w:r>
    </w:p>
    <w:p w14:paraId="611E7DAF" w14:textId="2E99CA63"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10. Le camere di commercio, industria, artigianato e agricoltura, nell'ambito degli scopi di utilità sociale e di promozione dello sviluppo economico </w:t>
      </w:r>
      <w:r w:rsidR="00CF76BD" w:rsidRPr="004A5029">
        <w:rPr>
          <w:rFonts w:ascii="Times New Roman" w:hAnsi="Times New Roman" w:cs="Times New Roman"/>
          <w:color w:val="000000" w:themeColor="text1"/>
        </w:rPr>
        <w:t>dagli stessi perseguiti</w:t>
      </w:r>
      <w:r w:rsidRPr="004A5029">
        <w:rPr>
          <w:rFonts w:ascii="Times New Roman" w:hAnsi="Times New Roman" w:cs="Times New Roman"/>
          <w:color w:val="000000" w:themeColor="text1"/>
        </w:rPr>
        <w:t>, possono aggregarsi alla presentazione di proposte di realizzazione di lavori pubblici di cui al comma 1, ferma restando la loro autonomia decisionale.</w:t>
      </w:r>
    </w:p>
    <w:p w14:paraId="23C14996"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11. L’ente concedente può sollecitare i privati a farsi promotori di iniziative volte a realizzare i progetti inclusi negli strumenti di programmazione del partenariato pubblico-privato, di cui all’articolo 175, comma 1, con le modalità disciplinate nel presente Titolo.</w:t>
      </w:r>
    </w:p>
    <w:p w14:paraId="5101B52C" w14:textId="77777777" w:rsidR="0083753D" w:rsidRPr="004A5029" w:rsidRDefault="0083753D" w:rsidP="0083753D">
      <w:pPr>
        <w:jc w:val="both"/>
        <w:rPr>
          <w:rFonts w:ascii="Times New Roman" w:hAnsi="Times New Roman" w:cs="Times New Roman"/>
          <w:b/>
          <w:bCs/>
          <w:color w:val="000000" w:themeColor="text1"/>
        </w:rPr>
      </w:pPr>
    </w:p>
    <w:p w14:paraId="10073379" w14:textId="77777777" w:rsidR="0083753D" w:rsidRPr="004A5029" w:rsidRDefault="0083753D" w:rsidP="0083753D">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194.</w:t>
      </w:r>
    </w:p>
    <w:p w14:paraId="56842A16" w14:textId="77777777" w:rsidR="0083753D" w:rsidRPr="004A5029" w:rsidRDefault="0083753D" w:rsidP="0083753D">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Società di scopo.</w:t>
      </w:r>
    </w:p>
    <w:p w14:paraId="6FC9A55C" w14:textId="777D09F1"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w:t>
      </w:r>
      <w:r w:rsidR="00E06FE4" w:rsidRPr="004A5029">
        <w:rPr>
          <w:rFonts w:ascii="Times New Roman" w:eastAsia="Calibri" w:hAnsi="Times New Roman" w:cs="Times New Roman"/>
          <w:b/>
          <w:bCs/>
          <w:color w:val="000000" w:themeColor="text1"/>
        </w:rPr>
        <w:t xml:space="preserve">Per gli affidamenti superiori alla soglia di cui all’articolo 14, comma 1, lettera a), </w:t>
      </w:r>
      <w:r w:rsidRPr="004A5029">
        <w:rPr>
          <w:rFonts w:ascii="Times New Roman" w:eastAsia="Calibri" w:hAnsi="Times New Roman" w:cs="Times New Roman"/>
          <w:b/>
          <w:bCs/>
          <w:strike/>
          <w:color w:val="000000" w:themeColor="text1"/>
        </w:rPr>
        <w:t>I</w:t>
      </w:r>
      <w:r w:rsidR="00E06FE4" w:rsidRPr="004A5029">
        <w:rPr>
          <w:rFonts w:ascii="Times New Roman" w:eastAsia="Calibri" w:hAnsi="Times New Roman" w:cs="Times New Roman"/>
          <w:b/>
          <w:bCs/>
          <w:color w:val="000000" w:themeColor="text1"/>
        </w:rPr>
        <w:t>i</w:t>
      </w:r>
      <w:r w:rsidRPr="004A5029">
        <w:rPr>
          <w:rFonts w:ascii="Times New Roman" w:eastAsia="Calibri" w:hAnsi="Times New Roman" w:cs="Times New Roman"/>
          <w:color w:val="000000" w:themeColor="text1"/>
        </w:rPr>
        <w:t>l bando di gara per l’affidamento di una concessione nella forma della finanza di progetto prevede che l’aggiudicatario costituisca una società di scopo in forma di società per azioni o a responsabilità limitata, anche consortile. Il bando di gara indica l'ammontare minimo del capitale sociale della società. In caso di concorrente costituito da più soggetti, nell'offerta è indicata, a pena di esclusione, la quota di partecipazione al capitale sociale di ciascun soggetto.</w:t>
      </w:r>
    </w:p>
    <w:p w14:paraId="5F0C9403"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I lavori da eseguire e i servizi da prestare da parte delle società di scopo si intendono realizzati e prestati in proprio anche nel caso in cui siano affidati direttamente dalle suddette società ai propri soci, originari o subentrati, sempre che essi siano in possesso dei requisiti stabiliti dalle vigenti norme legislative e regolamentari.</w:t>
      </w:r>
    </w:p>
    <w:p w14:paraId="18EC46BE" w14:textId="65705933" w:rsidR="0083753D" w:rsidRPr="004A5029" w:rsidRDefault="0083753D" w:rsidP="0083753D">
      <w:pPr>
        <w:jc w:val="both"/>
        <w:rPr>
          <w:rStyle w:val="normaltextrun"/>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3. La società di </w:t>
      </w:r>
      <w:r w:rsidRPr="004A5029">
        <w:rPr>
          <w:rFonts w:ascii="Times New Roman" w:eastAsia="Calibri" w:hAnsi="Times New Roman" w:cs="Times New Roman"/>
          <w:bCs/>
          <w:color w:val="000000" w:themeColor="text1"/>
        </w:rPr>
        <w:t>scopo</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senza</w:t>
      </w:r>
      <w:r w:rsidRPr="004A5029">
        <w:rPr>
          <w:rFonts w:ascii="Times New Roman" w:eastAsia="Calibri" w:hAnsi="Times New Roman" w:cs="Times New Roman"/>
          <w:color w:val="000000" w:themeColor="text1"/>
        </w:rPr>
        <w:t xml:space="preserve"> che </w:t>
      </w:r>
      <w:r w:rsidRPr="004A5029">
        <w:rPr>
          <w:rFonts w:ascii="Times New Roman" w:eastAsia="Calibri" w:hAnsi="Times New Roman" w:cs="Times New Roman"/>
          <w:bCs/>
          <w:color w:val="000000" w:themeColor="text1"/>
        </w:rPr>
        <w:t>ciò</w:t>
      </w:r>
      <w:r w:rsidRPr="004A5029">
        <w:rPr>
          <w:rFonts w:ascii="Times New Roman" w:eastAsia="Calibri" w:hAnsi="Times New Roman" w:cs="Times New Roman"/>
          <w:color w:val="000000" w:themeColor="text1"/>
        </w:rPr>
        <w:t xml:space="preserve"> costituisca cessione di contratto, </w:t>
      </w:r>
      <w:r w:rsidRPr="004A5029">
        <w:rPr>
          <w:rFonts w:ascii="Times New Roman" w:eastAsia="Calibri" w:hAnsi="Times New Roman" w:cs="Times New Roman"/>
          <w:bCs/>
          <w:color w:val="000000" w:themeColor="text1"/>
        </w:rPr>
        <w:t>subentra nel rapporto di concessione senza necessità di approvazione o autorizzazione amministrativa.</w:t>
      </w:r>
      <w:r w:rsidRPr="004A5029">
        <w:rPr>
          <w:rFonts w:ascii="Times New Roman" w:eastAsia="Calibri" w:hAnsi="Times New Roman" w:cs="Times New Roman"/>
          <w:color w:val="000000" w:themeColor="text1"/>
        </w:rPr>
        <w:t xml:space="preserve"> Essa sostituisce l’aggiudicatario in tutti i rapporti con l'ente concedente. Nel caso di versamento di un prezzo in corso d'opera da parte dell’ente concedente, i soci della società restano solidalmente responsabili con la società di scopo nei confronti dell'amministrazione per l'eventuale rimborso del contributo percepito. In alternativa, la società di </w:t>
      </w:r>
      <w:r w:rsidRPr="004A5029">
        <w:rPr>
          <w:rFonts w:ascii="Times New Roman" w:eastAsia="Calibri" w:hAnsi="Times New Roman" w:cs="Times New Roman"/>
          <w:bCs/>
          <w:color w:val="000000" w:themeColor="text1"/>
        </w:rPr>
        <w:t>scopo</w:t>
      </w:r>
      <w:r w:rsidRPr="004A5029">
        <w:rPr>
          <w:rFonts w:ascii="Times New Roman" w:eastAsia="Calibri" w:hAnsi="Times New Roman" w:cs="Times New Roman"/>
          <w:color w:val="000000" w:themeColor="text1"/>
        </w:rPr>
        <w:t xml:space="preserve"> può fornire alla pubblica amministrazione garanzie bancarie e assicurative per la restituzione delle somme versate a titolo di prezzo in corso d'opera, liberando in tal modo i soci. Le garanzie cessano alla data di emissione del certificato di collaudo dell'opera. Il contratto di concessione stabilisce le modalità per l'eventuale cessione delle quote della società di </w:t>
      </w:r>
      <w:r w:rsidRPr="004A5029">
        <w:rPr>
          <w:rFonts w:ascii="Times New Roman" w:eastAsia="Calibri" w:hAnsi="Times New Roman" w:cs="Times New Roman"/>
          <w:bCs/>
          <w:color w:val="000000" w:themeColor="text1"/>
        </w:rPr>
        <w:t>scopo</w:t>
      </w:r>
      <w:r w:rsidRPr="004A5029">
        <w:rPr>
          <w:rFonts w:ascii="Times New Roman" w:eastAsia="Calibri" w:hAnsi="Times New Roman" w:cs="Times New Roman"/>
          <w:color w:val="000000" w:themeColor="text1"/>
        </w:rPr>
        <w:t xml:space="preserve">, fermo restando che i soci che hanno concorso a formare i requisiti per la qualificazione sono tenuti a partecipare alla società e a garantire, nei limiti di cui sopra, il buon adempimento degli obblighi del concessionario sino alla data di emissione del certificato di collaudo dell'opera. L'ingresso nel capitale sociale della società di </w:t>
      </w:r>
      <w:r w:rsidRPr="004A5029">
        <w:rPr>
          <w:rFonts w:ascii="Times New Roman" w:eastAsia="Calibri" w:hAnsi="Times New Roman" w:cs="Times New Roman"/>
          <w:bCs/>
          <w:color w:val="000000" w:themeColor="text1"/>
        </w:rPr>
        <w:t>scopo</w:t>
      </w:r>
      <w:r w:rsidRPr="004A5029">
        <w:rPr>
          <w:rFonts w:ascii="Times New Roman" w:eastAsia="Calibri" w:hAnsi="Times New Roman" w:cs="Times New Roman"/>
          <w:color w:val="000000" w:themeColor="text1"/>
        </w:rPr>
        <w:t xml:space="preserve"> e lo smobilizzo delle partecipazioni da parte di banche e altri investitori istituzionali,</w:t>
      </w:r>
      <w:r w:rsidRPr="004A5029">
        <w:rPr>
          <w:rFonts w:ascii="Times New Roman" w:eastAsia="Calibri" w:hAnsi="Times New Roman" w:cs="Times New Roman"/>
          <w:color w:val="000000" w:themeColor="text1"/>
          <w:lang w:eastAsia="it-IT"/>
        </w:rPr>
        <w:t xml:space="preserve"> di cui all’articolo 193, comma 1, quarto periodo, </w:t>
      </w:r>
      <w:r w:rsidRPr="004A5029">
        <w:rPr>
          <w:rFonts w:ascii="Times New Roman" w:eastAsia="Calibri" w:hAnsi="Times New Roman" w:cs="Times New Roman"/>
          <w:color w:val="000000" w:themeColor="text1"/>
        </w:rPr>
        <w:t>che non abbiano concorso a formare i requisiti per la qualificazione, possono tuttavia avvenire in qualsiasi momento.</w:t>
      </w:r>
    </w:p>
    <w:p w14:paraId="41C3221B"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4. Il contratto di concessione disciplina altresì le modalità di sostituzione dei soci della società di scopo che, nel corso dell’esecuzione del contratto, perdano i requisiti di qualificazione.</w:t>
      </w:r>
    </w:p>
    <w:p w14:paraId="0A5B6B66" w14:textId="50A3AFA5" w:rsidR="0083753D" w:rsidRPr="004A5029" w:rsidRDefault="0083753D" w:rsidP="0083753D">
      <w:pPr>
        <w:jc w:val="both"/>
        <w:rPr>
          <w:rFonts w:ascii="Times New Roman" w:eastAsia="Calibri" w:hAnsi="Times New Roman" w:cs="Times New Roman"/>
          <w:color w:val="000000" w:themeColor="text1"/>
          <w:highlight w:val="cyan"/>
        </w:rPr>
      </w:pPr>
      <w:r w:rsidRPr="004A5029">
        <w:rPr>
          <w:rFonts w:ascii="Times New Roman" w:eastAsia="Calibri" w:hAnsi="Times New Roman" w:cs="Times New Roman"/>
          <w:color w:val="000000" w:themeColor="text1"/>
        </w:rPr>
        <w:t>5. Il bando-tipo per l’affidamento di un contratto ai sensi</w:t>
      </w:r>
      <w:r w:rsidR="00F3759C" w:rsidRPr="004A5029">
        <w:rPr>
          <w:rFonts w:ascii="Times New Roman" w:eastAsia="Calibri" w:hAnsi="Times New Roman" w:cs="Times New Roman"/>
          <w:color w:val="000000" w:themeColor="text1"/>
        </w:rPr>
        <w:t xml:space="preserve"> </w:t>
      </w:r>
      <w:r w:rsidR="00F3759C" w:rsidRPr="004A5029">
        <w:rPr>
          <w:rFonts w:ascii="Times New Roman" w:eastAsia="Calibri" w:hAnsi="Times New Roman" w:cs="Times New Roman"/>
          <w:b/>
          <w:bCs/>
          <w:color w:val="000000" w:themeColor="text1"/>
        </w:rPr>
        <w:t>del comma 1</w:t>
      </w:r>
      <w:r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b/>
          <w:bCs/>
          <w:strike/>
          <w:color w:val="000000" w:themeColor="text1"/>
        </w:rPr>
        <w:t>dei commi 1 e 2</w:t>
      </w:r>
      <w:r w:rsidRPr="004A5029">
        <w:rPr>
          <w:rFonts w:ascii="Times New Roman" w:eastAsia="Calibri" w:hAnsi="Times New Roman" w:cs="Times New Roman"/>
          <w:color w:val="000000" w:themeColor="text1"/>
        </w:rPr>
        <w:t xml:space="preserve"> reca anche lo schema della convenzione da allegare agli atti di gara.</w:t>
      </w:r>
    </w:p>
    <w:p w14:paraId="3C8EC45C" w14:textId="77777777" w:rsidR="0083753D" w:rsidRPr="004A5029" w:rsidRDefault="0083753D" w:rsidP="0083753D">
      <w:pPr>
        <w:rPr>
          <w:rFonts w:ascii="Times New Roman" w:hAnsi="Times New Roman" w:cs="Times New Roman"/>
          <w:color w:val="000000" w:themeColor="text1"/>
        </w:rPr>
      </w:pPr>
    </w:p>
    <w:p w14:paraId="2A0AD253" w14:textId="77777777" w:rsidR="0083753D" w:rsidRPr="004A5029" w:rsidRDefault="0083753D" w:rsidP="0083753D">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195.</w:t>
      </w:r>
    </w:p>
    <w:p w14:paraId="2DFBAE72" w14:textId="77777777" w:rsidR="0083753D" w:rsidRPr="004A5029" w:rsidRDefault="0083753D" w:rsidP="0083753D">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Obbligazioni delle società di scopo.</w:t>
      </w:r>
    </w:p>
    <w:p w14:paraId="5D932E6B" w14:textId="3CB16948"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 </w:t>
      </w:r>
      <w:r w:rsidRPr="004A5029">
        <w:rPr>
          <w:rFonts w:ascii="Times New Roman" w:eastAsia="Calibri" w:hAnsi="Times New Roman" w:cs="Times New Roman"/>
          <w:bCs/>
          <w:color w:val="000000" w:themeColor="text1"/>
        </w:rPr>
        <w:t>Le società di scopo</w:t>
      </w:r>
      <w:r w:rsidRPr="004A5029">
        <w:rPr>
          <w:rFonts w:ascii="Times New Roman" w:eastAsia="Calibri" w:hAnsi="Times New Roman" w:cs="Times New Roman"/>
          <w:color w:val="000000" w:themeColor="text1"/>
        </w:rPr>
        <w:t xml:space="preserve"> possono emettere obbligazioni e titoli di debito, anche in deroga ai limiti di cui agli articoli 2412 e 2483 del codice civile, purché destinati alla sottoscrizione da parte degli investitori</w:t>
      </w:r>
      <w:r w:rsidRPr="004A5029">
        <w:rPr>
          <w:rFonts w:ascii="Times New Roman" w:eastAsia="Calibri" w:hAnsi="Times New Roman" w:cs="Times New Roman"/>
          <w:bCs/>
          <w:color w:val="000000" w:themeColor="text1"/>
        </w:rPr>
        <w:t xml:space="preserve"> istituzionali e dei clienti professionali indicati nell’articolo 6, commi 2-</w:t>
      </w:r>
      <w:r w:rsidRPr="004A5029">
        <w:rPr>
          <w:rFonts w:ascii="Times New Roman" w:eastAsia="Calibri" w:hAnsi="Times New Roman" w:cs="Times New Roman"/>
          <w:bCs/>
          <w:i/>
          <w:color w:val="000000" w:themeColor="text1"/>
        </w:rPr>
        <w:t>quinquies</w:t>
      </w:r>
      <w:r w:rsidRPr="004A5029">
        <w:rPr>
          <w:rFonts w:ascii="Times New Roman" w:eastAsia="Calibri" w:hAnsi="Times New Roman" w:cs="Times New Roman"/>
          <w:bCs/>
          <w:color w:val="000000" w:themeColor="text1"/>
        </w:rPr>
        <w:t xml:space="preserve"> e 2-</w:t>
      </w:r>
      <w:r w:rsidRPr="004A5029">
        <w:rPr>
          <w:rFonts w:ascii="Times New Roman" w:eastAsia="Calibri" w:hAnsi="Times New Roman" w:cs="Times New Roman"/>
          <w:bCs/>
          <w:i/>
          <w:color w:val="000000" w:themeColor="text1"/>
        </w:rPr>
        <w:t>sexies</w:t>
      </w:r>
      <w:r w:rsidRPr="004A5029">
        <w:rPr>
          <w:rFonts w:ascii="Times New Roman" w:eastAsia="Calibri" w:hAnsi="Times New Roman" w:cs="Times New Roman"/>
          <w:color w:val="000000" w:themeColor="text1"/>
        </w:rPr>
        <w:t xml:space="preserve">, del </w:t>
      </w:r>
      <w:r w:rsidR="00E9136F" w:rsidRPr="004A5029">
        <w:rPr>
          <w:rFonts w:ascii="Times New Roman" w:hAnsi="Times New Roman" w:cs="Times New Roman"/>
          <w:b/>
          <w:bCs/>
          <w:color w:val="000000" w:themeColor="text1"/>
        </w:rPr>
        <w:t>testo unico delle disposizioni in materia di intermediazione finanziaria</w:t>
      </w:r>
      <w:r w:rsidR="00422AFC" w:rsidRPr="004A5029">
        <w:rPr>
          <w:rFonts w:ascii="Times New Roman" w:hAnsi="Times New Roman" w:cs="Times New Roman"/>
          <w:b/>
          <w:bCs/>
          <w:color w:val="000000" w:themeColor="text1"/>
        </w:rPr>
        <w:t>,</w:t>
      </w:r>
      <w:r w:rsidR="00E9136F" w:rsidRPr="004A5029">
        <w:rPr>
          <w:rFonts w:ascii="Times New Roman" w:hAnsi="Times New Roman" w:cs="Times New Roman"/>
          <w:b/>
          <w:bCs/>
          <w:color w:val="000000" w:themeColor="text1"/>
        </w:rPr>
        <w:t xml:space="preserve"> di cui al</w:t>
      </w:r>
      <w:r w:rsidR="00E9136F"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color w:val="000000" w:themeColor="text1"/>
        </w:rPr>
        <w:t xml:space="preserve">decreto legislativo 24 febbraio 1998, n. 58, </w:t>
      </w:r>
      <w:r w:rsidRPr="004A5029">
        <w:rPr>
          <w:rFonts w:ascii="Times New Roman" w:eastAsia="Calibri" w:hAnsi="Times New Roman" w:cs="Times New Roman"/>
          <w:bCs/>
          <w:color w:val="000000" w:themeColor="text1"/>
        </w:rPr>
        <w:t>e nei regolamenti attuativi</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o delle loro controllanti e controllate ai sensi dell’articolo </w:t>
      </w:r>
      <w:r w:rsidR="00703151" w:rsidRPr="004A5029">
        <w:rPr>
          <w:rFonts w:ascii="Times New Roman" w:eastAsia="Calibri" w:hAnsi="Times New Roman" w:cs="Times New Roman"/>
          <w:bCs/>
          <w:color w:val="000000" w:themeColor="text1"/>
        </w:rPr>
        <w:t>1</w:t>
      </w:r>
      <w:r w:rsidRPr="004A5029">
        <w:rPr>
          <w:rFonts w:ascii="Times New Roman" w:eastAsia="Calibri" w:hAnsi="Times New Roman" w:cs="Times New Roman"/>
          <w:bCs/>
          <w:color w:val="000000" w:themeColor="text1"/>
        </w:rPr>
        <w:t>, commi 6-</w:t>
      </w:r>
      <w:r w:rsidRPr="004A5029">
        <w:rPr>
          <w:rFonts w:ascii="Times New Roman" w:eastAsia="Calibri" w:hAnsi="Times New Roman" w:cs="Times New Roman"/>
          <w:bCs/>
          <w:i/>
          <w:color w:val="000000" w:themeColor="text1"/>
        </w:rPr>
        <w:t>bis</w:t>
      </w:r>
      <w:r w:rsidRPr="004A5029">
        <w:rPr>
          <w:rFonts w:ascii="Times New Roman" w:eastAsia="Calibri" w:hAnsi="Times New Roman" w:cs="Times New Roman"/>
          <w:bCs/>
          <w:color w:val="000000" w:themeColor="text1"/>
        </w:rPr>
        <w:t>.1 e 6-</w:t>
      </w:r>
      <w:r w:rsidRPr="004A5029">
        <w:rPr>
          <w:rFonts w:ascii="Times New Roman" w:eastAsia="Calibri" w:hAnsi="Times New Roman" w:cs="Times New Roman"/>
          <w:bCs/>
          <w:i/>
          <w:color w:val="000000" w:themeColor="text1"/>
        </w:rPr>
        <w:t>bis</w:t>
      </w:r>
      <w:r w:rsidRPr="004A5029">
        <w:rPr>
          <w:rFonts w:ascii="Times New Roman" w:eastAsia="Calibri" w:hAnsi="Times New Roman" w:cs="Times New Roman"/>
          <w:bCs/>
          <w:color w:val="000000" w:themeColor="text1"/>
        </w:rPr>
        <w:t xml:space="preserve">.2 dello stesso </w:t>
      </w:r>
      <w:r w:rsidR="00FC22E4" w:rsidRPr="004A5029">
        <w:rPr>
          <w:rFonts w:ascii="Times New Roman" w:hAnsi="Times New Roman" w:cs="Times New Roman"/>
          <w:b/>
          <w:bCs/>
          <w:color w:val="000000" w:themeColor="text1"/>
        </w:rPr>
        <w:t xml:space="preserve">testo unico </w:t>
      </w:r>
      <w:r w:rsidR="00791855" w:rsidRPr="004A5029">
        <w:rPr>
          <w:rFonts w:ascii="Times New Roman" w:hAnsi="Times New Roman" w:cs="Times New Roman"/>
          <w:b/>
          <w:bCs/>
          <w:color w:val="000000" w:themeColor="text1"/>
        </w:rPr>
        <w:t>di cui al</w:t>
      </w:r>
      <w:r w:rsidR="00791855" w:rsidRPr="004A5029">
        <w:rPr>
          <w:rFonts w:ascii="Times New Roman" w:hAnsi="Times New Roman" w:cs="Times New Roman"/>
          <w:color w:val="000000" w:themeColor="text1"/>
        </w:rPr>
        <w:t xml:space="preserve"> </w:t>
      </w:r>
      <w:r w:rsidRPr="004A5029">
        <w:rPr>
          <w:rFonts w:ascii="Times New Roman" w:eastAsia="Calibri" w:hAnsi="Times New Roman" w:cs="Times New Roman"/>
          <w:bCs/>
          <w:color w:val="000000" w:themeColor="text1"/>
        </w:rPr>
        <w:t>decreto legislativo</w:t>
      </w:r>
      <w:r w:rsidR="00791855" w:rsidRPr="004A5029">
        <w:rPr>
          <w:rFonts w:ascii="Times New Roman" w:eastAsia="Calibri" w:hAnsi="Times New Roman" w:cs="Times New Roman"/>
          <w:bCs/>
          <w:color w:val="000000" w:themeColor="text1"/>
        </w:rPr>
        <w:t xml:space="preserve"> </w:t>
      </w:r>
      <w:r w:rsidR="00791855" w:rsidRPr="004A5029">
        <w:rPr>
          <w:rFonts w:ascii="Times New Roman" w:hAnsi="Times New Roman" w:cs="Times New Roman"/>
          <w:b/>
          <w:bCs/>
          <w:color w:val="000000" w:themeColor="text1"/>
        </w:rPr>
        <w:t>n. 58 del 1998</w:t>
      </w:r>
      <w:r w:rsidRPr="004A5029">
        <w:rPr>
          <w:rFonts w:ascii="Times New Roman" w:eastAsia="Calibri" w:hAnsi="Times New Roman" w:cs="Times New Roman"/>
          <w:bCs/>
          <w:color w:val="000000" w:themeColor="text1"/>
        </w:rPr>
        <w:t>.</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 xml:space="preserve">Le obbligazioni e i titoli di debito di cui al primo periodo </w:t>
      </w:r>
      <w:r w:rsidRPr="004A5029">
        <w:rPr>
          <w:rFonts w:ascii="Times New Roman" w:eastAsia="Calibri" w:hAnsi="Times New Roman" w:cs="Times New Roman"/>
          <w:color w:val="000000" w:themeColor="text1"/>
        </w:rPr>
        <w:t xml:space="preserve">possono essere dematerializzati e non possono essere trasferiti a soggetti che non siano investitori </w:t>
      </w:r>
      <w:r w:rsidRPr="004A5029">
        <w:rPr>
          <w:rFonts w:ascii="Times New Roman" w:eastAsia="Calibri" w:hAnsi="Times New Roman" w:cs="Times New Roman"/>
          <w:bCs/>
          <w:color w:val="000000" w:themeColor="text1"/>
        </w:rPr>
        <w:t>istituzionali o clienti professionali.</w:t>
      </w:r>
      <w:r w:rsidRPr="004A5029">
        <w:rPr>
          <w:rFonts w:ascii="Times New Roman" w:eastAsia="Calibri" w:hAnsi="Times New Roman" w:cs="Times New Roman"/>
          <w:color w:val="000000" w:themeColor="text1"/>
        </w:rPr>
        <w:t xml:space="preserve"> In relazione ai titoli emessi ai sensi del presente articolo non si applicano gli articoli 2413, 2414-</w:t>
      </w:r>
      <w:r w:rsidRPr="004A5029">
        <w:rPr>
          <w:rFonts w:ascii="Times New Roman" w:eastAsia="Calibri" w:hAnsi="Times New Roman" w:cs="Times New Roman"/>
          <w:i/>
          <w:color w:val="000000" w:themeColor="text1"/>
        </w:rPr>
        <w:t>bis</w:t>
      </w:r>
      <w:r w:rsidRPr="004A5029">
        <w:rPr>
          <w:rFonts w:ascii="Times New Roman" w:eastAsia="Calibri" w:hAnsi="Times New Roman" w:cs="Times New Roman"/>
          <w:color w:val="000000" w:themeColor="text1"/>
        </w:rPr>
        <w:t>, commi primo e secondo, e da 2415 a 2420 del codice civile.</w:t>
      </w:r>
    </w:p>
    <w:p w14:paraId="457CBD80"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L’emissione di obbligazioni è ammessa esclusivamente per finanziare ovvero rifinanziare il debito precedentemente contratto per la realizzazione dell'infrastruttura o delle opere connesse al servizio di pubblica utilità.</w:t>
      </w:r>
    </w:p>
    <w:p w14:paraId="676AD9FC" w14:textId="1B7E6FBA"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3. La documentazione di offerta contiene </w:t>
      </w:r>
      <w:r w:rsidR="00CD73BF" w:rsidRPr="004A5029">
        <w:rPr>
          <w:rFonts w:ascii="Times New Roman" w:eastAsia="Calibri" w:hAnsi="Times New Roman" w:cs="Times New Roman"/>
          <w:b/>
          <w:bCs/>
          <w:color w:val="000000" w:themeColor="text1"/>
        </w:rPr>
        <w:t xml:space="preserve">in modo </w:t>
      </w:r>
      <w:r w:rsidRPr="004A5029">
        <w:rPr>
          <w:rFonts w:ascii="Times New Roman" w:eastAsia="Calibri" w:hAnsi="Times New Roman" w:cs="Times New Roman"/>
          <w:color w:val="000000" w:themeColor="text1"/>
        </w:rPr>
        <w:t>chiaro ed evidente l’avvertimento circa il grado di rischio associato all'operazione.</w:t>
      </w:r>
    </w:p>
    <w:p w14:paraId="75AB0EB6" w14:textId="17CE1081"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4. Il collocamento delle obbligazioni e altri titoli di debito emessi dalla società di scopo avviene nel termine massimo di </w:t>
      </w:r>
      <w:r w:rsidRPr="004A5029">
        <w:rPr>
          <w:rFonts w:ascii="Times New Roman" w:hAnsi="Times New Roman" w:cs="Times New Roman"/>
          <w:b/>
          <w:bCs/>
          <w:color w:val="000000" w:themeColor="text1"/>
        </w:rPr>
        <w:t xml:space="preserve">18 </w:t>
      </w:r>
      <w:r w:rsidR="00A62EBA" w:rsidRPr="004A5029">
        <w:rPr>
          <w:rFonts w:ascii="Times New Roman" w:hAnsi="Times New Roman" w:cs="Times New Roman"/>
          <w:b/>
          <w:bCs/>
          <w:color w:val="000000" w:themeColor="text1"/>
        </w:rPr>
        <w:t>diciotto</w:t>
      </w:r>
      <w:r w:rsidR="00A62EBA"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color w:val="000000" w:themeColor="text1"/>
        </w:rPr>
        <w:t>mesi, ovvero in quello inferiore fissato dal contratto di concessione, decorso il quale il contratto è risolto di diritto salvo che, nel frattempo, siano state reperite altre forme di finanziamento.</w:t>
      </w:r>
    </w:p>
    <w:p w14:paraId="550CBA0B" w14:textId="1FFFC901"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5. Le obbligazioni e i titoli di debito, sino all'avvio della gestione dell'infrastruttura da parte del concessionario, ovvero fino alla scadenza delle obbligazioni e dei titoli medesimi, possono essere garantiti secondo modalità disciplinate con decreto del Ministro dell’economia e delle finanze, di concerto con il Ministro delle infrastrutture e dei trasporti, da adottare entro sei mesi dalla data di entrata in vigore del codice. Fino all’entrata in vigore di tale decreto, si applica il decreto </w:t>
      </w:r>
      <w:bookmarkStart w:id="70" w:name="_Hlk127467720"/>
      <w:r w:rsidRPr="004A5029">
        <w:rPr>
          <w:rFonts w:ascii="Times New Roman" w:eastAsia="Calibri" w:hAnsi="Times New Roman" w:cs="Times New Roman"/>
          <w:color w:val="000000" w:themeColor="text1"/>
        </w:rPr>
        <w:t>del Ministro dell'economia e delle finanze</w:t>
      </w:r>
      <w:bookmarkEnd w:id="70"/>
      <w:r w:rsidRPr="004A5029">
        <w:rPr>
          <w:rFonts w:ascii="Times New Roman" w:eastAsia="Calibri" w:hAnsi="Times New Roman" w:cs="Times New Roman"/>
          <w:b/>
          <w:bCs/>
          <w:strike/>
          <w:color w:val="000000" w:themeColor="text1"/>
        </w:rPr>
        <w:t xml:space="preserve">, di concerto con il Ministro delle infrastrutture e dei </w:t>
      </w:r>
      <w:r w:rsidR="00FE1836" w:rsidRPr="004A5029">
        <w:rPr>
          <w:rFonts w:ascii="Times New Roman" w:eastAsia="Calibri" w:hAnsi="Times New Roman" w:cs="Times New Roman"/>
          <w:b/>
          <w:bCs/>
          <w:strike/>
          <w:color w:val="000000" w:themeColor="text1"/>
        </w:rPr>
        <w:t>t</w:t>
      </w:r>
      <w:r w:rsidRPr="004A5029">
        <w:rPr>
          <w:rFonts w:ascii="Times New Roman" w:eastAsia="Calibri" w:hAnsi="Times New Roman" w:cs="Times New Roman"/>
          <w:b/>
          <w:bCs/>
          <w:strike/>
          <w:color w:val="000000" w:themeColor="text1"/>
        </w:rPr>
        <w:t>rasporti</w:t>
      </w:r>
      <w:r w:rsidR="00FE1836"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color w:val="000000" w:themeColor="text1"/>
        </w:rPr>
        <w:t>7 agosto 2012</w:t>
      </w:r>
      <w:r w:rsidR="00FE1836" w:rsidRPr="004A5029">
        <w:rPr>
          <w:rFonts w:ascii="Times New Roman" w:eastAsia="Calibri" w:hAnsi="Times New Roman" w:cs="Times New Roman"/>
          <w:color w:val="000000" w:themeColor="text1"/>
        </w:rPr>
        <w:t>, pubblicato nella Gazzetta Ufficiale della Repubblica italiana n. 210 dell’8 settembre 2012.</w:t>
      </w:r>
    </w:p>
    <w:p w14:paraId="26478C1C" w14:textId="7D20D056"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6. Le disposizioni di cui ai commi 1, 2, 3 e 5 si applicano anche alle società operanti nella gestione dei servizi di cui all'articolo 3-</w:t>
      </w:r>
      <w:r w:rsidRPr="004A5029">
        <w:rPr>
          <w:rFonts w:ascii="Times New Roman" w:eastAsia="Calibri" w:hAnsi="Times New Roman" w:cs="Times New Roman"/>
          <w:i/>
          <w:iCs/>
          <w:color w:val="000000" w:themeColor="text1"/>
        </w:rPr>
        <w:t>bis</w:t>
      </w:r>
      <w:r w:rsidRPr="004A5029">
        <w:rPr>
          <w:rFonts w:ascii="Times New Roman" w:eastAsia="Calibri" w:hAnsi="Times New Roman" w:cs="Times New Roman"/>
          <w:color w:val="000000" w:themeColor="text1"/>
        </w:rPr>
        <w:t xml:space="preserve"> del decreto-legge 13 agosto 2011, n. 138, convertito, con modificazioni, dalla legge 14 settembre 2011, n. 148, alle società titolari delle autorizzazioni alla costruzione di infrastrutture di trasporto di gas e delle concessioni di stoccaggio di cui agli articoli 9 e 11 del decreto legislativo 23 maggio 2000, n. 164, alle società titolari delle autorizzazioni alla costruzione di infrastrutture facenti parte del Piano di sviluppo della rete di trasmissione nazionale dell'energia elettrica, alle società titolari delle autorizzazioni per la realizzazione di reti di comunicazione elettronica di cui al </w:t>
      </w:r>
      <w:r w:rsidR="00BE7C30" w:rsidRPr="004A5029">
        <w:rPr>
          <w:rFonts w:ascii="Times New Roman" w:hAnsi="Times New Roman" w:cs="Times New Roman"/>
          <w:b/>
          <w:bCs/>
          <w:color w:val="000000" w:themeColor="text1"/>
        </w:rPr>
        <w:t>codice delle comunicazioni elettroniche</w:t>
      </w:r>
      <w:r w:rsidR="00422AFC" w:rsidRPr="004A5029">
        <w:rPr>
          <w:rFonts w:ascii="Times New Roman" w:hAnsi="Times New Roman" w:cs="Times New Roman"/>
          <w:b/>
          <w:bCs/>
          <w:color w:val="000000" w:themeColor="text1"/>
        </w:rPr>
        <w:t>,</w:t>
      </w:r>
      <w:r w:rsidR="00BE7C30" w:rsidRPr="004A5029">
        <w:rPr>
          <w:rFonts w:ascii="Times New Roman" w:hAnsi="Times New Roman" w:cs="Times New Roman"/>
          <w:b/>
          <w:bCs/>
          <w:color w:val="000000" w:themeColor="text1"/>
        </w:rPr>
        <w:t xml:space="preserve"> di cui al</w:t>
      </w:r>
      <w:r w:rsidR="00BE7C30" w:rsidRPr="004A5029">
        <w:rPr>
          <w:rFonts w:ascii="Times New Roman" w:hAnsi="Times New Roman" w:cs="Times New Roman"/>
          <w:color w:val="000000" w:themeColor="text1"/>
        </w:rPr>
        <w:t xml:space="preserve"> </w:t>
      </w:r>
      <w:r w:rsidR="00BE7C30"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color w:val="000000" w:themeColor="text1"/>
        </w:rPr>
        <w:t xml:space="preserve">decreto legislativo 1° agosto 2003, n. 259 e alle società titolari delle licenze individuali per l'installazione e la fornitura di reti di telecomunicazioni pubbliche di cui al predetto </w:t>
      </w:r>
      <w:r w:rsidR="00BE7C30" w:rsidRPr="004A5029">
        <w:rPr>
          <w:rFonts w:ascii="Times New Roman" w:hAnsi="Times New Roman" w:cs="Times New Roman"/>
          <w:b/>
          <w:bCs/>
          <w:color w:val="000000" w:themeColor="text1"/>
        </w:rPr>
        <w:t xml:space="preserve">codice </w:t>
      </w:r>
      <w:r w:rsidR="00032C64" w:rsidRPr="004A5029">
        <w:rPr>
          <w:rFonts w:ascii="Times New Roman" w:hAnsi="Times New Roman" w:cs="Times New Roman"/>
          <w:b/>
          <w:bCs/>
          <w:color w:val="000000" w:themeColor="text1"/>
        </w:rPr>
        <w:t>delle comunicazioni elettroniche</w:t>
      </w:r>
      <w:r w:rsidR="00032C64" w:rsidRPr="004A5029">
        <w:rPr>
          <w:rFonts w:ascii="Times New Roman" w:hAnsi="Times New Roman" w:cs="Times New Roman"/>
          <w:color w:val="000000" w:themeColor="text1"/>
        </w:rPr>
        <w:t xml:space="preserve"> </w:t>
      </w:r>
      <w:r w:rsidRPr="004A5029">
        <w:rPr>
          <w:rFonts w:ascii="Times New Roman" w:eastAsia="Calibri" w:hAnsi="Times New Roman" w:cs="Times New Roman"/>
          <w:b/>
          <w:bCs/>
          <w:strike/>
          <w:color w:val="000000" w:themeColor="text1"/>
        </w:rPr>
        <w:t>decreto legislativo n. 259 del 2003</w:t>
      </w:r>
      <w:r w:rsidRPr="004A5029">
        <w:rPr>
          <w:rFonts w:ascii="Times New Roman" w:eastAsia="Calibri" w:hAnsi="Times New Roman" w:cs="Times New Roman"/>
          <w:color w:val="000000" w:themeColor="text1"/>
        </w:rPr>
        <w:t xml:space="preserve">, nonché a quelle titolari delle autorizzazioni di cui all'articolo 46 del decreto-legge 1° ottobre 2007, n. 159, convertito, con modificazioni, dalla legge 29 novembre 2007, n. 222. Per le finalità relative all’applicazione del presente comma il decreto di cui al comma 5 è adottato di concerto con il Ministro delle imprese e del made in Italy. </w:t>
      </w:r>
    </w:p>
    <w:p w14:paraId="06AFF87B"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7. Le garanzie reali, personali e di qualunque altra natura, incluse le cessioni di credito a scopo di garanzia che assistono le obbligazioni e i titoli di debito, possono essere costituite in favore dei sottoscrittori o anche di un loro rappresentante che sarà legittimato a esercitare in nome e per conto dei sottoscrittori tutti i diritti, sostanziali e processuali, relativi alle garanzie medesime.</w:t>
      </w:r>
    </w:p>
    <w:p w14:paraId="326DC100" w14:textId="77777777" w:rsidR="0083753D" w:rsidRPr="004A5029" w:rsidRDefault="0083753D" w:rsidP="0083753D">
      <w:pPr>
        <w:jc w:val="both"/>
        <w:rPr>
          <w:rFonts w:ascii="Times New Roman" w:eastAsia="Calibri" w:hAnsi="Times New Roman" w:cs="Times New Roman"/>
          <w:color w:val="000000" w:themeColor="text1"/>
        </w:rPr>
      </w:pPr>
    </w:p>
    <w:p w14:paraId="0A821549" w14:textId="77777777" w:rsidR="0083753D" w:rsidRPr="004A5029" w:rsidRDefault="0083753D" w:rsidP="0083753D">
      <w:pPr>
        <w:rPr>
          <w:rFonts w:ascii="Times New Roman" w:hAnsi="Times New Roman" w:cs="Times New Roman"/>
          <w:color w:val="000000" w:themeColor="text1"/>
        </w:rPr>
      </w:pPr>
    </w:p>
    <w:p w14:paraId="66FDCF4E" w14:textId="77777777" w:rsidR="0083753D" w:rsidRPr="004A5029" w:rsidRDefault="0083753D" w:rsidP="0083753D">
      <w:pPr>
        <w:jc w:val="both"/>
        <w:rPr>
          <w:rFonts w:ascii="Times New Roman" w:hAnsi="Times New Roman" w:cs="Times New Roman"/>
          <w:color w:val="000000" w:themeColor="text1"/>
        </w:rPr>
        <w:sectPr w:rsidR="0083753D" w:rsidRPr="004A5029" w:rsidSect="002876D9">
          <w:footerReference w:type="default" r:id="rId36"/>
          <w:footnotePr>
            <w:numRestart w:val="eachSect"/>
          </w:footnotePr>
          <w:pgSz w:w="11906" w:h="16838"/>
          <w:pgMar w:top="1134" w:right="1134" w:bottom="1134" w:left="1134" w:header="709" w:footer="709" w:gutter="0"/>
          <w:cols w:space="708"/>
          <w:docGrid w:linePitch="360"/>
        </w:sectPr>
      </w:pPr>
    </w:p>
    <w:p w14:paraId="6FA56C6C"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III</w:t>
      </w:r>
    </w:p>
    <w:p w14:paraId="22D2E303"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DELLA LOCAZIONE FINANZIARIA</w:t>
      </w:r>
    </w:p>
    <w:p w14:paraId="3BEE236D" w14:textId="77777777" w:rsidR="0083753D" w:rsidRPr="004A5029" w:rsidRDefault="0083753D" w:rsidP="0083753D">
      <w:pPr>
        <w:jc w:val="center"/>
        <w:rPr>
          <w:rFonts w:ascii="Times New Roman" w:hAnsi="Times New Roman" w:cs="Times New Roman"/>
          <w:b/>
          <w:bCs/>
          <w:color w:val="000000" w:themeColor="text1"/>
        </w:rPr>
      </w:pPr>
    </w:p>
    <w:p w14:paraId="3F2718C5"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color w:val="000000" w:themeColor="text1"/>
        </w:rPr>
        <w:t>Articolo 196.</w:t>
      </w:r>
    </w:p>
    <w:p w14:paraId="011E75C3"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bCs/>
          <w:i/>
          <w:color w:val="000000" w:themeColor="text1"/>
        </w:rPr>
        <w:t>Definizione e disciplina.</w:t>
      </w:r>
    </w:p>
    <w:p w14:paraId="48FA4965" w14:textId="77777777" w:rsidR="0083753D" w:rsidRPr="004A5029" w:rsidRDefault="0083753D" w:rsidP="0083753D">
      <w:pPr>
        <w:jc w:val="both"/>
        <w:rPr>
          <w:rFonts w:ascii="Times New Roman" w:hAnsi="Times New Roman" w:cs="Times New Roman"/>
          <w:color w:val="000000" w:themeColor="text1"/>
          <w:shd w:val="clear" w:color="auto" w:fill="FFFFFF"/>
        </w:rPr>
      </w:pPr>
      <w:r w:rsidRPr="004A5029">
        <w:rPr>
          <w:rFonts w:ascii="Times New Roman" w:hAnsi="Times New Roman" w:cs="Times New Roman"/>
          <w:color w:val="000000" w:themeColor="text1"/>
        </w:rPr>
        <w:t>1. Per finanziare la realizzazione, l’acquisizione e il completamento di opere pubbliche o di pubblica utilità gli enti concedenti possono stipulare contratti di locazione finanziaria (</w:t>
      </w:r>
      <w:r w:rsidRPr="004A5029">
        <w:rPr>
          <w:rFonts w:ascii="Times New Roman" w:hAnsi="Times New Roman" w:cs="Times New Roman"/>
          <w:i/>
          <w:iCs/>
          <w:color w:val="000000" w:themeColor="text1"/>
        </w:rPr>
        <w:t>leasing)</w:t>
      </w:r>
      <w:r w:rsidRPr="004A5029">
        <w:rPr>
          <w:rFonts w:ascii="Times New Roman" w:hAnsi="Times New Roman" w:cs="Times New Roman"/>
          <w:color w:val="000000" w:themeColor="text1"/>
        </w:rPr>
        <w:t>.</w:t>
      </w:r>
    </w:p>
    <w:p w14:paraId="2863C80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La società di </w:t>
      </w:r>
      <w:r w:rsidRPr="004A5029">
        <w:rPr>
          <w:rFonts w:ascii="Times New Roman" w:hAnsi="Times New Roman" w:cs="Times New Roman"/>
          <w:iCs/>
          <w:color w:val="000000" w:themeColor="text1"/>
        </w:rPr>
        <w:t xml:space="preserve">locazione finanziaria </w:t>
      </w:r>
      <w:r w:rsidRPr="004A5029">
        <w:rPr>
          <w:rFonts w:ascii="Times New Roman" w:hAnsi="Times New Roman" w:cs="Times New Roman"/>
          <w:color w:val="000000" w:themeColor="text1"/>
        </w:rPr>
        <w:t xml:space="preserve">acquista da un operatore economico un bene esistente o da realizzare e lo cede in godimento, per un determinato periodo di tempo, alla pubblica amministrazione a fronte del pagamento di un canone periodico fisso e comprensivo di eventuali servizi accessori. </w:t>
      </w:r>
    </w:p>
    <w:p w14:paraId="28F04DBB"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3. Se lo schema di contratto prevede il trasferimento del rischio operativo, ai sensi dell’articolo 177, si applicano, per quanto non previsto dal presente articolo, le norme sulle concessioni e sugli altri contratti di partenariato pubblico-privato. In caso contrario si applicano le disposizioni in materia di appalto pubblico di lavori.</w:t>
      </w:r>
    </w:p>
    <w:p w14:paraId="54F1C35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Per l’aggiudicazione del contratto di cui al comma 1 l’ente concedente pone a base di gara almeno un progetto di fattibilità, comprensivo del piano finanziario. L’aggiudicatario predispone i successivi livelli progettuali ed esegue l’opera.</w:t>
      </w:r>
    </w:p>
    <w:p w14:paraId="5BBC3D0D"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5. Se l’offerente è un raggruppamento temporaneo di imprese costituito dal soggetto finanziatore e da uno o più soggetti realizzatori, ciascuno è responsabile in relazione alla specifica obbligazione assunta nel contratto. Il soggetto finanziatore può presentare l’offerta anche singolarmente, ricorrendo in tal caso all’avvalimento del soggetto realizzatore. </w:t>
      </w:r>
    </w:p>
    <w:p w14:paraId="6C2E606D" w14:textId="41199848"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Uno o più soggetti costituenti l’associazione temporanea di imprese, in caso di </w:t>
      </w:r>
      <w:r w:rsidR="002C3128" w:rsidRPr="004A5029">
        <w:rPr>
          <w:rFonts w:ascii="Times New Roman" w:hAnsi="Times New Roman" w:cs="Times New Roman"/>
          <w:bCs/>
          <w:color w:val="000000" w:themeColor="text1"/>
        </w:rPr>
        <w:t>apertura della liquidazione giudiziale</w:t>
      </w:r>
      <w:r w:rsidRPr="004A5029">
        <w:rPr>
          <w:rFonts w:ascii="Times New Roman" w:hAnsi="Times New Roman" w:cs="Times New Roman"/>
          <w:color w:val="000000" w:themeColor="text1"/>
        </w:rPr>
        <w:t>, inadempimento o sopravvenienza di qualsiasi causa impeditiva all’adempimento dell’obbligazione, possono essere sostituiti in fase di gara o di esecuzione con altri soggetti aventi medesimi requisiti e caratteristiche. L’ente concedente può negare l’assenso solo nelle ipotesi in cui il soggetto indicato a subentrare non sia in possesso dei necessari requisiti soggettivi e oggettivi.</w:t>
      </w:r>
    </w:p>
    <w:p w14:paraId="491F06E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L’adempimento delle obbligazioni dell’ente concedente resta in ogni caso condizionato all’esito positivo del collaudo, ovvero della verifica di conformità in ordine alla gestione funzionale dell’opera secondo le modalità stabilite. Il soggetto aggiudicatario assicura la corretta manutenzione del bene sino al momento del riscatto.</w:t>
      </w:r>
    </w:p>
    <w:p w14:paraId="27958E7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8. L'opera oggetto di locazione finanziaria segue il regime di opera pubblica ai fini urbanistici, edilizi ed espropriativi a condizione che, nel contratto medesimo, sia stabilito che al termine del periodo di locazione il committente è obbligato al riscatto. L’ente concedente può concedere il diritto di superficie sull’area pubblica dove realizzare l’opera.</w:t>
      </w:r>
    </w:p>
    <w:p w14:paraId="4D5AD7A2" w14:textId="3DD63953"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L’opera può essere realizzata anche su </w:t>
      </w:r>
      <w:r w:rsidR="0018767A" w:rsidRPr="004A5029">
        <w:rPr>
          <w:rFonts w:ascii="Times New Roman" w:hAnsi="Times New Roman" w:cs="Times New Roman"/>
          <w:b/>
          <w:bCs/>
          <w:color w:val="000000" w:themeColor="text1"/>
        </w:rPr>
        <w:t>un’</w:t>
      </w:r>
      <w:r w:rsidRPr="004A5029">
        <w:rPr>
          <w:rFonts w:ascii="Times New Roman" w:hAnsi="Times New Roman" w:cs="Times New Roman"/>
          <w:color w:val="000000" w:themeColor="text1"/>
        </w:rPr>
        <w:t>area nella disponibilità dell'aggiudicatario. Si applica, anche in tal caso, il primo periodo del comma 8.</w:t>
      </w:r>
    </w:p>
    <w:p w14:paraId="4BEBFA6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Il contratto prevede la facoltà di riscatto anticipato.</w:t>
      </w:r>
    </w:p>
    <w:p w14:paraId="0CCC0888" w14:textId="77777777" w:rsidR="0083753D" w:rsidRPr="004A5029" w:rsidRDefault="0083753D" w:rsidP="0083753D">
      <w:pPr>
        <w:jc w:val="both"/>
        <w:rPr>
          <w:rFonts w:ascii="Times New Roman" w:hAnsi="Times New Roman" w:cs="Times New Roman"/>
          <w:color w:val="000000" w:themeColor="text1"/>
        </w:rPr>
      </w:pPr>
    </w:p>
    <w:p w14:paraId="4A990D24" w14:textId="77777777" w:rsidR="0083753D" w:rsidRPr="004A5029" w:rsidRDefault="0083753D" w:rsidP="0083753D">
      <w:pPr>
        <w:rPr>
          <w:rFonts w:ascii="Times New Roman" w:hAnsi="Times New Roman" w:cs="Times New Roman"/>
          <w:b/>
          <w:bCs/>
          <w:color w:val="000000" w:themeColor="text1"/>
        </w:rPr>
      </w:pPr>
      <w:r w:rsidRPr="004A5029">
        <w:rPr>
          <w:rFonts w:ascii="Times New Roman" w:hAnsi="Times New Roman" w:cs="Times New Roman"/>
          <w:b/>
          <w:bCs/>
          <w:color w:val="000000" w:themeColor="text1"/>
        </w:rPr>
        <w:br w:type="page"/>
      </w:r>
    </w:p>
    <w:p w14:paraId="5D2869CB"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 xml:space="preserve">PARTE IV </w:t>
      </w:r>
    </w:p>
    <w:p w14:paraId="1B30DB3F"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DEL CONTRATTO DI DISPONIBILITÀ</w:t>
      </w:r>
    </w:p>
    <w:p w14:paraId="603CC4DB" w14:textId="77777777" w:rsidR="0083753D" w:rsidRPr="004A5029" w:rsidRDefault="0083753D" w:rsidP="0083753D">
      <w:pPr>
        <w:jc w:val="both"/>
        <w:rPr>
          <w:rFonts w:ascii="Times New Roman" w:hAnsi="Times New Roman" w:cs="Times New Roman"/>
          <w:color w:val="000000" w:themeColor="text1"/>
        </w:rPr>
      </w:pPr>
    </w:p>
    <w:p w14:paraId="5E17C334" w14:textId="77777777" w:rsidR="0083753D" w:rsidRPr="004A5029" w:rsidRDefault="0083753D" w:rsidP="0083753D">
      <w:pPr>
        <w:jc w:val="both"/>
        <w:rPr>
          <w:rFonts w:ascii="Times New Roman" w:hAnsi="Times New Roman" w:cs="Times New Roman"/>
          <w:b/>
          <w:bCs/>
          <w:color w:val="000000" w:themeColor="text1"/>
        </w:rPr>
      </w:pPr>
      <w:r w:rsidRPr="004A5029">
        <w:rPr>
          <w:rFonts w:ascii="Times New Roman" w:hAnsi="Times New Roman" w:cs="Times New Roman"/>
          <w:b/>
          <w:color w:val="000000" w:themeColor="text1"/>
        </w:rPr>
        <w:t>Articolo 197</w:t>
      </w:r>
      <w:r w:rsidRPr="004A5029">
        <w:rPr>
          <w:rFonts w:ascii="Times New Roman" w:hAnsi="Times New Roman" w:cs="Times New Roman"/>
          <w:b/>
          <w:bCs/>
          <w:color w:val="000000" w:themeColor="text1"/>
        </w:rPr>
        <w:t>.</w:t>
      </w:r>
    </w:p>
    <w:p w14:paraId="138002B6"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bCs/>
          <w:i/>
          <w:color w:val="000000" w:themeColor="text1"/>
        </w:rPr>
        <w:t>Definizione e disciplina.</w:t>
      </w:r>
    </w:p>
    <w:p w14:paraId="40A633F9"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 parti determinano il contenuto del contratto di disponibilità nei limiti imposti dalle disposizioni di cui al presente articolo, tenendo conto dei bandi-tipo e dei contratti-tipo redatti dall’Autorità di regolazione del settore.</w:t>
      </w:r>
    </w:p>
    <w:p w14:paraId="52D842DD" w14:textId="77777777" w:rsidR="0083753D" w:rsidRPr="004A5029" w:rsidRDefault="0083753D" w:rsidP="0083753D">
      <w:pPr>
        <w:jc w:val="both"/>
        <w:rPr>
          <w:rFonts w:ascii="Times New Roman" w:hAnsi="Times New Roman" w:cs="Times New Roman"/>
          <w:bCs/>
          <w:strike/>
          <w:color w:val="000000" w:themeColor="text1"/>
        </w:rPr>
      </w:pPr>
      <w:r w:rsidRPr="004A5029">
        <w:rPr>
          <w:rFonts w:ascii="Times New Roman" w:hAnsi="Times New Roman" w:cs="Times New Roman"/>
          <w:bCs/>
          <w:color w:val="000000" w:themeColor="text1"/>
        </w:rPr>
        <w:t>2. Il corrispettivo del contratto di disponibilità si compone di un canone di disponibilità, commisurato all’effettivo periodo per il quale l’operatore economico ha garantito il godimento dell’opera, sempre che il mancato o ridotto godimento non rientri nel rischio a carico dell’ente concedente ai sensi del comma 4.</w:t>
      </w:r>
    </w:p>
    <w:p w14:paraId="69D2879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Quando è convenuto il trasferimento della proprietà dell'opera all’ente concedente il corrispettivo si compone anche:</w:t>
      </w:r>
    </w:p>
    <w:p w14:paraId="725CE33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di un eventuale contributo in corso d'opera, non superiore al 50 per cento del costo di costruzione dell'opera;</w:t>
      </w:r>
    </w:p>
    <w:p w14:paraId="06E1050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di un prezzo di trasferimento, da pagare al termine del contratto, determinato in relazione al valore di mercato residuo dell'opera e tenendo conto dell’importo già versato a titolo di canone di disponibilità e di eventuale contributo in corso d'opera.</w:t>
      </w:r>
    </w:p>
    <w:p w14:paraId="7400C9D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Se non è diversamente convenuto tra le parti e salvo quanto disposto dal comma 5, il rischio del mancato o ritardato rilascio di autorizzazioni oppure di ogni altro atto amministrativo incidente sul compimento o sulla gestione tecnica dell’opera è a carico dell’ente concedente.</w:t>
      </w:r>
    </w:p>
    <w:p w14:paraId="4884F2A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Il rischio del mancato o ritardato rilascio di atti di approvazione o di assenso, da parte di autorità diverse dall’ente concedente, attinenti alla progettazione e alle eventuali varianti in corso d’opera è a carico dell'operatore economico.</w:t>
      </w:r>
    </w:p>
    <w:p w14:paraId="5858564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Le varianti in corso d'opera sono comunicate dall’operatore economico all’ente concedente al fine di consentire a quest’ultimo di opporsi quando alterino le caratteristiche specifiche dell’opera indicate nel capitolato prestazionale.</w:t>
      </w:r>
    </w:p>
    <w:p w14:paraId="7811EAF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Il contratto determina i modi di attribuzione alle parti degli eventuali oneri sopravvenuti, incidenti sul corrispettivo pattuito per il compimento e la gestione dell’opera, derivanti da disposizioni normative o da provvedimenti dell’autorità.</w:t>
      </w:r>
    </w:p>
    <w:p w14:paraId="72305CB0" w14:textId="79C02718"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8. L’ente concedente può attribuire all'operatore economico la qualità di autorità espropriante, come definita all’articolo 3 del </w:t>
      </w:r>
      <w:r w:rsidR="00471D28" w:rsidRPr="004A5029">
        <w:rPr>
          <w:rFonts w:ascii="Times New Roman" w:hAnsi="Times New Roman" w:cs="Times New Roman"/>
          <w:b/>
          <w:bCs/>
          <w:color w:val="000000" w:themeColor="text1"/>
        </w:rPr>
        <w:t>testo unico delle disposizioni legislative e regolamentari in materia di espropriazione per pubblica utilità</w:t>
      </w:r>
      <w:r w:rsidR="001006C5" w:rsidRPr="004A5029">
        <w:rPr>
          <w:rFonts w:ascii="Times New Roman" w:hAnsi="Times New Roman" w:cs="Times New Roman"/>
          <w:b/>
          <w:bCs/>
          <w:color w:val="000000" w:themeColor="text1"/>
        </w:rPr>
        <w:t>,</w:t>
      </w:r>
      <w:r w:rsidR="00471D28" w:rsidRPr="004A5029">
        <w:rPr>
          <w:rFonts w:ascii="Times New Roman" w:hAnsi="Times New Roman" w:cs="Times New Roman"/>
          <w:b/>
          <w:bCs/>
          <w:color w:val="000000" w:themeColor="text1"/>
        </w:rPr>
        <w:t xml:space="preserve"> di cui al</w:t>
      </w:r>
      <w:r w:rsidR="00471D28"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decreto del Presidente della Repubblica 8 giugno 2001, n. 327, con il potere di espropriare e di curare il relativo procedimento.</w:t>
      </w:r>
    </w:p>
    <w:p w14:paraId="69A67FD3" w14:textId="0B872E58"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9. L’ente concedente redige, unitamente al bando o all’avviso, avvalendosi anche dei bandi-tipo e dei contratti-tipo </w:t>
      </w:r>
      <w:r w:rsidRPr="004A5029">
        <w:rPr>
          <w:rFonts w:ascii="Times New Roman" w:hAnsi="Times New Roman" w:cs="Times New Roman"/>
          <w:b/>
          <w:bCs/>
          <w:strike/>
          <w:color w:val="000000" w:themeColor="text1"/>
        </w:rPr>
        <w:t>di</w:t>
      </w:r>
      <w:r w:rsidRPr="004A5029">
        <w:rPr>
          <w:rFonts w:ascii="Times New Roman" w:hAnsi="Times New Roman" w:cs="Times New Roman"/>
          <w:b/>
          <w:bCs/>
          <w:color w:val="000000" w:themeColor="text1"/>
        </w:rPr>
        <w:t xml:space="preserve"> </w:t>
      </w:r>
      <w:r w:rsidR="000A771E" w:rsidRPr="004A5029">
        <w:rPr>
          <w:rFonts w:ascii="Times New Roman" w:hAnsi="Times New Roman" w:cs="Times New Roman"/>
          <w:b/>
          <w:bCs/>
          <w:color w:val="000000" w:themeColor="text1"/>
        </w:rPr>
        <w:t>dell’</w:t>
      </w:r>
      <w:r w:rsidRPr="004A5029">
        <w:rPr>
          <w:rFonts w:ascii="Times New Roman" w:hAnsi="Times New Roman" w:cs="Times New Roman"/>
          <w:color w:val="000000" w:themeColor="text1"/>
        </w:rPr>
        <w:t>ANAC, un capitolato che indica le caratteristiche specifiche dell’opera, i criteri di determinazione e di riduzione del corrispettivo</w:t>
      </w:r>
      <w:r w:rsidRPr="004A5029">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w:t>
      </w:r>
      <w:r w:rsidR="0018767A" w:rsidRPr="004A5029">
        <w:rPr>
          <w:rFonts w:ascii="Times New Roman" w:hAnsi="Times New Roman" w:cs="Times New Roman"/>
          <w:b/>
          <w:bCs/>
          <w:color w:val="000000" w:themeColor="text1"/>
        </w:rPr>
        <w:t>e</w:t>
      </w:r>
      <w:r w:rsidR="0018767A"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i modi di prestazione di garanzie e cauzioni, anche funzionali ad assicurare l’esatto adempimento delle obbligazioni contrattuali. </w:t>
      </w:r>
    </w:p>
    <w:p w14:paraId="0B3A6F4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10. Il bando indica i criteri, secondo l'ordine di importanza loro attribuita, in base ai quali si procede alla valutazione comparativa tra le diverse offerte.</w:t>
      </w:r>
    </w:p>
    <w:p w14:paraId="506AC1F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11. Il contratto di disponibilità può essere sottoscritto solo dall’operatore economico in possesso dei requisiti generali di qualificazione e di partecipazione alle procedure di affidamento.</w:t>
      </w:r>
    </w:p>
    <w:p w14:paraId="2403B37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12. L’ente concedente, nei modi previsti dal contratto, ha il diritto di controllare lo svolgimento dei lavori e di verificare prima della consegna l’opera compiuta, eventualmente proponendo le necessarie modificazioni e varianti, sempre che queste non alterino caratteristiche specifiche dell’opera indicate nel capitolato prestazionale.</w:t>
      </w:r>
    </w:p>
    <w:p w14:paraId="6EC990DF"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13. Il contratto determina i casi e i modi di modificazione del contratto, anche attraverso la riduzione del canone di disponibilità, idonei a ricondurlo a equità, anche tenendo conto della esigenza di tutelare i creditori indicati all’articolo 199.</w:t>
      </w:r>
    </w:p>
    <w:p w14:paraId="5BAD3425" w14:textId="77777777" w:rsidR="0083753D" w:rsidRPr="004A5029" w:rsidRDefault="0083753D" w:rsidP="0083753D">
      <w:pPr>
        <w:jc w:val="both"/>
        <w:rPr>
          <w:rFonts w:ascii="Times New Roman" w:hAnsi="Times New Roman" w:cs="Times New Roman"/>
          <w:color w:val="000000" w:themeColor="text1"/>
        </w:rPr>
      </w:pPr>
    </w:p>
    <w:p w14:paraId="0C7D08AC" w14:textId="77777777" w:rsidR="0083753D" w:rsidRPr="004A5029" w:rsidRDefault="0083753D" w:rsidP="0083753D">
      <w:pPr>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600F2C1F"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V</w:t>
      </w:r>
    </w:p>
    <w:p w14:paraId="429ECF00"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ALTRE DISPOSIZIONI IN MATERIA DI PARTENARIATO PUBBLICO-PRIVATO</w:t>
      </w:r>
    </w:p>
    <w:p w14:paraId="37A31054" w14:textId="77777777" w:rsidR="0083753D" w:rsidRPr="004A5029" w:rsidRDefault="0083753D" w:rsidP="0083753D">
      <w:pPr>
        <w:rPr>
          <w:rFonts w:ascii="Times New Roman" w:hAnsi="Times New Roman" w:cs="Times New Roman"/>
          <w:color w:val="000000" w:themeColor="text1"/>
        </w:rPr>
      </w:pPr>
    </w:p>
    <w:p w14:paraId="0C960AC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
          <w:bCs/>
          <w:color w:val="000000" w:themeColor="text1"/>
        </w:rPr>
        <w:t>Articolo 198</w:t>
      </w:r>
      <w:r w:rsidRPr="004A5029">
        <w:rPr>
          <w:rFonts w:ascii="Times New Roman" w:hAnsi="Times New Roman" w:cs="Times New Roman"/>
          <w:color w:val="000000" w:themeColor="text1"/>
        </w:rPr>
        <w:t>.</w:t>
      </w:r>
    </w:p>
    <w:p w14:paraId="4C63319E" w14:textId="77777777" w:rsidR="0083753D" w:rsidRPr="004A5029" w:rsidRDefault="0083753D" w:rsidP="0083753D">
      <w:pP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Altre disposizioni in materia di gara.</w:t>
      </w:r>
    </w:p>
    <w:p w14:paraId="78BC0B6F"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 Le proposte di cui all’articolo 193, comma 1, primo periodo, possono riguardare, in alternativa alla concessione, tutti i contratti di partenariato pubblico privato.</w:t>
      </w:r>
    </w:p>
    <w:p w14:paraId="12CF686E" w14:textId="3A799BAB"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2. Gli operatori economici aggiudicatari di contratti di partenariato pubblico-privato possono sempre avvalersi, anche al di fuori della finanza di progetto, della facoltà di costituire una società di scopo ai sensi degli articoli 194 e 195.</w:t>
      </w:r>
    </w:p>
    <w:p w14:paraId="75F7DFB1" w14:textId="6655C0F1" w:rsidR="0083753D" w:rsidRPr="004A5029" w:rsidRDefault="0083753D"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Gli investitori istituzionali di cui all’articolo 193, comma </w:t>
      </w:r>
      <w:r w:rsidR="0FE19383" w:rsidRPr="004A5029">
        <w:rPr>
          <w:rFonts w:ascii="Times New Roman" w:hAnsi="Times New Roman" w:cs="Times New Roman"/>
          <w:color w:val="000000" w:themeColor="text1"/>
        </w:rPr>
        <w:t>1</w:t>
      </w:r>
      <w:r w:rsidRPr="004A5029">
        <w:rPr>
          <w:rFonts w:ascii="Times New Roman" w:hAnsi="Times New Roman" w:cs="Times New Roman"/>
          <w:color w:val="000000" w:themeColor="text1"/>
        </w:rPr>
        <w:t>, quarto periodo, anche al di fuori della finanza di progetto, possono partecipare alla gara, associandosi o consorziandosi con operatori economici in possesso dei requisiti per l’esecuzione dei lavori o dei servizi, qualora gli stessi ne siano privi. Gli investitori istituzionali possono soddisfare la richiesta dei requisiti di carattere economico, finanziario, tecnico e professionale avvalendosi, anche integralmente, delle capacità di altri soggetti. Gli investitori istituzionali possono altresì subappaltare, anche interamente, le prestazioni oggetto del contratto di concessione a imprese in possesso dei requisiti richiesti dal bando, a condizione che il nominativo del subappaltatore venga comunicato, con il suo consenso, all’ente concedente entro la scadenza del termine per la presentazione dell’offerta.</w:t>
      </w:r>
    </w:p>
    <w:p w14:paraId="7DC8C081" w14:textId="77777777" w:rsidR="0083753D" w:rsidRPr="004A5029" w:rsidRDefault="0083753D" w:rsidP="0083753D">
      <w:pPr>
        <w:jc w:val="both"/>
        <w:rPr>
          <w:rFonts w:ascii="Times New Roman" w:hAnsi="Times New Roman" w:cs="Times New Roman"/>
          <w:color w:val="000000" w:themeColor="text1"/>
        </w:rPr>
      </w:pPr>
    </w:p>
    <w:p w14:paraId="0BF28A2D"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199.</w:t>
      </w:r>
    </w:p>
    <w:p w14:paraId="1D046C6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Privilegio sui crediti e ulteriori garanzie.</w:t>
      </w:r>
    </w:p>
    <w:p w14:paraId="3B4A6A9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1. I crediti dei soggetti che finanziano o rifinanziano, in qualunque forma, la realizzazione di lavori pubblici, di opere di interesse pubblico o la gestione di pubblici servizi hanno privilegio generale, ai sensi degli articoli 2745 e seguenti del codice civile, sui beni mobili, ivi inclusi i crediti, del concessionario, delle società di scopo, delle società affidatarie, a qualunque titolo, di contratti di partenariato pubblico-privato, oppure di contraenti generali.</w:t>
      </w:r>
    </w:p>
    <w:p w14:paraId="6905762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Il privilegio, a pena di nullità del contratto di finanziamento, deve risultare da atto scritto. Nell'atto sono esattamente descritti i finanziatori originari dei crediti, il debitore, l'ammontare in linea capitale del finanziamento o della linea di credito, nonché gli elementi che costituiscono il finanziamento.</w:t>
      </w:r>
    </w:p>
    <w:p w14:paraId="35696341" w14:textId="5C098F7A"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L'opponibilità ai terzi del privilegio sui beni è subordinata alla trascrizione, nel registro indicato dall'articolo 1524, secondo comma, del codice civile, dell'atto dal quale il privilegio risulta. Della costituzione del privilegio è dato avviso mediante pubblicazione nella Gazzetta </w:t>
      </w:r>
      <w:r w:rsidR="0018767A" w:rsidRPr="004A5029">
        <w:rPr>
          <w:rFonts w:ascii="Times New Roman" w:hAnsi="Times New Roman" w:cs="Times New Roman"/>
          <w:b/>
          <w:bCs/>
          <w:strike/>
          <w:color w:val="000000" w:themeColor="text1"/>
        </w:rPr>
        <w:t>u</w:t>
      </w:r>
      <w:r w:rsidR="008E3EC3" w:rsidRPr="004A5029">
        <w:rPr>
          <w:rFonts w:ascii="Times New Roman" w:hAnsi="Times New Roman" w:cs="Times New Roman"/>
          <w:b/>
          <w:bCs/>
          <w:color w:val="000000" w:themeColor="text1"/>
        </w:rPr>
        <w:t>U</w:t>
      </w:r>
      <w:r w:rsidRPr="004A5029">
        <w:rPr>
          <w:rFonts w:ascii="Times New Roman" w:hAnsi="Times New Roman" w:cs="Times New Roman"/>
          <w:color w:val="000000" w:themeColor="text1"/>
        </w:rPr>
        <w:t>fficiale della Repubblica italiana. Dall'avviso devono risultare gli estremi della avvenuta trascrizione. La trascrizione e la pubblicazione sono effettuate presso i competenti uffici del luogo ove ha sede l'impresa finanziata.</w:t>
      </w:r>
    </w:p>
    <w:p w14:paraId="39A4BE3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Fermo restando quanto previsto dall'articolo 1153 del codice civile, il privilegio può essere esercitato anche nei confronti dei terzi che abbiano acquistato diritti sui beni che sono oggetto dello stesso dopo la trascrizione prevista dal comma 3 del presente articolo. Nell'ipotesi in cui non sia possibile far valere il privilegio nei confronti del terzo acquirente, il privilegio si trasferisce sul corrispettivo.</w:t>
      </w:r>
    </w:p>
    <w:p w14:paraId="003D3510" w14:textId="02D7C4E2"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Al fine di agevolare la bancabilità delle iniziative, tutti i crediti della società di scopo, presenti e futuri, ivi inclusi quelli verso il soggetto aggiudicatore e altre pubbliche amministrazioni, possono essere costituiti in pegno o ceduti in garanzia dalla società a banche o altri soggetti finanziatori, senza necessità di consenso del debitore ceduto, anche quando non siano ancora liquidi ed esigibili.</w:t>
      </w:r>
    </w:p>
    <w:p w14:paraId="03E22D06" w14:textId="79B98541"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6. I beni sui quali la società di scopo è titolare di diritti reali possono essere ipotecati o dati in pegno solo a garanzia di prestiti contratti per finanziare o rifinanziare gli </w:t>
      </w:r>
      <w:r w:rsidRPr="00BD54D8">
        <w:rPr>
          <w:rFonts w:ascii="Times New Roman" w:hAnsi="Times New Roman" w:cs="Times New Roman"/>
          <w:color w:val="000000" w:themeColor="text1"/>
        </w:rPr>
        <w:t>investimenti e</w:t>
      </w:r>
      <w:r w:rsidR="006E3D97" w:rsidRPr="00BD54D8">
        <w:rPr>
          <w:rFonts w:ascii="Times New Roman" w:hAnsi="Times New Roman" w:cs="Times New Roman"/>
          <w:color w:val="000000" w:themeColor="text1"/>
        </w:rPr>
        <w:t xml:space="preserve"> </w:t>
      </w:r>
      <w:r w:rsidRPr="00BD54D8">
        <w:rPr>
          <w:rFonts w:ascii="Times New Roman" w:hAnsi="Times New Roman" w:cs="Times New Roman"/>
          <w:b/>
          <w:bCs/>
          <w:strike/>
          <w:color w:val="000000" w:themeColor="text1"/>
        </w:rPr>
        <w:t>/o</w:t>
      </w:r>
      <w:r w:rsidRPr="00BD54D8">
        <w:rPr>
          <w:rFonts w:ascii="Times New Roman" w:hAnsi="Times New Roman" w:cs="Times New Roman"/>
          <w:color w:val="000000" w:themeColor="text1"/>
        </w:rPr>
        <w:t xml:space="preserve"> i fabbisogni previsti</w:t>
      </w:r>
      <w:r w:rsidRPr="004A5029">
        <w:rPr>
          <w:rFonts w:ascii="Times New Roman" w:hAnsi="Times New Roman" w:cs="Times New Roman"/>
          <w:color w:val="000000" w:themeColor="text1"/>
        </w:rPr>
        <w:t xml:space="preserve"> dal contratto di partenariato pubblico-privato.</w:t>
      </w:r>
    </w:p>
    <w:p w14:paraId="0477E574" w14:textId="77777777" w:rsidR="0083753D" w:rsidRPr="004A5029" w:rsidRDefault="0083753D" w:rsidP="0083753D">
      <w:pPr>
        <w:jc w:val="both"/>
        <w:rPr>
          <w:rFonts w:ascii="Times New Roman" w:hAnsi="Times New Roman" w:cs="Times New Roman"/>
          <w:color w:val="000000" w:themeColor="text1"/>
        </w:rPr>
      </w:pPr>
    </w:p>
    <w:p w14:paraId="00E704D9"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200.</w:t>
      </w:r>
    </w:p>
    <w:p w14:paraId="226B9DD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 xml:space="preserve">Contratti di rendimento energetico o di prestazione energetica. </w:t>
      </w:r>
    </w:p>
    <w:p w14:paraId="48636832" w14:textId="6E8D9F1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Nel caso di contratti di rendimento energetico o di prestazione energetica (EPC), i ricavi di gestione dell'operatore economico </w:t>
      </w:r>
      <w:r w:rsidR="0028540F" w:rsidRPr="004A5029">
        <w:rPr>
          <w:rFonts w:ascii="Times New Roman" w:hAnsi="Times New Roman" w:cs="Times New Roman"/>
          <w:color w:val="000000" w:themeColor="text1"/>
        </w:rPr>
        <w:t xml:space="preserve">sono </w:t>
      </w:r>
      <w:r w:rsidRPr="004A5029">
        <w:rPr>
          <w:rFonts w:ascii="Times New Roman" w:hAnsi="Times New Roman" w:cs="Times New Roman"/>
          <w:color w:val="000000" w:themeColor="text1"/>
        </w:rPr>
        <w:t>determinati e pagati in funzione del livello di miglioramento dell'efficienza energetica o di altri criteri di prestazione energetica stabiliti contrattualmente, purché quantificabili in relazione ai consumi. La misura di miglioramento dell'efficienza energetica, calcolata secondo le norme in materia di attestazione della prestazione energetica degli immobili e delle altre infrastrutture energivore, è resa disponibile all'ente concedente a cura dell'operatore economico e deve essere verificata e monitorata durante l'intera durata del contratto, anche avvalendosi di apposite piattaforme informatiche adibite per la raccolta, l'organizzazione, la gestione, l'elaborazione, la valutazione e il monitoraggio dei consumi energetici.</w:t>
      </w:r>
    </w:p>
    <w:p w14:paraId="3FD9042A" w14:textId="77777777" w:rsidR="0083753D" w:rsidRPr="004A5029" w:rsidRDefault="0083753D" w:rsidP="0083753D">
      <w:pPr>
        <w:rPr>
          <w:rFonts w:ascii="Times New Roman" w:hAnsi="Times New Roman" w:cs="Times New Roman"/>
          <w:color w:val="000000" w:themeColor="text1"/>
        </w:rPr>
      </w:pPr>
    </w:p>
    <w:p w14:paraId="54B1718D"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201.</w:t>
      </w:r>
    </w:p>
    <w:p w14:paraId="4B1F5E5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Partenariato sociale.</w:t>
      </w:r>
    </w:p>
    <w:p w14:paraId="5286D8BB" w14:textId="12FF0D7F" w:rsidR="0083753D" w:rsidRPr="004A5029" w:rsidRDefault="0083753D" w:rsidP="6E003A1F">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Gli enti concedenti stabiliscono, con atto generale e tenuto conto dei bandi-tipo e </w:t>
      </w:r>
      <w:r w:rsidRPr="004A5029">
        <w:rPr>
          <w:rFonts w:ascii="Times New Roman" w:eastAsia="Times New Roman" w:hAnsi="Times New Roman" w:cs="Times New Roman"/>
          <w:color w:val="000000" w:themeColor="text1"/>
        </w:rPr>
        <w:t xml:space="preserve">dei </w:t>
      </w:r>
      <w:r w:rsidR="6F34061B" w:rsidRPr="004A5029">
        <w:rPr>
          <w:rFonts w:ascii="Times New Roman" w:eastAsia="Times New Roman" w:hAnsi="Times New Roman" w:cs="Times New Roman"/>
          <w:color w:val="000000" w:themeColor="text1"/>
        </w:rPr>
        <w:t>contratti-tipo</w:t>
      </w:r>
      <w:r w:rsidRPr="004A5029">
        <w:rPr>
          <w:rFonts w:ascii="Times New Roman" w:eastAsia="Times New Roman" w:hAnsi="Times New Roman" w:cs="Times New Roman"/>
          <w:color w:val="000000" w:themeColor="text1"/>
        </w:rPr>
        <w:t xml:space="preserve"> predisposti dall’Autorità di regolazione del settore, i criteri e le condizioni, per la conclusione di contratti di partenariato sociale aventi ad oggetto una o più delle presta</w:t>
      </w:r>
      <w:r w:rsidRPr="004A5029">
        <w:rPr>
          <w:rFonts w:ascii="Times New Roman" w:hAnsi="Times New Roman" w:cs="Times New Roman"/>
          <w:color w:val="000000" w:themeColor="text1"/>
        </w:rPr>
        <w:t>zioni seguenti:</w:t>
      </w:r>
    </w:p>
    <w:p w14:paraId="0399FB9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gestione e manutenzione di aree riservate al verde pubblico urbano e di immobili di origine rurale destinati ad attività sociali e culturali, ceduti al Comune in esecuzione di convenzioni e di strumenti urbanistici attuativi; sussiste, per la conclusione di tale contratto, il diritto di prelazione dei cittadini, aventi residenza o domicilio nei comprensori ove insistono i beni e le aree, costituenti un consorzio del comprensorio che raggiunga almeno i due terzi della proprietà della lottizzazione; i cittadini costituiti in consorzio possono beneficiare, altresì, di incentivi fiscali;</w:t>
      </w:r>
    </w:p>
    <w:p w14:paraId="24D74E4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gestione, manutenzione e valorizzazione di piazze e strade o interventi di decoro urbano e di recupero di aree e beni immobili inutilizzati, per destinarli a fini di interesse generale, sulla base di progetti presentati da cittadini, singoli o associati che, all’uopo, beneficiano di incentivi fiscali direttamente attinenti alla attività svolta dal singolo o dalla associazione, o comunque utile alla comunità territoriale di riferimento;</w:t>
      </w:r>
    </w:p>
    <w:p w14:paraId="3F91E70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compimento di opere di interesse locale, da acquisire al patrimonio indisponibile dell’ente concedente, sulla base di progetti presentati da cittadini, singoli o associati, e a spese di questi ultimi; l’esecuzione delle opere è esente da oneri fiscali e amministrativi, salva l'imposta sul valore aggiunto. </w:t>
      </w:r>
    </w:p>
    <w:p w14:paraId="2183A167"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Le parti determinano il contenuto dei contratti di partenariato sociale nei limiti imposti dalle disposizioni seguenti, tenendo conto dei bandi-tipo e dei contratti-tipo redatti dall’ANAC.</w:t>
      </w:r>
    </w:p>
    <w:p w14:paraId="623ED811" w14:textId="14BE6C0F"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3. Possono concludere i contratti di partenariato sociale microimprese, piccole e medie imprese, come definite </w:t>
      </w:r>
      <w:r w:rsidR="00FE1836" w:rsidRPr="004A5029">
        <w:rPr>
          <w:rFonts w:ascii="Times New Roman" w:hAnsi="Times New Roman" w:cs="Times New Roman"/>
          <w:bCs/>
          <w:color w:val="000000" w:themeColor="text1"/>
        </w:rPr>
        <w:t>da</w:t>
      </w:r>
      <w:r w:rsidRPr="004A5029">
        <w:rPr>
          <w:rFonts w:ascii="Times New Roman" w:hAnsi="Times New Roman" w:cs="Times New Roman"/>
          <w:bCs/>
          <w:color w:val="000000" w:themeColor="text1"/>
        </w:rPr>
        <w:t>ll’articolo 1, comma 1, lettera o) dell’allegato I.1.</w:t>
      </w:r>
    </w:p>
    <w:p w14:paraId="64075ED2" w14:textId="6EE563A2"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4. Con l’atto generale indicato nel comma 1 sono determinati i modi di esercizio del diritto di prelazione dei cittadini costituiti in consorzi e la natura e la misura degli incentivi fiscali previsti per la conclusione dei contratti di partenariato sociale, nei limiti di quanto previsto con rinvio a leggi speciali dal </w:t>
      </w:r>
      <w:r w:rsidR="00BE7C30" w:rsidRPr="004A5029">
        <w:rPr>
          <w:rFonts w:ascii="Times New Roman" w:hAnsi="Times New Roman" w:cs="Times New Roman"/>
          <w:b/>
          <w:bCs/>
          <w:color w:val="000000" w:themeColor="text1"/>
        </w:rPr>
        <w:t>codice dei contratti pubblici</w:t>
      </w:r>
      <w:r w:rsidR="00422AFC" w:rsidRPr="004A5029">
        <w:rPr>
          <w:rFonts w:ascii="Times New Roman" w:hAnsi="Times New Roman" w:cs="Times New Roman"/>
          <w:b/>
          <w:bCs/>
          <w:color w:val="000000" w:themeColor="text1"/>
        </w:rPr>
        <w:t>,</w:t>
      </w:r>
      <w:r w:rsidR="00BE7C30" w:rsidRPr="004A5029">
        <w:rPr>
          <w:rFonts w:ascii="Times New Roman" w:hAnsi="Times New Roman" w:cs="Times New Roman"/>
          <w:b/>
          <w:bCs/>
          <w:color w:val="000000" w:themeColor="text1"/>
        </w:rPr>
        <w:t xml:space="preserve"> di cui al</w:t>
      </w:r>
      <w:r w:rsidR="00BE7C30"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decreto legislativo 18 aprile 2016, n. 50.</w:t>
      </w:r>
    </w:p>
    <w:p w14:paraId="052D4810" w14:textId="77777777" w:rsidR="0083753D" w:rsidRPr="004A5029" w:rsidRDefault="0083753D" w:rsidP="0083753D">
      <w:pPr>
        <w:jc w:val="both"/>
        <w:rPr>
          <w:rFonts w:ascii="Times New Roman" w:hAnsi="Times New Roman" w:cs="Times New Roman"/>
          <w:color w:val="000000" w:themeColor="text1"/>
        </w:rPr>
      </w:pPr>
    </w:p>
    <w:p w14:paraId="78E03F3E"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202.</w:t>
      </w:r>
    </w:p>
    <w:p w14:paraId="29E08D4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Cessione di immobili in cambio di opere.</w:t>
      </w:r>
    </w:p>
    <w:p w14:paraId="6A528A4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Il bando di gara, </w:t>
      </w:r>
      <w:r w:rsidRPr="004A5029">
        <w:rPr>
          <w:rFonts w:ascii="Times New Roman" w:hAnsi="Times New Roman" w:cs="Times New Roman"/>
          <w:bCs/>
          <w:color w:val="000000" w:themeColor="text1"/>
        </w:rPr>
        <w:t>redatto anche tenendo conto dei bandi-tipo e dei contratti-tipo predisposti dall’ANAC</w:t>
      </w:r>
      <w:r w:rsidRPr="004A5029">
        <w:rPr>
          <w:rFonts w:ascii="Times New Roman" w:hAnsi="Times New Roman" w:cs="Times New Roman"/>
          <w:color w:val="000000" w:themeColor="text1"/>
        </w:rPr>
        <w:t>, può prevedere:</w:t>
      </w:r>
    </w:p>
    <w:p w14:paraId="1795C33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 titolo di corrispettivo, totale o parziale e sulla base del loro valore di mercato, il trasferimento </w:t>
      </w:r>
      <w:r w:rsidRPr="004A5029">
        <w:rPr>
          <w:rFonts w:ascii="Times New Roman" w:hAnsi="Times New Roman" w:cs="Times New Roman"/>
          <w:bCs/>
          <w:color w:val="000000" w:themeColor="text1"/>
        </w:rPr>
        <w:t>all’operatore economico</w:t>
      </w:r>
      <w:r w:rsidRPr="004A5029">
        <w:rPr>
          <w:rFonts w:ascii="Times New Roman" w:hAnsi="Times New Roman" w:cs="Times New Roman"/>
          <w:color w:val="000000" w:themeColor="text1"/>
        </w:rPr>
        <w:t xml:space="preserve"> o, quando </w:t>
      </w:r>
      <w:r w:rsidRPr="004A5029">
        <w:rPr>
          <w:rFonts w:ascii="Times New Roman" w:hAnsi="Times New Roman" w:cs="Times New Roman"/>
          <w:bCs/>
          <w:color w:val="000000" w:themeColor="text1"/>
        </w:rPr>
        <w:t xml:space="preserve">questi </w:t>
      </w:r>
      <w:r w:rsidRPr="004A5029">
        <w:rPr>
          <w:rFonts w:ascii="Times New Roman" w:hAnsi="Times New Roman" w:cs="Times New Roman"/>
          <w:color w:val="000000" w:themeColor="text1"/>
        </w:rPr>
        <w:t xml:space="preserve">vi abbia interesse, </w:t>
      </w:r>
      <w:r w:rsidRPr="004A5029">
        <w:rPr>
          <w:rFonts w:ascii="Times New Roman" w:hAnsi="Times New Roman" w:cs="Times New Roman"/>
          <w:bCs/>
          <w:color w:val="000000" w:themeColor="text1"/>
        </w:rPr>
        <w:t>a terzi</w:t>
      </w:r>
      <w:r w:rsidRPr="004A5029">
        <w:rPr>
          <w:rFonts w:ascii="Times New Roman" w:hAnsi="Times New Roman" w:cs="Times New Roman"/>
          <w:color w:val="000000" w:themeColor="text1"/>
        </w:rPr>
        <w:t xml:space="preserve"> da lui indicati, in possesso dei requisiti di partecipazione alla gara, della proprietà di beni immobili dell’ente concedente, già indicati nel programma triennale per i lavori o nell’avviso di pre-informazione per i servizi e le forniture, </w:t>
      </w:r>
      <w:r w:rsidRPr="004A5029">
        <w:rPr>
          <w:rFonts w:ascii="Times New Roman" w:hAnsi="Times New Roman" w:cs="Times New Roman"/>
          <w:bCs/>
          <w:color w:val="000000" w:themeColor="text1"/>
        </w:rPr>
        <w:t>non più destinati al perseguimento di scopi di interesse generale</w:t>
      </w:r>
      <w:r w:rsidRPr="004A5029">
        <w:rPr>
          <w:rFonts w:ascii="Times New Roman" w:hAnsi="Times New Roman" w:cs="Times New Roman"/>
          <w:color w:val="000000" w:themeColor="text1"/>
        </w:rPr>
        <w:t>;</w:t>
      </w:r>
    </w:p>
    <w:p w14:paraId="376ED46E"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il trasferimento della proprietà in un momento anteriore a quello della fine dei lavori, previa garanzia fideiussoria pari al valore dell'immobile, da prestarsi nei modi previsti dal codice per la partecipazione alle procedure di affidamento; la fideiussione è progressivamente svincolata con le modalità previste con riferimento alla cauzione definitiva.</w:t>
      </w:r>
    </w:p>
    <w:p w14:paraId="62D3F89E" w14:textId="77777777" w:rsidR="0083753D" w:rsidRPr="004A5029" w:rsidRDefault="0083753D" w:rsidP="0083753D">
      <w:pPr>
        <w:rPr>
          <w:rFonts w:ascii="Times New Roman" w:hAnsi="Times New Roman" w:cs="Times New Roman"/>
          <w:color w:val="000000" w:themeColor="text1"/>
        </w:rPr>
      </w:pPr>
    </w:p>
    <w:p w14:paraId="2780AF0D" w14:textId="77777777" w:rsidR="0083753D" w:rsidRPr="004A5029" w:rsidRDefault="0083753D" w:rsidP="0083753D">
      <w:pPr>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135973C0" w14:textId="77777777" w:rsidR="0083753D" w:rsidRPr="004A5029" w:rsidRDefault="0083753D" w:rsidP="0083753D">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PARTE VI</w:t>
      </w:r>
    </w:p>
    <w:p w14:paraId="6E44D74F" w14:textId="77777777" w:rsidR="0083753D" w:rsidRPr="004A5029" w:rsidRDefault="0083753D" w:rsidP="0083753D">
      <w:pPr>
        <w:jc w:val="center"/>
        <w:rPr>
          <w:rFonts w:ascii="Times New Roman" w:hAnsi="Times New Roman" w:cs="Times New Roman"/>
          <w:b/>
          <w:color w:val="000000" w:themeColor="text1"/>
        </w:rPr>
      </w:pPr>
      <w:r w:rsidRPr="004A5029">
        <w:rPr>
          <w:rFonts w:ascii="Times New Roman" w:hAnsi="Times New Roman" w:cs="Times New Roman"/>
          <w:b/>
          <w:color w:val="000000" w:themeColor="text1"/>
        </w:rPr>
        <w:t>DEI SERVIZI GLOBALI</w:t>
      </w:r>
    </w:p>
    <w:p w14:paraId="46FC4A0D" w14:textId="77777777" w:rsidR="0083753D" w:rsidRPr="004A5029" w:rsidRDefault="0083753D" w:rsidP="0083753D">
      <w:pPr>
        <w:jc w:val="center"/>
        <w:rPr>
          <w:rFonts w:ascii="Times New Roman" w:hAnsi="Times New Roman" w:cs="Times New Roman"/>
          <w:b/>
          <w:color w:val="000000" w:themeColor="text1"/>
        </w:rPr>
      </w:pPr>
    </w:p>
    <w:p w14:paraId="4EFA0F46"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203.</w:t>
      </w:r>
    </w:p>
    <w:p w14:paraId="544472F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Affidamento di servizi globali.</w:t>
      </w:r>
    </w:p>
    <w:p w14:paraId="38353E38" w14:textId="73660B7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 L’affidamento di servizi globali si realizza mediante la conclusione di contratti, anche diversi da quelli disciplinati dalle disposizioni della presente </w:t>
      </w:r>
      <w:r w:rsidR="00FE1836" w:rsidRPr="004A5029">
        <w:rPr>
          <w:rFonts w:ascii="Times New Roman" w:hAnsi="Times New Roman" w:cs="Times New Roman"/>
          <w:color w:val="000000" w:themeColor="text1"/>
        </w:rPr>
        <w:t>P</w:t>
      </w:r>
      <w:r w:rsidRPr="004A5029">
        <w:rPr>
          <w:rFonts w:ascii="Times New Roman" w:hAnsi="Times New Roman" w:cs="Times New Roman"/>
          <w:color w:val="000000" w:themeColor="text1"/>
        </w:rPr>
        <w:t>arte, con cui l’operatore economico è tenuto a perseguire un risultato amministrativo mediante le prestazioni professionali e specialistiche dedotte in obbligazione in cambio di un corrispettivo determinato in relazione al risultato ottenuto e alla attività normalmente necessaria per ottenerlo.</w:t>
      </w:r>
    </w:p>
    <w:p w14:paraId="01B0E29E" w14:textId="2CD3E7A5"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2. I contratti di affidamento di servizi globali possono essere sottoscritti solo da un operatore economico in possesso della specifica qualificazione prevista </w:t>
      </w:r>
      <w:r w:rsidR="00FE1836" w:rsidRPr="004A5029">
        <w:rPr>
          <w:rFonts w:ascii="Times New Roman" w:hAnsi="Times New Roman" w:cs="Times New Roman"/>
          <w:bCs/>
          <w:color w:val="000000" w:themeColor="text1"/>
        </w:rPr>
        <w:t>d</w:t>
      </w:r>
      <w:r w:rsidRPr="004A5029">
        <w:rPr>
          <w:rFonts w:ascii="Times New Roman" w:hAnsi="Times New Roman" w:cs="Times New Roman"/>
          <w:bCs/>
          <w:color w:val="000000" w:themeColor="text1"/>
        </w:rPr>
        <w:t>all’articolo 207, oltre che dei requisiti generali per la partecipazione alle procedure di affidamento.</w:t>
      </w:r>
    </w:p>
    <w:p w14:paraId="291BE7D6" w14:textId="08499370"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3. Le parti determinano il contenuto dei contratti di affidamento dei servizi globali nei limiti imposti dalle disposizioni della presente </w:t>
      </w:r>
      <w:r w:rsidR="00FE1836" w:rsidRPr="004A5029">
        <w:rPr>
          <w:rFonts w:ascii="Times New Roman" w:hAnsi="Times New Roman" w:cs="Times New Roman"/>
          <w:color w:val="000000" w:themeColor="text1"/>
        </w:rPr>
        <w:t>P</w:t>
      </w:r>
      <w:r w:rsidRPr="004A5029">
        <w:rPr>
          <w:rFonts w:ascii="Times New Roman" w:hAnsi="Times New Roman" w:cs="Times New Roman"/>
          <w:color w:val="000000" w:themeColor="text1"/>
        </w:rPr>
        <w:t>arte, tenendo conto dei bandi-tipo e dei contratti-tipo redatti dall’ANAC.</w:t>
      </w:r>
    </w:p>
    <w:p w14:paraId="4DC2ECC6" w14:textId="77777777" w:rsidR="0083753D" w:rsidRPr="004A5029" w:rsidRDefault="0083753D" w:rsidP="0083753D">
      <w:pPr>
        <w:jc w:val="both"/>
        <w:rPr>
          <w:rFonts w:ascii="Times New Roman" w:hAnsi="Times New Roman" w:cs="Times New Roman"/>
          <w:color w:val="000000" w:themeColor="text1"/>
        </w:rPr>
      </w:pPr>
    </w:p>
    <w:p w14:paraId="2BD97339"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204.</w:t>
      </w:r>
    </w:p>
    <w:p w14:paraId="40B612BA"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color w:val="000000" w:themeColor="text1"/>
        </w:rPr>
        <w:t>Contraente generale.</w:t>
      </w:r>
    </w:p>
    <w:p w14:paraId="28DF7653"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hAnsi="Times New Roman" w:cs="Times New Roman"/>
          <w:bCs/>
          <w:color w:val="000000" w:themeColor="text1"/>
        </w:rPr>
        <w:t xml:space="preserve">1. L’affidamento dei servizi globali al contraente generale si realizza mediante la conclusione di un contratto che obbliga l’operatore economico a compiere un’opera e a perseguire un determinato risultato amministrativo indicato nel bando e nel contratto, con organizzazione dei mezzi necessari e con gestione a proprio rischio in cambio di un corrispettivo determinato in base al risultato ottenuto e alle prestazioni rese. </w:t>
      </w:r>
      <w:r w:rsidRPr="004A5029">
        <w:rPr>
          <w:rFonts w:ascii="Times New Roman" w:eastAsia="Calibri" w:hAnsi="Times New Roman" w:cs="Times New Roman"/>
          <w:bCs/>
          <w:color w:val="000000" w:themeColor="text1"/>
        </w:rPr>
        <w:t>L’affidamento al contraente generale è deciso dall’ente concedente tenendo conto della complessità e della eterogeneità delle prestazioni richieste e della esigenza di perseguire un risultato amministrativo di elevata qualità ed efficacia, e sempre che l’importo dell’affidamento non sia inferiore a 100 milioni di euro.</w:t>
      </w:r>
    </w:p>
    <w:p w14:paraId="734BCCF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2. I rapporti tra soggetto aggiudicatore e contraente generale sono regolati, oltre che dal bando di gara e dal contratto, dalle disposizioni del codice sui contratti di appalto e di concessione.</w:t>
      </w:r>
    </w:p>
    <w:p w14:paraId="294CA421"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contraente generale è tenuto fra l’altro:</w:t>
      </w:r>
    </w:p>
    <w:p w14:paraId="668AEB30" w14:textId="582E0939"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a redigere il progetto esecutivo, in conformità del progetto </w:t>
      </w:r>
      <w:bookmarkStart w:id="71" w:name="_Hlk122344996"/>
      <w:r w:rsidR="00AB4CCB" w:rsidRPr="004A5029">
        <w:rPr>
          <w:rFonts w:ascii="Times New Roman" w:hAnsi="Times New Roman" w:cs="Times New Roman"/>
          <w:color w:val="000000" w:themeColor="text1"/>
        </w:rPr>
        <w:t>di fattibilità tecnico-economica</w:t>
      </w:r>
      <w:bookmarkEnd w:id="71"/>
      <w:r w:rsidR="00AB4CCB"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 xml:space="preserve">redatto dal soggetto aggiudicatore, e a compiere le attività strumentali alla sua approvazione; </w:t>
      </w:r>
    </w:p>
    <w:p w14:paraId="1CF9F8B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ad assicurare il prefinanziamento, in tutto o in parte, dell'opera; </w:t>
      </w:r>
    </w:p>
    <w:p w14:paraId="2604E79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c) a comunicare costantemente al soggetto aggiudicatore le informazioni necessarie a prevenire tentativi di infiltrazione mafiosa.</w:t>
      </w:r>
    </w:p>
    <w:p w14:paraId="13A69B2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Il contratto può prevedere che:</w:t>
      </w:r>
    </w:p>
    <w:p w14:paraId="07474674" w14:textId="712C295F"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l'operatore economico abbia la qualità di autorità espropriante, come definita </w:t>
      </w:r>
      <w:r w:rsidR="00FE1836" w:rsidRPr="004A5029">
        <w:rPr>
          <w:rFonts w:ascii="Times New Roman" w:hAnsi="Times New Roman" w:cs="Times New Roman"/>
          <w:color w:val="000000" w:themeColor="text1"/>
        </w:rPr>
        <w:t>d</w:t>
      </w:r>
      <w:r w:rsidRPr="004A5029">
        <w:rPr>
          <w:rFonts w:ascii="Times New Roman" w:hAnsi="Times New Roman" w:cs="Times New Roman"/>
          <w:color w:val="000000" w:themeColor="text1"/>
        </w:rPr>
        <w:t xml:space="preserve">all’articolo 3 del </w:t>
      </w:r>
      <w:r w:rsidR="00471D28" w:rsidRPr="004A5029">
        <w:rPr>
          <w:rFonts w:ascii="Times New Roman" w:hAnsi="Times New Roman" w:cs="Times New Roman"/>
          <w:b/>
          <w:bCs/>
          <w:color w:val="000000" w:themeColor="text1"/>
        </w:rPr>
        <w:t>testo unico delle disposizioni legislative e regolamentari in materia di espropriazione per pubblica utilità</w:t>
      </w:r>
      <w:r w:rsidR="00422AFC" w:rsidRPr="004A5029">
        <w:rPr>
          <w:rFonts w:ascii="Times New Roman" w:hAnsi="Times New Roman" w:cs="Times New Roman"/>
          <w:b/>
          <w:bCs/>
          <w:color w:val="000000" w:themeColor="text1"/>
        </w:rPr>
        <w:t>,</w:t>
      </w:r>
      <w:r w:rsidR="00471D28" w:rsidRPr="004A5029">
        <w:rPr>
          <w:rFonts w:ascii="Times New Roman" w:hAnsi="Times New Roman" w:cs="Times New Roman"/>
          <w:b/>
          <w:bCs/>
          <w:color w:val="000000" w:themeColor="text1"/>
        </w:rPr>
        <w:t xml:space="preserve"> di cui al</w:t>
      </w:r>
      <w:r w:rsidR="00471D28"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decreto del Presidente della Repubblica 8 giugno 2001, n. 327, con il potere di espropriare e di curare il relativo procedimento;</w:t>
      </w:r>
    </w:p>
    <w:p w14:paraId="2B04DF4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l’operatore economico individui i modi di gestione dell’opera e di selezione dei soggetti cui tale gestione può essere affidata.</w:t>
      </w:r>
    </w:p>
    <w:p w14:paraId="435EC412" w14:textId="0FC8432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5. L’ente concedente redige il progetto </w:t>
      </w:r>
      <w:r w:rsidR="00AB4CCB" w:rsidRPr="004A5029">
        <w:rPr>
          <w:rFonts w:ascii="Times New Roman" w:hAnsi="Times New Roman" w:cs="Times New Roman"/>
          <w:color w:val="000000" w:themeColor="text1"/>
        </w:rPr>
        <w:t>di fattibilità tecnico-economica</w:t>
      </w:r>
      <w:r w:rsidRPr="004A5029">
        <w:rPr>
          <w:rFonts w:ascii="Times New Roman" w:hAnsi="Times New Roman" w:cs="Times New Roman"/>
          <w:color w:val="000000" w:themeColor="text1"/>
        </w:rPr>
        <w:t xml:space="preserve"> e approva il progetto esecutivo e le sue varianti.</w:t>
      </w:r>
    </w:p>
    <w:p w14:paraId="60C9095F"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6. Il bando di gara e il contratto stabiliscono:</w:t>
      </w:r>
    </w:p>
    <w:p w14:paraId="666AABE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a) i criteri di determinazione e di riduzione del corrispettivo spettante al contraente generale in base al risultato ottenuto e alle prestazioni rese;</w:t>
      </w:r>
    </w:p>
    <w:p w14:paraId="40E05B4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b) i modi e i tempi di pagamento del corrispettivo, che in ogni caso avviene dopo il collaudo per la parte relativa ai lavori realizzati con anticipazione;</w:t>
      </w:r>
    </w:p>
    <w:p w14:paraId="5832DFED"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c) le risorse proprie del contraente generale ai sensi del comma 14; </w:t>
      </w:r>
    </w:p>
    <w:p w14:paraId="1EB7419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d) i modi di attribuzione alle parti degli eventuali oneri sopravvenuti, incidenti sul corrispettivo e derivanti da disposizioni normative o da provvedimenti di altre autorità;</w:t>
      </w:r>
    </w:p>
    <w:p w14:paraId="48406CC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e) le misure idonee a prevenire tentativi di infiltrazione e condizionamento mafiosi e i relativi costi, non sottoposti a ribasso d’asta. </w:t>
      </w:r>
    </w:p>
    <w:p w14:paraId="10A42B1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7. Il rischio derivante dalle varianti del progetto richieste dall’ente concedente, o cagionate da forza maggiore o da provvedimenti di altre autorità, è a carico dell’ente concedente.</w:t>
      </w:r>
    </w:p>
    <w:p w14:paraId="47CE1200" w14:textId="3F32602F" w:rsidR="0083753D" w:rsidRPr="004A5029" w:rsidRDefault="0083753D" w:rsidP="6E003A1F">
      <w:pPr>
        <w:jc w:val="both"/>
        <w:rPr>
          <w:rFonts w:ascii="Times New Roman" w:eastAsia="Times New Roman" w:hAnsi="Times New Roman" w:cs="Times New Roman"/>
          <w:color w:val="000000" w:themeColor="text1"/>
        </w:rPr>
      </w:pPr>
      <w:r w:rsidRPr="004A5029">
        <w:rPr>
          <w:rFonts w:ascii="Times New Roman" w:hAnsi="Times New Roman" w:cs="Times New Roman"/>
          <w:color w:val="000000" w:themeColor="text1"/>
        </w:rPr>
        <w:t>8. Il rischio derivante da varianti cagionate da omissioni, inesattezze o errori del progetto esecutivo è a carico del</w:t>
      </w:r>
      <w:r w:rsidR="67186E00" w:rsidRPr="004A5029">
        <w:rPr>
          <w:rFonts w:ascii="Times New Roman" w:eastAsia="Times New Roman" w:hAnsi="Times New Roman" w:cs="Times New Roman"/>
          <w:color w:val="000000" w:themeColor="text1"/>
        </w:rPr>
        <w:t xml:space="preserve"> contraente generale</w:t>
      </w:r>
      <w:r w:rsidRPr="004A5029">
        <w:rPr>
          <w:rFonts w:ascii="Times New Roman" w:eastAsia="Times New Roman" w:hAnsi="Times New Roman" w:cs="Times New Roman"/>
          <w:color w:val="000000" w:themeColor="text1"/>
        </w:rPr>
        <w:t>.</w:t>
      </w:r>
    </w:p>
    <w:p w14:paraId="23F3883B"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9. Fuori dei casi previsti dai commi 7 e 8, l’operatore economico comunica le varianti del progetto all’ente concedente per consentire a quest’ultimo di opporsi quando queste alterino le caratteristiche specifiche dell’opera, o i modi o i tempi del suo compimento, o in ogni caso modifichino il risultato amministrativo dedotto nel contratto.</w:t>
      </w:r>
    </w:p>
    <w:p w14:paraId="7E51B64E"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10. Alle varianti del progetto non si applicano le disposizioni del codice che consentono l’uso della procedura negoziata senza previa pubblicazione di un bando di gara. </w:t>
      </w:r>
    </w:p>
    <w:p w14:paraId="261E1C7F"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11. Il contraente generale può eseguire le prestazioni dedotte in obbligazione anche costituendo una società di scopo, a cui possono partecipare soggetti dotati di idonei requisiti di professionalità, ivi compresi gli investitori istituzionali di cui all’articolo 193, comma 1, quarto periodo, preventivamente indicati al momento della partecipazione alla gara. La società di scopo è disciplinata dall’articolo 194 oltre che dalle disposizioni seguenti.</w:t>
      </w:r>
    </w:p>
    <w:p w14:paraId="2B155CB4" w14:textId="22F26273" w:rsidR="0083753D" w:rsidRPr="004A5029" w:rsidRDefault="0083753D" w:rsidP="0083753D">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12. Se non è diversamente stabilito nel contratto, il contraente generale</w:t>
      </w:r>
      <w:r w:rsidRPr="004A5029">
        <w:rPr>
          <w:rFonts w:ascii="Times New Roman" w:eastAsia="Calibri" w:hAnsi="Times New Roman" w:cs="Times New Roman"/>
          <w:b/>
          <w:strike/>
          <w:color w:val="000000" w:themeColor="text1"/>
        </w:rPr>
        <w:t>,</w:t>
      </w:r>
      <w:r w:rsidRPr="004A5029">
        <w:rPr>
          <w:rFonts w:ascii="Times New Roman" w:eastAsia="Calibri" w:hAnsi="Times New Roman" w:cs="Times New Roman"/>
          <w:bCs/>
          <w:color w:val="000000" w:themeColor="text1"/>
        </w:rPr>
        <w:t xml:space="preserve"> o i diversi soggetti che lo compongono</w:t>
      </w:r>
      <w:r w:rsidRPr="004A5029">
        <w:rPr>
          <w:rFonts w:ascii="Times New Roman" w:eastAsia="Calibri" w:hAnsi="Times New Roman" w:cs="Times New Roman"/>
          <w:b/>
          <w:strike/>
          <w:color w:val="000000" w:themeColor="text1"/>
        </w:rPr>
        <w:t>,</w:t>
      </w:r>
      <w:r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
          <w:strike/>
          <w:color w:val="000000" w:themeColor="text1"/>
        </w:rPr>
        <w:t>è solidalmente responsabile</w:t>
      </w:r>
      <w:r w:rsidR="0018767A" w:rsidRPr="004A5029">
        <w:rPr>
          <w:rFonts w:ascii="Times New Roman" w:eastAsia="Calibri" w:hAnsi="Times New Roman" w:cs="Times New Roman"/>
          <w:b/>
          <w:color w:val="000000" w:themeColor="text1"/>
        </w:rPr>
        <w:t xml:space="preserve"> sono solidalmente responsabili</w:t>
      </w:r>
      <w:r w:rsidRPr="004A5029">
        <w:rPr>
          <w:rFonts w:ascii="Times New Roman" w:eastAsia="Calibri" w:hAnsi="Times New Roman" w:cs="Times New Roman"/>
          <w:bCs/>
          <w:color w:val="000000" w:themeColor="text1"/>
        </w:rPr>
        <w:t xml:space="preserve"> con la società di scopo per l’esatto adempimento delle obbligazioni contrattuali. In alternativa, la società di scopo può fornire all’ente concedente garanzie bancarie e assicurative per la restituzione delle somme percepite in corso d'opera, liberando in tal modo i soci. Le garanzie cessano quando </w:t>
      </w:r>
      <w:r w:rsidR="00E07A23" w:rsidRPr="004A5029">
        <w:rPr>
          <w:rFonts w:ascii="Times New Roman" w:eastAsia="Calibri" w:hAnsi="Times New Roman" w:cs="Times New Roman"/>
          <w:bCs/>
          <w:color w:val="000000" w:themeColor="text1"/>
        </w:rPr>
        <w:t>è</w:t>
      </w:r>
      <w:r w:rsidRPr="004A5029">
        <w:rPr>
          <w:rFonts w:ascii="Times New Roman" w:eastAsia="Calibri" w:hAnsi="Times New Roman" w:cs="Times New Roman"/>
          <w:bCs/>
          <w:color w:val="000000" w:themeColor="text1"/>
        </w:rPr>
        <w:t xml:space="preserve"> emesso il certificato di collaudo dell'opera. La cessione di crediti del contraente generale e della società di scopo è regolata dalle disposizioni del codice sulla cessione di crediti da corrispettivo di appalto e concessione.</w:t>
      </w:r>
    </w:p>
    <w:p w14:paraId="720A74D5"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13. Il contraente generale può eseguire le prestazioni contrattuali anche affidandole a terzi, in possesso dei richiesti requisiti di qualificazione, ai quali non possono essere imposti obblighi e oneri ulteriori rispetto a quelli che gravano sul contraente generale nei rapporti con l’ente concedente. I terzi affidatari possono procedere al sub affidamento, nei modi e nei limiti previsti per gli appalti di lavori pubblici. Si applicano le norme sul subappalto.</w:t>
      </w:r>
    </w:p>
    <w:p w14:paraId="57DFE54D" w14:textId="77777777" w:rsidR="0083753D" w:rsidRPr="004A5029" w:rsidRDefault="0083753D" w:rsidP="0083753D">
      <w:pPr>
        <w:jc w:val="both"/>
        <w:rPr>
          <w:rFonts w:ascii="Times New Roman" w:hAnsi="Times New Roman" w:cs="Times New Roman"/>
          <w:color w:val="000000" w:themeColor="text1"/>
          <w:vertAlign w:val="superscript"/>
        </w:rPr>
      </w:pPr>
      <w:r w:rsidRPr="004A5029">
        <w:rPr>
          <w:rFonts w:ascii="Times New Roman" w:eastAsia="Calibri" w:hAnsi="Times New Roman" w:cs="Times New Roman"/>
          <w:color w:val="000000" w:themeColor="text1"/>
        </w:rPr>
        <w:t>14. Il bando e il contratto determinano la quota di valore dell'opera che deve essere realizzata con anticipazione di risorse del contraente generale. Il contraente generale o la società di scopo, per finanziare tale quota, possono emettere obbligazioni, previa autorizzazione degli organi di vigilanza, anche in deroga ai limiti previsti dall'articolo 2412 del codice civile. L’ente concedente garantisce il pagamento delle obbligazioni emesse, nei limiti del proprio debito verso il contraente generale, nei modi stabiliti con decreto del Ministro dell'economia e delle finanze, di concerto con il Ministro delle infrastrutture e dei trasporti.</w:t>
      </w:r>
    </w:p>
    <w:p w14:paraId="1BF8C453"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15. L’ente aggiudicatore versa il corrispettivo delle prestazioni rese e prefinanziate dal contraente generale con la emissione di un certificato di pagamento esigibile alla scadenza del prefinanziamento secondo le previsioni contrattuali. Il certificato di pagamento costituisce definitivo riconoscimento del credito del finanziatore cessionario per i soli crediti di cui al presente comma ceduti a fronte di finanziamenti senza rivalsa o con rivalsa limitata. Al cessionario non è applicabile alcuna eccezione di pagamento delle quote di prefinanziamento riconosciute, derivante dai rapporti tra debitore e creditore cedente, ivi inclusa la compensazione con crediti derivanti dall'adempimento dello stesso contratto o con qualsiasi diverso credito nei confronti del contraente generale cedente.</w:t>
      </w:r>
    </w:p>
    <w:p w14:paraId="389F421E"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16. Il bando e il contratto indicano il termine finale di pagamento dei crediti riconosciuti definitivi ai sensi del comma 15, nei casi di mancato o tardivo raggiungimento del risultato dedotto in contratto.</w:t>
      </w:r>
    </w:p>
    <w:p w14:paraId="19EAD002"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17. Il riconoscimento definitivo del credito non opera quando le garanzie per l’esecuzione di lavori di particolare valore, come disciplinate dal codice, si sono ridotte o quando la riduzione è espressamente prevista, salvo che sia ripristinata la garanzia o eliminata la previsione di riduzione. </w:t>
      </w:r>
    </w:p>
    <w:p w14:paraId="0B5C5A2F" w14:textId="712D96F8"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18. L’ente concedente, nei modi previsti dal bando o dal contratto, controlla le prestazioni del contraente generale e lo svolgimento dei lavori e verifica prima della consegna l’opera compiuta e il risultato ottenuto, eventualmente proponendo le necessarie modificazioni e varianti, sempre che queste non alterino caratteristiche specifiche dell’opera e del risultato indicate nel bando e nel progetto </w:t>
      </w:r>
      <w:r w:rsidR="00AB4CCB" w:rsidRPr="004A5029">
        <w:rPr>
          <w:rFonts w:ascii="Times New Roman" w:hAnsi="Times New Roman" w:cs="Times New Roman"/>
          <w:color w:val="000000" w:themeColor="text1"/>
        </w:rPr>
        <w:t>di fattibilità tecnico-economica</w:t>
      </w:r>
      <w:r w:rsidRPr="004A5029">
        <w:rPr>
          <w:rFonts w:ascii="Times New Roman" w:eastAsia="Calibri" w:hAnsi="Times New Roman" w:cs="Times New Roman"/>
          <w:color w:val="000000" w:themeColor="text1"/>
        </w:rPr>
        <w:t>. L’ente concedente nomina il direttore dei lavori e i collaudatori ed effettua il collaudo.</w:t>
      </w:r>
    </w:p>
    <w:p w14:paraId="79796693" w14:textId="77777777" w:rsidR="0083753D" w:rsidRPr="004A5029" w:rsidRDefault="0083753D" w:rsidP="0083753D">
      <w:pPr>
        <w:jc w:val="both"/>
        <w:rPr>
          <w:rFonts w:ascii="Times New Roman" w:hAnsi="Times New Roman" w:cs="Times New Roman"/>
          <w:color w:val="000000" w:themeColor="text1"/>
        </w:rPr>
      </w:pPr>
    </w:p>
    <w:p w14:paraId="459B22A6"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205.</w:t>
      </w:r>
    </w:p>
    <w:p w14:paraId="09AED797" w14:textId="77777777" w:rsidR="0083753D" w:rsidRPr="004A5029" w:rsidRDefault="0083753D" w:rsidP="0083753D">
      <w:pPr>
        <w:textAlignment w:val="baseline"/>
        <w:rPr>
          <w:rFonts w:ascii="Times New Roman" w:hAnsi="Times New Roman" w:cs="Times New Roman"/>
          <w:color w:val="000000" w:themeColor="text1"/>
        </w:rPr>
      </w:pPr>
      <w:r w:rsidRPr="004A5029">
        <w:rPr>
          <w:rFonts w:ascii="Times New Roman" w:hAnsi="Times New Roman" w:cs="Times New Roman"/>
          <w:i/>
          <w:color w:val="000000" w:themeColor="text1"/>
        </w:rPr>
        <w:t>Procedure di aggiudicazione del contraente generale</w:t>
      </w:r>
      <w:r w:rsidRPr="004A5029">
        <w:rPr>
          <w:rFonts w:ascii="Times New Roman" w:hAnsi="Times New Roman" w:cs="Times New Roman"/>
          <w:color w:val="000000" w:themeColor="text1"/>
        </w:rPr>
        <w:t>.</w:t>
      </w:r>
    </w:p>
    <w:p w14:paraId="2FBF16B3" w14:textId="0BC0273B"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 xml:space="preserve">1. Il bando individua il progetto </w:t>
      </w:r>
      <w:r w:rsidR="00AB4CCB" w:rsidRPr="004A5029">
        <w:rPr>
          <w:rFonts w:ascii="Times New Roman" w:hAnsi="Times New Roman" w:cs="Times New Roman"/>
          <w:color w:val="000000" w:themeColor="text1"/>
        </w:rPr>
        <w:t>di fattibilità tecnico-economica</w:t>
      </w:r>
      <w:r w:rsidR="00AB4CCB"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e indica, in relazione alle caratteristiche e alla complessità dell’opera e del risultato da perseguire, il numero minimo e massimo di concorrenti invitati, assicurando in ogni caso una effettiva concorrenza. Quando le domande di partecipazione superano il numero massimo indicato, l’ente concedente seleziona gli operatori economici da invitare, sulla base di criteri pertinenti all'oggetto del contratto, resi noti nel bando.</w:t>
      </w:r>
    </w:p>
    <w:p w14:paraId="4ED22128"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color w:val="000000" w:themeColor="text1"/>
        </w:rPr>
        <w:t xml:space="preserve">2. L'aggiudicazione avviene secondo il criterio dell'offerta economicamente più vantaggiosa, individuata, oltre che in base ai criteri ordinari </w:t>
      </w:r>
      <w:r w:rsidRPr="004A5029">
        <w:rPr>
          <w:rFonts w:ascii="Times New Roman" w:hAnsi="Times New Roman" w:cs="Times New Roman"/>
          <w:bCs/>
          <w:color w:val="000000" w:themeColor="text1"/>
        </w:rPr>
        <w:t>di aggiudicazione degli appalti</w:t>
      </w:r>
      <w:r w:rsidRPr="004A5029">
        <w:rPr>
          <w:rFonts w:ascii="Times New Roman" w:hAnsi="Times New Roman" w:cs="Times New Roman"/>
          <w:color w:val="000000" w:themeColor="text1"/>
        </w:rPr>
        <w:t xml:space="preserve">, tenendo conto </w:t>
      </w:r>
      <w:r w:rsidRPr="004A5029">
        <w:rPr>
          <w:rFonts w:ascii="Times New Roman" w:hAnsi="Times New Roman" w:cs="Times New Roman"/>
          <w:bCs/>
          <w:color w:val="000000" w:themeColor="text1"/>
        </w:rPr>
        <w:t>in particolare:</w:t>
      </w:r>
    </w:p>
    <w:p w14:paraId="4A11AC1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del valore tecnico ed estetico delle varianti; </w:t>
      </w:r>
    </w:p>
    <w:p w14:paraId="587BF4CB"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dell’incremento di valore del prefinanziamento, rispetto a quello indicato nel bando, offerto dal concorrente; </w:t>
      </w:r>
    </w:p>
    <w:p w14:paraId="783A2EAC"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di ogni altro elemento idoneo al miglior perseguimento del risultato amministrativo dedotto nel contratto. </w:t>
      </w:r>
    </w:p>
    <w:p w14:paraId="222382F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3. Il bando di gara può prevedere che l’offerente dimostri:</w:t>
      </w:r>
    </w:p>
    <w:p w14:paraId="36072BF2"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a) l'assenza dei motivi di esclusione indicati agli articoli 94, 95, 96, 97 e 98, ferma restando la necessità di accertare sempre il possesso dei requisiti generali da parte dell’offerente che risulti poi aggiudicatario; </w:t>
      </w:r>
    </w:p>
    <w:p w14:paraId="4D74BCA4"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b) la disponibilità di risorse finanziarie, rivolte al prefinanziamento, proporzionate all'opera da realizzare; </w:t>
      </w:r>
    </w:p>
    <w:p w14:paraId="7636D5C3"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c) il possesso, da parte delle imprese affidatarie designate in sede di gara o dello stesso offerente, di requisiti professionali e finanziari idonei allo svolgimento delle prestazioni richieste. </w:t>
      </w:r>
    </w:p>
    <w:p w14:paraId="6A93A630"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4. Non possono concorrere alla medesima gara imprese collegate.</w:t>
      </w:r>
      <w:r w:rsidRPr="004A5029">
        <w:rPr>
          <w:rFonts w:ascii="Times New Roman" w:eastAsia="Georgia" w:hAnsi="Times New Roman" w:cs="Times New Roman"/>
          <w:color w:val="000000" w:themeColor="text1"/>
          <w:lang w:eastAsia="it-IT"/>
        </w:rPr>
        <w:t xml:space="preserve"> </w:t>
      </w:r>
      <w:r w:rsidRPr="004A5029">
        <w:rPr>
          <w:rFonts w:ascii="Times New Roman" w:hAnsi="Times New Roman" w:cs="Times New Roman"/>
          <w:color w:val="000000" w:themeColor="text1"/>
        </w:rPr>
        <w:t xml:space="preserve">L’operatore che partecipa alla gara, singolarmente o facendo parte di un raggruppamento temporaneo o consorzio, non può parteciparvi quale membro di altro raggruppamento temporaneo, associazione o consorzio, anche stabile.  </w:t>
      </w:r>
    </w:p>
    <w:p w14:paraId="6982228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5. Il contraente generale in possesso della richiesta classifica di qualificazione</w:t>
      </w:r>
      <w:r w:rsidRPr="004A5029">
        <w:rPr>
          <w:rFonts w:ascii="Times New Roman" w:hAnsi="Times New Roman" w:cs="Times New Roman"/>
          <w:b/>
          <w:bCs/>
          <w:strike/>
          <w:color w:val="000000" w:themeColor="text1"/>
        </w:rPr>
        <w:t>,</w:t>
      </w:r>
      <w:r w:rsidRPr="004A5029">
        <w:rPr>
          <w:rFonts w:ascii="Times New Roman" w:hAnsi="Times New Roman" w:cs="Times New Roman"/>
          <w:color w:val="000000" w:themeColor="text1"/>
        </w:rPr>
        <w:t xml:space="preserve"> può partecipare alla procedura di gara in associazione o consorzio con altre imprese purché queste ultime siano ammesse, per qualunque classifica, al sistema di qualificazione ovvero siano qualificabili, per qualunque classifica. Le imprese associate o consorziate concorrono alla dimostrazione dei requisiti di cui al comma 1.</w:t>
      </w:r>
    </w:p>
    <w:p w14:paraId="18B6405D"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6. Gli affidamenti degli enti concedenti operanti nei settori speciali sono disciplinati, oltre che dalle disposizioni della presente Parte, dalle relative norme del Libro III.</w:t>
      </w:r>
    </w:p>
    <w:p w14:paraId="46639F72"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color w:val="000000" w:themeColor="text1"/>
        </w:rPr>
        <w:t>7. Gli affidamenti degli enti concedenti diversi da quelli indicati nel comma 6 sono disciplinati, oltre che dalle disposizioni della presente Parte, dalle norme del Libro II, Parte IV.</w:t>
      </w:r>
    </w:p>
    <w:p w14:paraId="47297C67" w14:textId="77777777" w:rsidR="0083753D" w:rsidRPr="004A5029" w:rsidRDefault="0083753D" w:rsidP="0083753D">
      <w:pPr>
        <w:jc w:val="both"/>
        <w:rPr>
          <w:rFonts w:ascii="Times New Roman" w:hAnsi="Times New Roman" w:cs="Times New Roman"/>
          <w:color w:val="000000" w:themeColor="text1"/>
        </w:rPr>
      </w:pPr>
    </w:p>
    <w:p w14:paraId="7E23CCC3" w14:textId="77777777" w:rsidR="0083753D" w:rsidRPr="004A5029" w:rsidRDefault="0083753D" w:rsidP="0083753D">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206.</w:t>
      </w:r>
    </w:p>
    <w:p w14:paraId="0AA40DC9" w14:textId="77777777" w:rsidR="0083753D" w:rsidRPr="004A5029" w:rsidRDefault="0083753D" w:rsidP="0083753D">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Controlli sull’esecuzione e collaudo.</w:t>
      </w:r>
    </w:p>
    <w:p w14:paraId="2F110BC8"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1. Il collaudo delle infrastrutture è effettuato nei modi e nei termini previsti dalle norme in tema di appalti di lavori.</w:t>
      </w:r>
    </w:p>
    <w:p w14:paraId="28749465"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eastAsia="Calibri" w:hAnsi="Times New Roman" w:cs="Times New Roman"/>
          <w:color w:val="000000" w:themeColor="text1"/>
        </w:rPr>
        <w:t xml:space="preserve">2. Per le infrastrutture di grande rilevanza o complessità l’ente concedente può autorizzare le commissioni di collaudo ad avvalersi dei servizi di supporto e di indagine di soggetti specializzati nel settore. Gli oneri relativi sono a carico dei fondi a disposizione dell’ente concedente per la realizzazione delle predette infrastrutture con le modalità e i limiti stabiliti con decreto del Ministro delle infrastrutture e dei trasporti, di concerto con il Ministro dell'economia e delle finanze, da adottare entro sei mesi dalla data di entrata in vigore del codice. L'affidatario del supporto al collaudo non può avere rapporti di collegamento con chi ha progettato, diretto, eseguito o </w:t>
      </w:r>
      <w:r w:rsidRPr="004A5029">
        <w:rPr>
          <w:rFonts w:ascii="Times New Roman" w:eastAsia="Calibri" w:hAnsi="Times New Roman" w:cs="Times New Roman"/>
          <w:bCs/>
          <w:color w:val="000000" w:themeColor="text1"/>
        </w:rPr>
        <w:t>controllato</w:t>
      </w:r>
      <w:r w:rsidRPr="004A5029">
        <w:rPr>
          <w:rFonts w:ascii="Times New Roman" w:eastAsia="Calibri" w:hAnsi="Times New Roman" w:cs="Times New Roman"/>
          <w:color w:val="000000" w:themeColor="text1"/>
        </w:rPr>
        <w:t xml:space="preserve"> in tutto o in parte </w:t>
      </w:r>
      <w:r w:rsidRPr="004A5029">
        <w:rPr>
          <w:rFonts w:ascii="Times New Roman" w:eastAsia="Calibri" w:hAnsi="Times New Roman" w:cs="Times New Roman"/>
          <w:bCs/>
          <w:color w:val="000000" w:themeColor="text1"/>
        </w:rPr>
        <w:t>il compimento della</w:t>
      </w:r>
      <w:r w:rsidRPr="004A5029">
        <w:rPr>
          <w:rFonts w:ascii="Times New Roman" w:eastAsia="Calibri" w:hAnsi="Times New Roman" w:cs="Times New Roman"/>
          <w:color w:val="000000" w:themeColor="text1"/>
        </w:rPr>
        <w:t xml:space="preserve"> infrastruttura.</w:t>
      </w:r>
    </w:p>
    <w:p w14:paraId="048740F3" w14:textId="77777777" w:rsidR="0083753D" w:rsidRPr="004A5029" w:rsidRDefault="0083753D" w:rsidP="0083753D">
      <w:pPr>
        <w:pStyle w:val="Paragrafoelenco"/>
        <w:ind w:left="0"/>
        <w:contextualSpacing w:val="0"/>
        <w:jc w:val="both"/>
        <w:rPr>
          <w:rStyle w:val="normaltextrun"/>
          <w:rFonts w:ascii="Times New Roman" w:hAnsi="Times New Roman" w:cs="Times New Roman"/>
          <w:i/>
          <w:color w:val="000000" w:themeColor="text1"/>
          <w:shd w:val="clear" w:color="auto" w:fill="FFFFFF"/>
        </w:rPr>
      </w:pPr>
    </w:p>
    <w:p w14:paraId="4DBB7F6E" w14:textId="77777777" w:rsidR="0083753D" w:rsidRPr="004A5029" w:rsidRDefault="0083753D" w:rsidP="0083753D">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207.</w:t>
      </w:r>
    </w:p>
    <w:p w14:paraId="4EC13E33" w14:textId="77777777" w:rsidR="0083753D" w:rsidRPr="004A5029" w:rsidRDefault="0083753D" w:rsidP="0083753D">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Sistema di qualificazione del contraente generale.</w:t>
      </w:r>
    </w:p>
    <w:p w14:paraId="30B5AA76"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1. Il contraente generale è una società avente per oggetto l’esercizio di una attività commerciale o una società cooperativa, o un consorzio di cooperative di produzione e lavoro previsti dalla legge 25 giugno 1909, n. 422 e dal decreto legislativo del Capo provvisorio dello Stato 14 dicembre 1947, n. 1577, oppure un consorzio stabile come definito dal presente codice:</w:t>
      </w:r>
    </w:p>
    <w:p w14:paraId="5A86CF53" w14:textId="77777777" w:rsidR="0083753D" w:rsidRPr="004A5029" w:rsidRDefault="0083753D" w:rsidP="0083753D">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a) in possesso dei requisiti professionali, patrimoniali e finanziari di cui al comma 2;</w:t>
      </w:r>
    </w:p>
    <w:p w14:paraId="68E498F1" w14:textId="232725F3"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bCs/>
          <w:color w:val="000000" w:themeColor="text1"/>
        </w:rPr>
        <w:t xml:space="preserve">b) per il quale non ricorrono i motivi di esclusione di cui </w:t>
      </w:r>
      <w:r w:rsidRPr="004A5029">
        <w:rPr>
          <w:rFonts w:ascii="Times New Roman" w:eastAsia="Calibri" w:hAnsi="Times New Roman" w:cs="Times New Roman"/>
          <w:b/>
          <w:strike/>
          <w:color w:val="000000" w:themeColor="text1"/>
        </w:rPr>
        <w:t>all'articolo</w:t>
      </w:r>
      <w:r w:rsidRPr="004A5029">
        <w:rPr>
          <w:rFonts w:ascii="Times New Roman" w:eastAsia="Calibri" w:hAnsi="Times New Roman" w:cs="Times New Roman"/>
          <w:bCs/>
          <w:color w:val="000000" w:themeColor="text1"/>
        </w:rPr>
        <w:t xml:space="preserve"> </w:t>
      </w:r>
      <w:r w:rsidR="003B7E17" w:rsidRPr="004A5029">
        <w:rPr>
          <w:rFonts w:ascii="Times New Roman" w:eastAsia="Calibri" w:hAnsi="Times New Roman" w:cs="Times New Roman"/>
          <w:b/>
          <w:color w:val="000000" w:themeColor="text1"/>
        </w:rPr>
        <w:t xml:space="preserve">agli articoli </w:t>
      </w:r>
      <w:r w:rsidRPr="004A5029">
        <w:rPr>
          <w:rFonts w:ascii="Times New Roman" w:eastAsia="Calibri" w:hAnsi="Times New Roman" w:cs="Times New Roman"/>
          <w:bCs/>
          <w:color w:val="000000" w:themeColor="text1"/>
        </w:rPr>
        <w:t>94, 95, 96, 97 e 98.</w:t>
      </w:r>
    </w:p>
    <w:p w14:paraId="64D08707" w14:textId="2CF57852"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2. </w:t>
      </w:r>
      <w:r w:rsidRPr="004A5029">
        <w:rPr>
          <w:rFonts w:ascii="Times New Roman" w:eastAsia="Calibri" w:hAnsi="Times New Roman" w:cs="Times New Roman"/>
          <w:bCs/>
          <w:color w:val="000000" w:themeColor="text1"/>
        </w:rPr>
        <w:t xml:space="preserve">È istituito, con </w:t>
      </w:r>
      <w:r w:rsidR="003F5E18" w:rsidRPr="004A5029">
        <w:rPr>
          <w:rFonts w:ascii="Times New Roman" w:eastAsia="Calibri" w:hAnsi="Times New Roman" w:cs="Times New Roman"/>
          <w:bCs/>
          <w:color w:val="000000" w:themeColor="text1"/>
        </w:rPr>
        <w:t>il regolamento di cui all’articolo 100, comma 4</w:t>
      </w:r>
      <w:r w:rsidR="003C1558" w:rsidRPr="004A5029">
        <w:rPr>
          <w:rFonts w:ascii="Times New Roman" w:eastAsia="Calibri" w:hAnsi="Times New Roman" w:cs="Times New Roman"/>
          <w:bCs/>
          <w:color w:val="000000" w:themeColor="text1"/>
        </w:rPr>
        <w:t>,</w:t>
      </w:r>
      <w:r w:rsidR="003F5E18" w:rsidRPr="004A5029">
        <w:rPr>
          <w:rFonts w:ascii="Times New Roman" w:eastAsia="Calibri" w:hAnsi="Times New Roman" w:cs="Times New Roman"/>
          <w:b/>
          <w:bCs/>
          <w:color w:val="000000" w:themeColor="text1"/>
        </w:rPr>
        <w:t xml:space="preserve"> </w:t>
      </w:r>
      <w:r w:rsidRPr="004A5029">
        <w:rPr>
          <w:rFonts w:ascii="Times New Roman" w:eastAsia="Calibri" w:hAnsi="Times New Roman" w:cs="Times New Roman"/>
          <w:bCs/>
          <w:color w:val="000000" w:themeColor="text1"/>
        </w:rPr>
        <w:t>il sistema di qualificazione del contraente generale, basato su classifiche, effettuate in base all'importo lordo delle procedure di aggiudicazione alle quali il contraente generale può partecipare.</w:t>
      </w:r>
      <w:r w:rsidRPr="004A5029">
        <w:rPr>
          <w:rFonts w:ascii="Times New Roman" w:eastAsia="Calibri" w:hAnsi="Times New Roman" w:cs="Times New Roman"/>
          <w:color w:val="000000" w:themeColor="text1"/>
        </w:rPr>
        <w:t xml:space="preserve"> </w:t>
      </w:r>
      <w:r w:rsidRPr="004A5029">
        <w:rPr>
          <w:rFonts w:ascii="Times New Roman" w:eastAsia="Calibri" w:hAnsi="Times New Roman" w:cs="Times New Roman"/>
          <w:bCs/>
          <w:color w:val="000000" w:themeColor="text1"/>
        </w:rPr>
        <w:t>Il contraente generale non può partecipare a procedure</w:t>
      </w:r>
      <w:r w:rsidRPr="004A5029">
        <w:rPr>
          <w:rFonts w:ascii="Times New Roman" w:eastAsia="Calibri" w:hAnsi="Times New Roman" w:cs="Times New Roman"/>
          <w:color w:val="000000" w:themeColor="text1"/>
        </w:rPr>
        <w:t xml:space="preserve"> di importo lordo superiore a quello della classifica di iscrizione, attestata con il sistema di cui al presente articolo, </w:t>
      </w:r>
      <w:r w:rsidRPr="004A5029">
        <w:rPr>
          <w:rFonts w:ascii="Times New Roman" w:eastAsia="Calibri" w:hAnsi="Times New Roman" w:cs="Times New Roman"/>
          <w:bCs/>
          <w:color w:val="000000" w:themeColor="text1"/>
        </w:rPr>
        <w:t>ma può unirsi ad altro contraente generale al fine di conseguire congiuntamente la classifica necessaria per partecipare.</w:t>
      </w:r>
    </w:p>
    <w:p w14:paraId="1521CD26" w14:textId="1E2B728A" w:rsidR="0083753D" w:rsidRPr="004A5029" w:rsidRDefault="0083753D" w:rsidP="0083753D">
      <w:pPr>
        <w:pStyle w:val="Paragrafoelenco"/>
        <w:ind w:left="0"/>
        <w:jc w:val="both"/>
        <w:rPr>
          <w:rStyle w:val="normaltextrun"/>
          <w:rFonts w:ascii="Times New Roman" w:hAnsi="Times New Roman" w:cs="Times New Roman"/>
          <w:i/>
          <w:iCs/>
          <w:color w:val="000000" w:themeColor="text1"/>
          <w:shd w:val="clear" w:color="auto" w:fill="FFFFFF"/>
        </w:rPr>
      </w:pPr>
      <w:r w:rsidRPr="004A5029">
        <w:rPr>
          <w:rFonts w:ascii="Times New Roman" w:eastAsia="Calibri" w:hAnsi="Times New Roman" w:cs="Times New Roman"/>
          <w:color w:val="000000" w:themeColor="text1"/>
        </w:rPr>
        <w:t>3</w:t>
      </w:r>
      <w:r w:rsidRPr="004A5029">
        <w:rPr>
          <w:rFonts w:ascii="Times New Roman" w:eastAsia="Calibri" w:hAnsi="Times New Roman" w:cs="Times New Roman"/>
          <w:bCs/>
          <w:color w:val="000000" w:themeColor="text1"/>
        </w:rPr>
        <w:t xml:space="preserve">. In via transitoria, fino alla data di entrata in vigore del regolamento di cui al comma 2, la qualità di contraente generale è attestata dal Ministro </w:t>
      </w:r>
      <w:r w:rsidRPr="004A5029">
        <w:rPr>
          <w:rFonts w:ascii="Times New Roman" w:eastAsia="Calibri" w:hAnsi="Times New Roman" w:cs="Times New Roman"/>
          <w:color w:val="000000" w:themeColor="text1"/>
        </w:rPr>
        <w:t>delle infrastrutture e dei trasporti</w:t>
      </w:r>
      <w:r w:rsidRPr="004A5029">
        <w:rPr>
          <w:rFonts w:ascii="Times New Roman" w:eastAsia="Calibri" w:hAnsi="Times New Roman" w:cs="Times New Roman"/>
          <w:bCs/>
          <w:color w:val="000000" w:themeColor="text1"/>
        </w:rPr>
        <w:t xml:space="preserve"> dietro richiesta dell’interessato, con atto che conserva la sua efficacia per tre anni. Fino alla predetta data, quando il Ministero </w:t>
      </w:r>
      <w:r w:rsidR="003B7E17" w:rsidRPr="004A5029">
        <w:rPr>
          <w:rFonts w:ascii="Times New Roman" w:eastAsia="Calibri" w:hAnsi="Times New Roman" w:cs="Times New Roman"/>
          <w:b/>
          <w:bCs/>
          <w:color w:val="000000" w:themeColor="text1"/>
        </w:rPr>
        <w:t xml:space="preserve">delle infrastrutture e dei trasporti </w:t>
      </w:r>
      <w:r w:rsidRPr="004A5029">
        <w:rPr>
          <w:rFonts w:ascii="Times New Roman" w:eastAsia="Calibri" w:hAnsi="Times New Roman" w:cs="Times New Roman"/>
          <w:bCs/>
          <w:color w:val="000000" w:themeColor="text1"/>
        </w:rPr>
        <w:t>non provvede al tempestivo rilascio dell’attestazione, il contraente generale può partecipare alla procedura di gara e concludere il contratto esibendo la precedente attestazione di cui sia in possesso, anche se scaduta.</w:t>
      </w:r>
    </w:p>
    <w:p w14:paraId="51371A77" w14:textId="77777777" w:rsidR="0083753D" w:rsidRPr="004A5029" w:rsidRDefault="0083753D" w:rsidP="0083753D">
      <w:pPr>
        <w:rPr>
          <w:rFonts w:ascii="Times New Roman" w:hAnsi="Times New Roman" w:cs="Times New Roman"/>
          <w:color w:val="000000" w:themeColor="text1"/>
        </w:rPr>
      </w:pPr>
    </w:p>
    <w:p w14:paraId="53713633" w14:textId="77777777" w:rsidR="0083753D" w:rsidRPr="004A5029" w:rsidRDefault="0083753D" w:rsidP="0083753D">
      <w:pPr>
        <w:keepNext/>
        <w:keepLines/>
        <w:jc w:val="both"/>
        <w:outlineLvl w:val="0"/>
        <w:rPr>
          <w:rFonts w:ascii="Times New Roman" w:eastAsia="Calibri" w:hAnsi="Times New Roman" w:cs="Times New Roman"/>
          <w:b/>
          <w:bCs/>
          <w:color w:val="000000" w:themeColor="text1"/>
        </w:rPr>
      </w:pPr>
      <w:r w:rsidRPr="004A5029">
        <w:rPr>
          <w:rFonts w:ascii="Times New Roman" w:eastAsia="Calibri" w:hAnsi="Times New Roman" w:cs="Times New Roman"/>
          <w:b/>
          <w:bCs/>
          <w:color w:val="000000" w:themeColor="text1"/>
        </w:rPr>
        <w:t>Articolo 208.</w:t>
      </w:r>
    </w:p>
    <w:p w14:paraId="20C2DBD3" w14:textId="77777777" w:rsidR="0083753D" w:rsidRPr="004A5029" w:rsidRDefault="0083753D" w:rsidP="0083753D">
      <w:pPr>
        <w:keepNext/>
        <w:keepLines/>
        <w:jc w:val="both"/>
        <w:outlineLvl w:val="0"/>
        <w:rPr>
          <w:rFonts w:ascii="Times New Roman" w:eastAsiaTheme="majorEastAsia" w:hAnsi="Times New Roman" w:cs="Times New Roman"/>
          <w:i/>
          <w:color w:val="000000" w:themeColor="text1"/>
        </w:rPr>
      </w:pPr>
      <w:r w:rsidRPr="004A5029">
        <w:rPr>
          <w:rFonts w:ascii="Times New Roman" w:eastAsia="Calibri" w:hAnsi="Times New Roman" w:cs="Times New Roman"/>
          <w:bCs/>
          <w:i/>
          <w:color w:val="000000" w:themeColor="text1"/>
        </w:rPr>
        <w:t>Servizi globali su beni immobili.</w:t>
      </w:r>
    </w:p>
    <w:p w14:paraId="06EB6219"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1. L’affidamento di servizi globali con oggetto beni immobili si realizza mediante la conclusione di un contratto col quale un operatore economico si obbliga, con organizzazione dei mezzi necessari e con gestione a proprio rischio, a consentire all’ente concedente il miglior godimento dei beni e a perseguire un determinato risultato amministrativo indicato nel bando e nel contratto in cambio di un corrispettivo determinato in relazione al risultato ottenuto e all’attività normalmente necessaria per ottenerlo.</w:t>
      </w:r>
    </w:p>
    <w:p w14:paraId="744A49BA"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2. Il bando di gara e il contratto stabiliscono:</w:t>
      </w:r>
    </w:p>
    <w:p w14:paraId="58C416B2"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a) i criteri di determinazione e di riduzione del corrispettivo spettante all’operatore economico in base al risultato ottenuto e alle prestazioni rese;</w:t>
      </w:r>
    </w:p>
    <w:p w14:paraId="570A6976" w14:textId="77777777" w:rsidR="0083753D" w:rsidRPr="004A5029" w:rsidRDefault="0083753D" w:rsidP="0083753D">
      <w:pPr>
        <w:jc w:val="both"/>
        <w:rPr>
          <w:rFonts w:ascii="Times New Roman" w:eastAsia="Calibri" w:hAnsi="Times New Roman" w:cs="Times New Roman"/>
          <w:color w:val="000000" w:themeColor="text1"/>
        </w:rPr>
      </w:pPr>
      <w:r w:rsidRPr="004A5029">
        <w:rPr>
          <w:rFonts w:ascii="Times New Roman" w:eastAsia="Calibri" w:hAnsi="Times New Roman" w:cs="Times New Roman"/>
          <w:color w:val="000000" w:themeColor="text1"/>
        </w:rPr>
        <w:t xml:space="preserve">b) i modi e i tempi di pagamento del corrispettivo; </w:t>
      </w:r>
    </w:p>
    <w:p w14:paraId="77737545"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eastAsia="Calibri" w:hAnsi="Times New Roman" w:cs="Times New Roman"/>
          <w:color w:val="000000" w:themeColor="text1"/>
        </w:rPr>
        <w:t>c) i modi di attribuzione alle parti degli eventuali oneri sopravvenuti, incidenti sul corrispettivo e derivanti da disposizioni normative o da provvedimenti di altre autorità.</w:t>
      </w:r>
    </w:p>
    <w:p w14:paraId="2ECA4736"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eastAsia="Calibri" w:hAnsi="Times New Roman" w:cs="Times New Roman"/>
          <w:bCs/>
          <w:color w:val="000000" w:themeColor="text1"/>
        </w:rPr>
        <w:t>3. L'aggiudicazione avviene secondo il criterio dell'offerta economicamente più vantaggiosa, tenendo conto in particolare di ogni elemento idoneo al miglior perseguimento del risultato amministrativo dedotto nel contratto.</w:t>
      </w:r>
    </w:p>
    <w:p w14:paraId="46415817" w14:textId="77777777" w:rsidR="0083753D" w:rsidRPr="004A5029" w:rsidRDefault="0083753D" w:rsidP="0083753D">
      <w:pPr>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4.  Si applica l’articolo 204, commi 11, 12, 13, 14 e 18.</w:t>
      </w:r>
    </w:p>
    <w:p w14:paraId="732434A0" w14:textId="77777777" w:rsidR="0083753D" w:rsidRPr="004A5029" w:rsidRDefault="0083753D" w:rsidP="0083753D">
      <w:pPr>
        <w:rPr>
          <w:rFonts w:ascii="Times New Roman" w:hAnsi="Times New Roman" w:cs="Times New Roman"/>
          <w:color w:val="000000" w:themeColor="text1"/>
        </w:rPr>
      </w:pPr>
    </w:p>
    <w:p w14:paraId="2328BB07" w14:textId="77777777" w:rsidR="0083753D" w:rsidRPr="004A5029" w:rsidRDefault="0083753D">
      <w:pPr>
        <w:rPr>
          <w:rFonts w:ascii="Times New Roman" w:hAnsi="Times New Roman" w:cs="Times New Roman"/>
          <w:color w:val="000000" w:themeColor="text1"/>
        </w:rPr>
      </w:pPr>
      <w:r w:rsidRPr="004A5029">
        <w:rPr>
          <w:rFonts w:ascii="Times New Roman" w:hAnsi="Times New Roman" w:cs="Times New Roman"/>
          <w:color w:val="000000" w:themeColor="text1"/>
        </w:rPr>
        <w:br w:type="page"/>
      </w:r>
    </w:p>
    <w:p w14:paraId="4D8B0305" w14:textId="77777777" w:rsidR="0083753D" w:rsidRPr="004A5029" w:rsidRDefault="0083753D" w:rsidP="0083753D">
      <w:pPr>
        <w:jc w:val="center"/>
        <w:outlineLvl w:val="1"/>
        <w:rPr>
          <w:rFonts w:ascii="Times New Roman" w:hAnsi="Times New Roman" w:cs="Times New Roman"/>
          <w:b/>
          <w:bCs/>
          <w:color w:val="000000" w:themeColor="text1"/>
        </w:rPr>
      </w:pPr>
      <w:r w:rsidRPr="004A5029">
        <w:rPr>
          <w:rFonts w:ascii="Times New Roman" w:hAnsi="Times New Roman" w:cs="Times New Roman"/>
          <w:b/>
          <w:bCs/>
          <w:color w:val="000000" w:themeColor="text1"/>
        </w:rPr>
        <w:t>LIBRO V</w:t>
      </w:r>
    </w:p>
    <w:p w14:paraId="4E64C31F" w14:textId="53E0C3EE" w:rsidR="0083753D" w:rsidRPr="004A5029" w:rsidRDefault="0083753D" w:rsidP="0083753D">
      <w:pPr>
        <w:jc w:val="center"/>
        <w:outlineLvl w:val="1"/>
        <w:rPr>
          <w:rFonts w:ascii="Times New Roman" w:hAnsi="Times New Roman" w:cs="Times New Roman"/>
          <w:b/>
          <w:bCs/>
          <w:color w:val="000000" w:themeColor="text1"/>
        </w:rPr>
      </w:pPr>
      <w:r w:rsidRPr="004A5029">
        <w:rPr>
          <w:rFonts w:ascii="Times New Roman" w:hAnsi="Times New Roman" w:cs="Times New Roman"/>
          <w:b/>
          <w:bCs/>
          <w:color w:val="000000" w:themeColor="text1"/>
        </w:rPr>
        <w:t>DEL CONTENZIOSO E DELL’AUTORIT</w:t>
      </w:r>
      <w:r w:rsidR="578AEF66" w:rsidRPr="004A5029">
        <w:rPr>
          <w:rFonts w:ascii="Times New Roman" w:hAnsi="Times New Roman" w:cs="Times New Roman"/>
          <w:b/>
          <w:bCs/>
          <w:color w:val="000000" w:themeColor="text1"/>
        </w:rPr>
        <w:t>À</w:t>
      </w:r>
      <w:r w:rsidRPr="004A5029">
        <w:rPr>
          <w:rFonts w:ascii="Times New Roman" w:hAnsi="Times New Roman" w:cs="Times New Roman"/>
          <w:b/>
          <w:bCs/>
          <w:color w:val="000000" w:themeColor="text1"/>
        </w:rPr>
        <w:t xml:space="preserve"> NAZIONALE ANTICORRUZIONE. DISPOSIZIONI FINALI E TRANSITORIE</w:t>
      </w:r>
    </w:p>
    <w:p w14:paraId="05ABD91B" w14:textId="77777777" w:rsidR="0083753D" w:rsidRPr="004A5029" w:rsidRDefault="0083753D" w:rsidP="0083753D">
      <w:pPr>
        <w:jc w:val="center"/>
        <w:outlineLvl w:val="1"/>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I</w:t>
      </w:r>
    </w:p>
    <w:p w14:paraId="044DE2EC" w14:textId="777B6DBF" w:rsidR="0083753D" w:rsidRPr="004A5029" w:rsidRDefault="0083753D" w:rsidP="0083753D">
      <w:pPr>
        <w:jc w:val="center"/>
        <w:outlineLvl w:val="1"/>
        <w:rPr>
          <w:rFonts w:ascii="Times New Roman" w:hAnsi="Times New Roman" w:cs="Times New Roman"/>
          <w:b/>
          <w:bCs/>
          <w:color w:val="000000" w:themeColor="text1"/>
        </w:rPr>
      </w:pPr>
      <w:r w:rsidRPr="004A5029">
        <w:rPr>
          <w:rFonts w:ascii="Times New Roman" w:hAnsi="Times New Roman" w:cs="Times New Roman"/>
          <w:b/>
          <w:bCs/>
          <w:color w:val="000000" w:themeColor="text1"/>
        </w:rPr>
        <w:t>DEL CONTENZIOSO</w:t>
      </w:r>
    </w:p>
    <w:p w14:paraId="56F8BD54" w14:textId="77777777" w:rsidR="0083753D" w:rsidRPr="004A5029" w:rsidRDefault="0083753D" w:rsidP="0083753D">
      <w:pPr>
        <w:jc w:val="center"/>
        <w:outlineLvl w:val="1"/>
        <w:rPr>
          <w:rFonts w:ascii="Times New Roman" w:hAnsi="Times New Roman" w:cs="Times New Roman"/>
          <w:b/>
          <w:bCs/>
          <w:color w:val="000000" w:themeColor="text1"/>
        </w:rPr>
      </w:pPr>
      <w:r w:rsidRPr="004A5029">
        <w:rPr>
          <w:rFonts w:ascii="Times New Roman" w:hAnsi="Times New Roman" w:cs="Times New Roman"/>
          <w:b/>
          <w:bCs/>
          <w:color w:val="000000" w:themeColor="text1"/>
        </w:rPr>
        <w:t>Titolo I</w:t>
      </w:r>
    </w:p>
    <w:p w14:paraId="45AFC6DC" w14:textId="77777777" w:rsidR="0083753D" w:rsidRPr="004A5029" w:rsidRDefault="0083753D" w:rsidP="0083753D">
      <w:pPr>
        <w:jc w:val="center"/>
        <w:outlineLvl w:val="1"/>
        <w:rPr>
          <w:rFonts w:ascii="Times New Roman" w:eastAsia="Times New Roman" w:hAnsi="Times New Roman" w:cs="Times New Roman"/>
          <w:b/>
          <w:bCs/>
          <w:color w:val="000000" w:themeColor="text1"/>
        </w:rPr>
      </w:pPr>
      <w:r w:rsidRPr="004A5029">
        <w:rPr>
          <w:rFonts w:ascii="Times New Roman" w:hAnsi="Times New Roman" w:cs="Times New Roman"/>
          <w:b/>
          <w:bCs/>
          <w:color w:val="000000" w:themeColor="text1"/>
        </w:rPr>
        <w:t>I ricorsi giurisdizionali</w:t>
      </w:r>
    </w:p>
    <w:p w14:paraId="256AC6DA" w14:textId="77777777" w:rsidR="0083753D" w:rsidRPr="004A5029" w:rsidRDefault="0083753D" w:rsidP="0083753D">
      <w:pPr>
        <w:rPr>
          <w:rFonts w:ascii="Times New Roman" w:eastAsia="Times New Roman" w:hAnsi="Times New Roman" w:cs="Times New Roman"/>
          <w:color w:val="000000" w:themeColor="text1"/>
        </w:rPr>
      </w:pPr>
    </w:p>
    <w:p w14:paraId="7D19B82E" w14:textId="77777777" w:rsidR="0083753D" w:rsidRPr="004A5029" w:rsidRDefault="0083753D" w:rsidP="0083753D">
      <w:pPr>
        <w:jc w:val="both"/>
        <w:rPr>
          <w:rFonts w:ascii="Times New Roman" w:hAnsi="Times New Roman" w:cs="Times New Roman"/>
          <w:b/>
          <w:color w:val="000000" w:themeColor="text1"/>
        </w:rPr>
      </w:pPr>
      <w:r w:rsidRPr="004A5029">
        <w:rPr>
          <w:rFonts w:ascii="Times New Roman" w:hAnsi="Times New Roman" w:cs="Times New Roman"/>
          <w:b/>
          <w:color w:val="000000" w:themeColor="text1"/>
        </w:rPr>
        <w:t>Articolo 209.</w:t>
      </w:r>
    </w:p>
    <w:p w14:paraId="4451BA92" w14:textId="7BA06415"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Modifiche al codice del processo amministrativo di cui all'allegato 1 al decreto legislativo 2 luglio 2010, n.</w:t>
      </w:r>
      <w:r w:rsidR="0D900A5B" w:rsidRPr="004A5029">
        <w:rPr>
          <w:rFonts w:ascii="Times New Roman" w:hAnsi="Times New Roman" w:cs="Times New Roman"/>
          <w:i/>
          <w:iCs/>
          <w:color w:val="000000" w:themeColor="text1"/>
        </w:rPr>
        <w:t xml:space="preserve"> </w:t>
      </w:r>
      <w:r w:rsidRPr="004A5029">
        <w:rPr>
          <w:rFonts w:ascii="Times New Roman" w:hAnsi="Times New Roman" w:cs="Times New Roman"/>
          <w:i/>
          <w:iCs/>
          <w:color w:val="000000" w:themeColor="text1"/>
        </w:rPr>
        <w:t>104.</w:t>
      </w:r>
    </w:p>
    <w:p w14:paraId="3295F15F" w14:textId="2EDD7870"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color w:val="000000" w:themeColor="text1"/>
        </w:rPr>
        <w:t xml:space="preserve">1. Al codice del processo amministrativo, di cui all'allegato 1 al decreto legislativo 2 luglio 2010, n. 104, sono apportate le </w:t>
      </w:r>
      <w:r w:rsidR="00FE1836" w:rsidRPr="004A5029">
        <w:rPr>
          <w:rFonts w:ascii="Times New Roman" w:hAnsi="Times New Roman" w:cs="Times New Roman"/>
          <w:bCs/>
          <w:color w:val="000000" w:themeColor="text1"/>
        </w:rPr>
        <w:t xml:space="preserve">seguenti </w:t>
      </w:r>
      <w:r w:rsidRPr="004A5029">
        <w:rPr>
          <w:rFonts w:ascii="Times New Roman" w:hAnsi="Times New Roman" w:cs="Times New Roman"/>
          <w:bCs/>
          <w:color w:val="000000" w:themeColor="text1"/>
        </w:rPr>
        <w:t>modificazioni</w:t>
      </w:r>
      <w:r w:rsidR="00FE1836" w:rsidRPr="004A5029">
        <w:rPr>
          <w:rFonts w:ascii="Times New Roman" w:hAnsi="Times New Roman" w:cs="Times New Roman"/>
          <w:bCs/>
          <w:color w:val="000000" w:themeColor="text1"/>
        </w:rPr>
        <w:t>:</w:t>
      </w:r>
    </w:p>
    <w:p w14:paraId="336ABB62" w14:textId="57251B17" w:rsidR="0083753D" w:rsidRPr="004A5029" w:rsidRDefault="00FE1836" w:rsidP="0083753D">
      <w:pPr>
        <w:rPr>
          <w:rFonts w:ascii="Times New Roman" w:hAnsi="Times New Roman" w:cs="Times New Roman"/>
          <w:color w:val="000000" w:themeColor="text1"/>
        </w:rPr>
      </w:pPr>
      <w:r w:rsidRPr="004A5029">
        <w:rPr>
          <w:rFonts w:ascii="Times New Roman" w:hAnsi="Times New Roman" w:cs="Times New Roman"/>
          <w:color w:val="000000" w:themeColor="text1"/>
        </w:rPr>
        <w:t>a) l</w:t>
      </w:r>
      <w:r w:rsidR="0083753D" w:rsidRPr="004A5029">
        <w:rPr>
          <w:rFonts w:ascii="Times New Roman" w:hAnsi="Times New Roman" w:cs="Times New Roman"/>
          <w:color w:val="000000" w:themeColor="text1"/>
        </w:rPr>
        <w:t>’articolo 120 è sostituito dal seguente:</w:t>
      </w:r>
      <w:r w:rsidR="005173E5" w:rsidRPr="004A5029">
        <w:rPr>
          <w:rFonts w:ascii="Times New Roman" w:hAnsi="Times New Roman" w:cs="Times New Roman"/>
          <w:color w:val="000000" w:themeColor="text1"/>
        </w:rPr>
        <w:t xml:space="preserve"> </w:t>
      </w:r>
    </w:p>
    <w:p w14:paraId="14DD94BA" w14:textId="463C1487" w:rsidR="0083753D" w:rsidRPr="004A5029" w:rsidRDefault="005173E5" w:rsidP="00E72484">
      <w:pPr>
        <w:jc w:val="both"/>
        <w:rPr>
          <w:rFonts w:ascii="Times New Roman" w:hAnsi="Times New Roman" w:cs="Times New Roman"/>
          <w:color w:val="000000" w:themeColor="text1"/>
        </w:rPr>
      </w:pPr>
      <w:r w:rsidRPr="009F04A1">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w:t>
      </w:r>
      <w:r w:rsidR="0083753D" w:rsidRPr="004A5029">
        <w:rPr>
          <w:rFonts w:ascii="Times New Roman" w:hAnsi="Times New Roman" w:cs="Times New Roman"/>
          <w:color w:val="000000" w:themeColor="text1"/>
        </w:rPr>
        <w:t>Art</w:t>
      </w:r>
      <w:r w:rsidR="004E496C" w:rsidRPr="004A5029">
        <w:rPr>
          <w:rFonts w:ascii="Times New Roman" w:hAnsi="Times New Roman" w:cs="Times New Roman"/>
          <w:color w:val="000000" w:themeColor="text1"/>
        </w:rPr>
        <w:t>.</w:t>
      </w:r>
      <w:r w:rsidR="0083753D" w:rsidRPr="004A5029">
        <w:rPr>
          <w:rFonts w:ascii="Times New Roman" w:hAnsi="Times New Roman" w:cs="Times New Roman"/>
          <w:b/>
          <w:bCs/>
          <w:strike/>
          <w:color w:val="000000" w:themeColor="text1"/>
        </w:rPr>
        <w:t>icolo</w:t>
      </w:r>
      <w:r w:rsidR="0083753D" w:rsidRPr="004A5029">
        <w:rPr>
          <w:rFonts w:ascii="Times New Roman" w:hAnsi="Times New Roman" w:cs="Times New Roman"/>
          <w:color w:val="000000" w:themeColor="text1"/>
        </w:rPr>
        <w:t xml:space="preserve"> 120</w:t>
      </w:r>
      <w:r w:rsidR="00E72484" w:rsidRPr="004A5029">
        <w:rPr>
          <w:rFonts w:ascii="Times New Roman" w:hAnsi="Times New Roman" w:cs="Times New Roman"/>
          <w:color w:val="000000" w:themeColor="text1"/>
        </w:rPr>
        <w:t xml:space="preserve"> </w:t>
      </w:r>
      <w:r w:rsidR="00E72484" w:rsidRPr="009F04A1">
        <w:rPr>
          <w:rFonts w:ascii="Times New Roman" w:hAnsi="Times New Roman" w:cs="Times New Roman"/>
          <w:color w:val="000000" w:themeColor="text1"/>
        </w:rPr>
        <w:t xml:space="preserve">– </w:t>
      </w:r>
      <w:r w:rsidR="00E72484" w:rsidRPr="009F04A1">
        <w:rPr>
          <w:rFonts w:ascii="Times New Roman" w:hAnsi="Times New Roman" w:cs="Times New Roman"/>
          <w:i/>
          <w:iCs/>
          <w:color w:val="000000" w:themeColor="text1"/>
        </w:rPr>
        <w:t>(</w:t>
      </w:r>
      <w:r w:rsidR="0083753D" w:rsidRPr="009F04A1">
        <w:rPr>
          <w:rFonts w:ascii="Times New Roman" w:hAnsi="Times New Roman" w:cs="Times New Roman"/>
          <w:i/>
          <w:color w:val="000000" w:themeColor="text1"/>
        </w:rPr>
        <w:t>Disposizioni specifiche ai giudizi di cui all'articolo 119, comma 1, lettera a)</w:t>
      </w:r>
      <w:r w:rsidR="00E72484" w:rsidRPr="009F04A1">
        <w:rPr>
          <w:rFonts w:ascii="Times New Roman" w:hAnsi="Times New Roman" w:cs="Times New Roman"/>
          <w:i/>
          <w:iCs/>
          <w:color w:val="000000" w:themeColor="text1"/>
        </w:rPr>
        <w:t>)</w:t>
      </w:r>
      <w:r w:rsidR="00E72484" w:rsidRPr="009F04A1">
        <w:rPr>
          <w:rFonts w:ascii="Times New Roman" w:hAnsi="Times New Roman" w:cs="Times New Roman"/>
          <w:color w:val="000000" w:themeColor="text1"/>
        </w:rPr>
        <w:t xml:space="preserve"> –</w:t>
      </w:r>
      <w:r w:rsidR="00E72484" w:rsidRPr="004A5029">
        <w:rPr>
          <w:rFonts w:ascii="Times New Roman" w:hAnsi="Times New Roman" w:cs="Times New Roman"/>
          <w:b/>
          <w:bCs/>
          <w:color w:val="000000" w:themeColor="text1"/>
        </w:rPr>
        <w:t xml:space="preserve"> </w:t>
      </w:r>
      <w:r w:rsidR="0083753D" w:rsidRPr="004A5029">
        <w:rPr>
          <w:rFonts w:ascii="Times New Roman" w:hAnsi="Times New Roman" w:cs="Times New Roman"/>
          <w:i/>
          <w:iCs/>
          <w:color w:val="000000" w:themeColor="text1"/>
        </w:rPr>
        <w:t>1.</w:t>
      </w:r>
      <w:r w:rsidR="0083753D" w:rsidRPr="004A5029">
        <w:rPr>
          <w:rFonts w:ascii="Times New Roman" w:hAnsi="Times New Roman" w:cs="Times New Roman"/>
          <w:color w:val="000000" w:themeColor="text1"/>
        </w:rPr>
        <w:t xml:space="preserve"> Gli atti delle procedure di affidamento e di concessione disciplinate dal codice dei contratti pubblici</w:t>
      </w:r>
      <w:r w:rsidR="00422AFC" w:rsidRPr="004A5029">
        <w:rPr>
          <w:rFonts w:ascii="Times New Roman" w:hAnsi="Times New Roman" w:cs="Times New Roman"/>
          <w:b/>
          <w:bCs/>
          <w:color w:val="000000" w:themeColor="text1"/>
        </w:rPr>
        <w:t>,</w:t>
      </w:r>
      <w:r w:rsidR="009C7F3E" w:rsidRPr="004A5029">
        <w:rPr>
          <w:rFonts w:ascii="Times New Roman" w:hAnsi="Times New Roman" w:cs="Times New Roman"/>
          <w:b/>
          <w:bCs/>
          <w:color w:val="000000" w:themeColor="text1"/>
        </w:rPr>
        <w:t xml:space="preserve"> di cui al decreto legislativo di attuazione della legge 21 giugno 2022, n. 78</w:t>
      </w:r>
      <w:r w:rsidR="0083753D" w:rsidRPr="004A5029">
        <w:rPr>
          <w:rFonts w:ascii="Times New Roman" w:hAnsi="Times New Roman" w:cs="Times New Roman"/>
          <w:color w:val="000000" w:themeColor="text1"/>
        </w:rPr>
        <w:t xml:space="preserve">, comprese le procedure di affidamento di incarichi e concorsi di progettazione e di attività tecnico-amministrative a esse connesse, i quali siano relativi a pubblici lavori, servizi o forniture, nonché i provvedimenti dell'Autorità nazionale anticorruzione in materia di contratti pubblici, sono impugnabili unicamente mediante ricorso al tribunale amministrativo regionale competente. </w:t>
      </w:r>
      <w:r w:rsidR="0083753D" w:rsidRPr="004A5029">
        <w:rPr>
          <w:rFonts w:ascii="Times New Roman" w:hAnsi="Times New Roman" w:cs="Times New Roman"/>
          <w:bCs/>
          <w:color w:val="000000" w:themeColor="text1"/>
        </w:rPr>
        <w:t>In tutti gli atti di parte e in tutti i provvedimenti del giudice è indicato il codice identificativo di gara (CIG); nel caso di mancata indicazione il giudice procede in ogni caso e anche d’ufficio, su segnalazione della segreteria, ai sensi dell’art</w:t>
      </w:r>
      <w:r w:rsidR="00C3506D" w:rsidRPr="004A5029">
        <w:rPr>
          <w:rFonts w:ascii="Times New Roman" w:hAnsi="Times New Roman" w:cs="Times New Roman"/>
          <w:bCs/>
          <w:color w:val="000000" w:themeColor="text1"/>
        </w:rPr>
        <w:t>icolo</w:t>
      </w:r>
      <w:r w:rsidR="0083753D" w:rsidRPr="004A5029">
        <w:rPr>
          <w:rFonts w:ascii="Times New Roman" w:hAnsi="Times New Roman" w:cs="Times New Roman"/>
          <w:bCs/>
          <w:color w:val="000000" w:themeColor="text1"/>
        </w:rPr>
        <w:t xml:space="preserve"> 86, comma 1.</w:t>
      </w:r>
    </w:p>
    <w:p w14:paraId="387BB0AC" w14:textId="732274A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2.</w:t>
      </w:r>
      <w:r w:rsidRPr="004A5029">
        <w:rPr>
          <w:rFonts w:ascii="Times New Roman" w:hAnsi="Times New Roman" w:cs="Times New Roman"/>
          <w:color w:val="000000" w:themeColor="text1"/>
        </w:rPr>
        <w:t xml:space="preserve"> Per l’impugnazione degli atti di cui al presente articolo il ricorso, principale o incidentale, e i motivi aggiunti, anche avverso atti diversi da quelli già impugnati, sono proposti nel termine di </w:t>
      </w:r>
      <w:r w:rsidRPr="004A5029">
        <w:rPr>
          <w:rFonts w:ascii="Times New Roman" w:hAnsi="Times New Roman" w:cs="Times New Roman"/>
          <w:b/>
          <w:bCs/>
          <w:strike/>
          <w:color w:val="000000" w:themeColor="text1"/>
        </w:rPr>
        <w:t>30</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trenta </w:t>
      </w:r>
      <w:r w:rsidRPr="004A5029">
        <w:rPr>
          <w:rFonts w:ascii="Times New Roman" w:hAnsi="Times New Roman" w:cs="Times New Roman"/>
          <w:color w:val="000000" w:themeColor="text1"/>
        </w:rPr>
        <w:t>giorni</w:t>
      </w:r>
      <w:r w:rsidRPr="004A5029">
        <w:rPr>
          <w:rFonts w:ascii="Times New Roman" w:hAnsi="Times New Roman" w:cs="Times New Roman"/>
          <w:bCs/>
          <w:color w:val="000000" w:themeColor="text1"/>
        </w:rPr>
        <w:t>. Il termine decorre</w:t>
      </w:r>
      <w:r w:rsidRPr="004A5029">
        <w:rPr>
          <w:rFonts w:ascii="Times New Roman" w:hAnsi="Times New Roman" w:cs="Times New Roman"/>
          <w:color w:val="000000" w:themeColor="text1"/>
        </w:rPr>
        <w:t>, per il ricorso principale e per i motivi aggiunti, dalla ricezione della comunicazione di cui all’articolo 90 del codice dei contratti pubblici</w:t>
      </w:r>
      <w:r w:rsidR="001046CC" w:rsidRPr="004A5029">
        <w:rPr>
          <w:rFonts w:ascii="Times New Roman" w:hAnsi="Times New Roman" w:cs="Times New Roman"/>
          <w:b/>
          <w:bCs/>
          <w:color w:val="000000" w:themeColor="text1"/>
        </w:rPr>
        <w:t xml:space="preserve">, di cui al decreto legislativo di attuazione della legge </w:t>
      </w:r>
      <w:r w:rsidR="00272CD4">
        <w:rPr>
          <w:rFonts w:ascii="Times New Roman" w:hAnsi="Times New Roman" w:cs="Times New Roman"/>
          <w:b/>
          <w:bCs/>
          <w:color w:val="000000" w:themeColor="text1"/>
        </w:rPr>
        <w:t xml:space="preserve">n. 78 del </w:t>
      </w:r>
      <w:r w:rsidR="001046CC" w:rsidRPr="004A5029">
        <w:rPr>
          <w:rFonts w:ascii="Times New Roman" w:hAnsi="Times New Roman" w:cs="Times New Roman"/>
          <w:b/>
          <w:bCs/>
          <w:color w:val="000000" w:themeColor="text1"/>
        </w:rPr>
        <w:t>2022</w:t>
      </w:r>
      <w:r w:rsidRPr="004A5029">
        <w:rPr>
          <w:rFonts w:ascii="Times New Roman" w:hAnsi="Times New Roman" w:cs="Times New Roman"/>
          <w:b/>
          <w:bCs/>
          <w:color w:val="000000" w:themeColor="text1"/>
        </w:rPr>
        <w:t xml:space="preserve"> </w:t>
      </w:r>
      <w:r w:rsidRPr="004A5029">
        <w:rPr>
          <w:rFonts w:ascii="Times New Roman" w:hAnsi="Times New Roman" w:cs="Times New Roman"/>
          <w:color w:val="000000" w:themeColor="text1"/>
        </w:rPr>
        <w:t xml:space="preserve">oppure dal momento in cui gli atti sono messi a disposizione </w:t>
      </w:r>
      <w:r w:rsidRPr="004A5029">
        <w:rPr>
          <w:rFonts w:ascii="Times New Roman" w:hAnsi="Times New Roman" w:cs="Times New Roman"/>
          <w:bCs/>
          <w:color w:val="000000" w:themeColor="text1"/>
        </w:rPr>
        <w:t xml:space="preserve">ai sensi dell’articolo 36, commi 1 e 2, del </w:t>
      </w:r>
      <w:r w:rsidR="001046CC" w:rsidRPr="004A5029">
        <w:rPr>
          <w:rFonts w:ascii="Times New Roman" w:hAnsi="Times New Roman" w:cs="Times New Roman"/>
          <w:b/>
          <w:bCs/>
          <w:color w:val="000000" w:themeColor="text1"/>
        </w:rPr>
        <w:t>medesimo</w:t>
      </w:r>
      <w:r w:rsidR="001046CC" w:rsidRPr="004A5029">
        <w:rPr>
          <w:rFonts w:ascii="Times New Roman" w:hAnsi="Times New Roman" w:cs="Times New Roman"/>
          <w:bCs/>
          <w:color w:val="000000" w:themeColor="text1"/>
        </w:rPr>
        <w:t xml:space="preserve"> </w:t>
      </w:r>
      <w:r w:rsidRPr="004A5029">
        <w:rPr>
          <w:rFonts w:ascii="Times New Roman" w:hAnsi="Times New Roman" w:cs="Times New Roman"/>
          <w:bCs/>
          <w:color w:val="000000" w:themeColor="text1"/>
        </w:rPr>
        <w:t>codice</w:t>
      </w:r>
      <w:r w:rsidRPr="004A5029">
        <w:rPr>
          <w:rFonts w:ascii="Times New Roman" w:hAnsi="Times New Roman" w:cs="Times New Roman"/>
          <w:bCs/>
          <w:strike/>
          <w:color w:val="000000" w:themeColor="text1"/>
        </w:rPr>
        <w:t xml:space="preserve"> </w:t>
      </w:r>
      <w:r w:rsidRPr="004A5029">
        <w:rPr>
          <w:rFonts w:ascii="Times New Roman" w:hAnsi="Times New Roman" w:cs="Times New Roman"/>
          <w:b/>
          <w:strike/>
          <w:color w:val="000000" w:themeColor="text1"/>
        </w:rPr>
        <w:t>dei contratti pubblici</w:t>
      </w:r>
      <w:r w:rsidRPr="004A5029">
        <w:rPr>
          <w:rFonts w:ascii="Times New Roman" w:hAnsi="Times New Roman" w:cs="Times New Roman"/>
          <w:bCs/>
          <w:color w:val="000000" w:themeColor="text1"/>
        </w:rPr>
        <w:t>. Per i bandi e gli avvisi con cui si indice una gara che siano autonomamente lesivi, il termine decorre dalla pubblicazione di cui agli articoli 84 e 85 del codice dei contratti pubblici</w:t>
      </w:r>
      <w:r w:rsidR="001046CC" w:rsidRPr="004A5029">
        <w:rPr>
          <w:rFonts w:ascii="Times New Roman" w:hAnsi="Times New Roman" w:cs="Times New Roman"/>
          <w:b/>
          <w:bCs/>
          <w:color w:val="000000" w:themeColor="text1"/>
        </w:rPr>
        <w:t xml:space="preserve">, di cui al decreto legislativo di attuazione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Fonts w:ascii="Times New Roman" w:hAnsi="Times New Roman" w:cs="Times New Roman"/>
          <w:bCs/>
          <w:color w:val="000000" w:themeColor="text1"/>
        </w:rPr>
        <w:t xml:space="preserve">. </w:t>
      </w:r>
      <w:r w:rsidRPr="004A5029">
        <w:rPr>
          <w:rFonts w:ascii="Times New Roman" w:hAnsi="Times New Roman" w:cs="Times New Roman"/>
          <w:color w:val="000000" w:themeColor="text1"/>
        </w:rPr>
        <w:t>Il ricorso incidentale è disciplinato dall’articolo 42.</w:t>
      </w:r>
    </w:p>
    <w:p w14:paraId="68C42E49" w14:textId="5A46A7DF"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3.</w:t>
      </w:r>
      <w:r w:rsidRPr="004A5029">
        <w:rPr>
          <w:rFonts w:ascii="Times New Roman" w:hAnsi="Times New Roman" w:cs="Times New Roman"/>
          <w:color w:val="000000" w:themeColor="text1"/>
        </w:rPr>
        <w:t xml:space="preserve"> Nel caso in cui sia mancata la pubblicità del bando, il ricorso è comunque proposto entro </w:t>
      </w:r>
      <w:r w:rsidR="004E4B92" w:rsidRPr="004A5029">
        <w:rPr>
          <w:rFonts w:ascii="Times New Roman" w:hAnsi="Times New Roman" w:cs="Times New Roman"/>
          <w:b/>
          <w:bCs/>
          <w:strike/>
          <w:color w:val="000000" w:themeColor="text1"/>
        </w:rPr>
        <w:t>30</w:t>
      </w:r>
      <w:r w:rsidR="004E4B92" w:rsidRPr="004A5029">
        <w:rPr>
          <w:rFonts w:ascii="Times New Roman" w:hAnsi="Times New Roman" w:cs="Times New Roman"/>
          <w:b/>
          <w:bCs/>
          <w:color w:val="000000" w:themeColor="text1"/>
        </w:rPr>
        <w:t xml:space="preserve"> trenta</w:t>
      </w:r>
      <w:r w:rsidRPr="004A5029">
        <w:rPr>
          <w:rFonts w:ascii="Times New Roman" w:hAnsi="Times New Roman" w:cs="Times New Roman"/>
          <w:color w:val="000000" w:themeColor="text1"/>
        </w:rPr>
        <w:t xml:space="preserve"> giorni dalla data di pubblicazione dell'avviso di aggiudicazione o della determinazione di procedere all’affidamento </w:t>
      </w:r>
      <w:r w:rsidRPr="004A5029">
        <w:rPr>
          <w:rFonts w:ascii="Times New Roman" w:hAnsi="Times New Roman" w:cs="Times New Roman"/>
          <w:i/>
          <w:iCs/>
          <w:color w:val="000000" w:themeColor="text1"/>
        </w:rPr>
        <w:t>in house</w:t>
      </w:r>
      <w:r w:rsidRPr="004A5029">
        <w:rPr>
          <w:rFonts w:ascii="Times New Roman" w:hAnsi="Times New Roman" w:cs="Times New Roman"/>
          <w:color w:val="000000" w:themeColor="text1"/>
        </w:rPr>
        <w:t xml:space="preserve"> al soggetto partecipato o controllato. Per la decorrenza del termine l’avviso deve contenere la motivazione dell'atto di aggiudicazione e della scelta di affidare il contratto senza pubblicazione del bando e l’indicazione del sito dove sono visionabili gli atti e i documenti presupposti. Se sono omessi gli avvisi o le informazioni di cui al presente comma oppure</w:t>
      </w:r>
      <w:r w:rsidRPr="004A5029">
        <w:rPr>
          <w:rFonts w:ascii="Times New Roman" w:hAnsi="Times New Roman" w:cs="Times New Roman"/>
          <w:i/>
          <w:iCs/>
          <w:color w:val="000000" w:themeColor="text1"/>
        </w:rPr>
        <w:t xml:space="preserve"> </w:t>
      </w:r>
      <w:r w:rsidRPr="004A5029">
        <w:rPr>
          <w:rFonts w:ascii="Times New Roman" w:hAnsi="Times New Roman" w:cs="Times New Roman"/>
          <w:color w:val="000000" w:themeColor="text1"/>
        </w:rPr>
        <w:t>se essi non sono conformi alle prescrizioni ivi indicate, il ricorso può essere proposto non oltre sei mesi dal giorno successivo alla data di stipulazione del contratto comunicata ai sensi del codice dei contratti pubblici</w:t>
      </w:r>
      <w:r w:rsidR="001046CC" w:rsidRPr="004A5029">
        <w:rPr>
          <w:rFonts w:ascii="Times New Roman" w:hAnsi="Times New Roman" w:cs="Times New Roman"/>
          <w:b/>
          <w:bCs/>
          <w:color w:val="000000" w:themeColor="text1"/>
        </w:rPr>
        <w:t>, 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Fonts w:ascii="Times New Roman" w:hAnsi="Times New Roman" w:cs="Times New Roman"/>
          <w:color w:val="000000" w:themeColor="text1"/>
        </w:rPr>
        <w:t>.</w:t>
      </w:r>
    </w:p>
    <w:p w14:paraId="35AAB4A7" w14:textId="594B14E8"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iCs/>
          <w:color w:val="000000" w:themeColor="text1"/>
        </w:rPr>
        <w:t>4.</w:t>
      </w:r>
      <w:r w:rsidRPr="004A5029">
        <w:rPr>
          <w:rFonts w:ascii="Times New Roman" w:hAnsi="Times New Roman" w:cs="Times New Roman"/>
          <w:color w:val="000000" w:themeColor="text1"/>
        </w:rPr>
        <w:t xml:space="preserve"> Se la stazione appaltante o l’ente concedente </w:t>
      </w:r>
      <w:r w:rsidRPr="004A5029">
        <w:rPr>
          <w:rFonts w:ascii="Times New Roman" w:hAnsi="Times New Roman" w:cs="Times New Roman"/>
          <w:b/>
          <w:bCs/>
          <w:strike/>
          <w:color w:val="000000" w:themeColor="text1"/>
        </w:rPr>
        <w:t>sono rappresentati</w:t>
      </w:r>
      <w:r w:rsidRPr="004A5029">
        <w:rPr>
          <w:rFonts w:ascii="Times New Roman" w:hAnsi="Times New Roman" w:cs="Times New Roman"/>
          <w:b/>
          <w:bCs/>
          <w:color w:val="000000" w:themeColor="text1"/>
        </w:rPr>
        <w:t xml:space="preserve"> </w:t>
      </w:r>
      <w:r w:rsidR="00493C15" w:rsidRPr="004A5029">
        <w:rPr>
          <w:rFonts w:ascii="Times New Roman" w:hAnsi="Times New Roman" w:cs="Times New Roman"/>
          <w:b/>
          <w:bCs/>
          <w:color w:val="000000" w:themeColor="text1"/>
        </w:rPr>
        <w:t>è rappresentato</w:t>
      </w:r>
      <w:r w:rsidR="00493C15" w:rsidRPr="004A5029">
        <w:rPr>
          <w:rFonts w:ascii="Times New Roman" w:hAnsi="Times New Roman" w:cs="Times New Roman"/>
          <w:color w:val="000000" w:themeColor="text1"/>
        </w:rPr>
        <w:t xml:space="preserve"> </w:t>
      </w:r>
      <w:r w:rsidRPr="004A5029">
        <w:rPr>
          <w:rFonts w:ascii="Times New Roman" w:hAnsi="Times New Roman" w:cs="Times New Roman"/>
          <w:color w:val="000000" w:themeColor="text1"/>
        </w:rPr>
        <w:t>dall’Avvocatura dello Stato, il ricorso è notificato anche presso la sede dell’Amministrazione, ai soli fini della operatività della sospensione obbligatoria del termine per la stipulazione del contratto</w:t>
      </w:r>
      <w:r w:rsidRPr="004A5029">
        <w:rPr>
          <w:rFonts w:ascii="Times New Roman" w:hAnsi="Times New Roman" w:cs="Times New Roman"/>
          <w:color w:val="000000" w:themeColor="text1"/>
          <w:u w:color="19191A"/>
        </w:rPr>
        <w:t>.</w:t>
      </w:r>
    </w:p>
    <w:p w14:paraId="3B8DBCC0" w14:textId="5FF1392D" w:rsidR="0083753D" w:rsidRPr="004A5029" w:rsidRDefault="0083753D" w:rsidP="0083753D">
      <w:pPr>
        <w:jc w:val="both"/>
        <w:rPr>
          <w:rFonts w:ascii="Times New Roman" w:hAnsi="Times New Roman" w:cs="Times New Roman"/>
          <w:i/>
          <w:iCs/>
          <w:color w:val="000000" w:themeColor="text1"/>
        </w:rPr>
      </w:pPr>
      <w:r w:rsidRPr="004A5029">
        <w:rPr>
          <w:rFonts w:ascii="Times New Roman" w:hAnsi="Times New Roman" w:cs="Times New Roman"/>
          <w:i/>
          <w:iCs/>
          <w:color w:val="000000" w:themeColor="text1"/>
        </w:rPr>
        <w:t>5.</w:t>
      </w:r>
      <w:r w:rsidRPr="004A5029">
        <w:rPr>
          <w:rFonts w:ascii="Times New Roman" w:hAnsi="Times New Roman" w:cs="Times New Roman"/>
          <w:color w:val="000000" w:themeColor="text1"/>
        </w:rPr>
        <w:t xml:space="preserve"> Se le parti richiedono congiuntamente di limitare la decisione all'esame di un'unica questione, nonché in ogni altro caso compatibilmente con le esigenze di difesa di tutte le parti in relazione alla complessità della causa, il giudizio è di norma definito, anche in deroga al comma 1, primo periodo</w:t>
      </w:r>
      <w:r w:rsidR="003B7E17"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dell'articolo 74, in esito all'udienza cautelare ai sensi dell'articolo 60, ove ne ricorrano i presupposti, e, in mancanza,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comunque definito con sentenza in forma semplificata a una udienza fissata d'ufficio, da tenersi entro </w:t>
      </w:r>
      <w:r w:rsidRPr="004A5029">
        <w:rPr>
          <w:rFonts w:ascii="Times New Roman" w:hAnsi="Times New Roman" w:cs="Times New Roman"/>
          <w:b/>
          <w:bCs/>
          <w:strike/>
          <w:color w:val="000000" w:themeColor="text1"/>
        </w:rPr>
        <w:t>45</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quarantacinque </w:t>
      </w:r>
      <w:r w:rsidRPr="004A5029">
        <w:rPr>
          <w:rFonts w:ascii="Times New Roman" w:hAnsi="Times New Roman" w:cs="Times New Roman"/>
          <w:color w:val="000000" w:themeColor="text1"/>
        </w:rPr>
        <w:t xml:space="preserve">giorni dalla scadenza del termine per la costituzione delle parti diverse dal ricorrente </w:t>
      </w:r>
      <w:r w:rsidRPr="004A5029">
        <w:rPr>
          <w:rFonts w:ascii="Times New Roman" w:hAnsi="Times New Roman" w:cs="Times New Roman"/>
          <w:bCs/>
          <w:color w:val="000000" w:themeColor="text1"/>
        </w:rPr>
        <w:t>e nel rispetto dei termini per il deposito dei documenti e delle memorie</w:t>
      </w:r>
      <w:r w:rsidRPr="004A5029">
        <w:rPr>
          <w:rFonts w:ascii="Times New Roman" w:hAnsi="Times New Roman" w:cs="Times New Roman"/>
          <w:color w:val="000000" w:themeColor="text1"/>
        </w:rPr>
        <w:t xml:space="preserve">. Della data di udienza è dato immediato avviso alle parti a cura della segreteria, a mezzo posta elettronica certificata. In caso di esigenze istruttorie o quando è necessario integrare il contraddittorio o assicurare il rispetto di termini a difesa, la definizione del merito </w:t>
      </w:r>
      <w:r w:rsidR="00E07A23" w:rsidRPr="004A5029">
        <w:rPr>
          <w:rFonts w:ascii="Times New Roman" w:hAnsi="Times New Roman" w:cs="Times New Roman"/>
          <w:color w:val="000000" w:themeColor="text1"/>
        </w:rPr>
        <w:t>è</w:t>
      </w:r>
      <w:r w:rsidRPr="004A5029">
        <w:rPr>
          <w:rFonts w:ascii="Times New Roman" w:hAnsi="Times New Roman" w:cs="Times New Roman"/>
          <w:color w:val="000000" w:themeColor="text1"/>
        </w:rPr>
        <w:t xml:space="preserve"> rinviata, con l'ordinanza che dispone gli adempimenti istruttori o l'integrazione del contraddittorio o </w:t>
      </w:r>
      <w:r w:rsidRPr="004A5029">
        <w:rPr>
          <w:rFonts w:ascii="Times New Roman" w:hAnsi="Times New Roman" w:cs="Times New Roman"/>
          <w:b/>
          <w:bCs/>
          <w:strike/>
          <w:color w:val="000000" w:themeColor="text1"/>
        </w:rPr>
        <w:t xml:space="preserve">dispone </w:t>
      </w:r>
      <w:r w:rsidRPr="004A5029">
        <w:rPr>
          <w:rFonts w:ascii="Times New Roman" w:hAnsi="Times New Roman" w:cs="Times New Roman"/>
          <w:color w:val="000000" w:themeColor="text1"/>
        </w:rPr>
        <w:t xml:space="preserve">il rinvio per l'esigenza di rispetto dei termini a difesa, a una udienza da tenersi non oltre </w:t>
      </w:r>
      <w:r w:rsidR="004E4B92" w:rsidRPr="004A5029">
        <w:rPr>
          <w:rFonts w:ascii="Times New Roman" w:hAnsi="Times New Roman" w:cs="Times New Roman"/>
          <w:b/>
          <w:bCs/>
          <w:strike/>
          <w:color w:val="000000" w:themeColor="text1"/>
        </w:rPr>
        <w:t>30</w:t>
      </w:r>
      <w:r w:rsidR="004E4B92" w:rsidRPr="004A5029">
        <w:rPr>
          <w:rFonts w:ascii="Times New Roman" w:hAnsi="Times New Roman" w:cs="Times New Roman"/>
          <w:b/>
          <w:bCs/>
          <w:color w:val="000000" w:themeColor="text1"/>
        </w:rPr>
        <w:t xml:space="preserve"> trenta</w:t>
      </w:r>
      <w:r w:rsidRPr="004A5029">
        <w:rPr>
          <w:rFonts w:ascii="Times New Roman" w:hAnsi="Times New Roman" w:cs="Times New Roman"/>
          <w:color w:val="000000" w:themeColor="text1"/>
        </w:rPr>
        <w:t xml:space="preserve"> giorni. </w:t>
      </w:r>
    </w:p>
    <w:p w14:paraId="1305CE24"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bCs/>
          <w:i/>
          <w:iCs/>
          <w:color w:val="000000" w:themeColor="text1"/>
        </w:rPr>
        <w:t>6.</w:t>
      </w:r>
      <w:r w:rsidRPr="004A5029">
        <w:rPr>
          <w:rFonts w:ascii="Times New Roman" w:hAnsi="Times New Roman" w:cs="Times New Roman"/>
          <w:bCs/>
          <w:color w:val="000000" w:themeColor="text1"/>
        </w:rPr>
        <w:t xml:space="preserve"> In caso di istanza cautelare, all’esito dell’udienza in camera di consiglio e anche in caso di rigetto dell’istanza, il giudice provvede ai necessari approfondimenti istruttori.</w:t>
      </w:r>
    </w:p>
    <w:p w14:paraId="1838FFFA" w14:textId="77777777" w:rsidR="0083753D" w:rsidRPr="004A5029" w:rsidRDefault="0083753D" w:rsidP="0083753D">
      <w:pPr>
        <w:jc w:val="both"/>
        <w:rPr>
          <w:rFonts w:ascii="Times New Roman" w:hAnsi="Times New Roman" w:cs="Times New Roman"/>
          <w:i/>
          <w:color w:val="000000" w:themeColor="text1"/>
        </w:rPr>
      </w:pPr>
      <w:r w:rsidRPr="004A5029">
        <w:rPr>
          <w:rFonts w:ascii="Times New Roman" w:hAnsi="Times New Roman" w:cs="Times New Roman"/>
          <w:i/>
          <w:iCs/>
          <w:color w:val="000000" w:themeColor="text1"/>
        </w:rPr>
        <w:t>7.</w:t>
      </w:r>
      <w:r w:rsidRPr="004A5029">
        <w:rPr>
          <w:rFonts w:ascii="Times New Roman" w:hAnsi="Times New Roman" w:cs="Times New Roman"/>
          <w:color w:val="000000" w:themeColor="text1"/>
        </w:rPr>
        <w:t xml:space="preserve"> I nuovi atti attinenti alla medesima procedura di gara sono impugnati con ricorso per motivi aggiunti, senza pagamento del contributo unificato.</w:t>
      </w:r>
    </w:p>
    <w:p w14:paraId="6AB7D5B1" w14:textId="77777777" w:rsidR="0083753D" w:rsidRPr="004A5029" w:rsidRDefault="0083753D" w:rsidP="0083753D">
      <w:pPr>
        <w:jc w:val="both"/>
        <w:rPr>
          <w:rFonts w:ascii="Times New Roman" w:hAnsi="Times New Roman" w:cs="Times New Roman"/>
          <w:i/>
          <w:iCs/>
          <w:color w:val="000000" w:themeColor="text1"/>
        </w:rPr>
      </w:pPr>
      <w:r w:rsidRPr="004A5029">
        <w:rPr>
          <w:rFonts w:ascii="Times New Roman" w:hAnsi="Times New Roman" w:cs="Times New Roman"/>
          <w:bCs/>
          <w:i/>
          <w:iCs/>
          <w:color w:val="000000" w:themeColor="text1"/>
        </w:rPr>
        <w:t>8.</w:t>
      </w:r>
      <w:r w:rsidRPr="004A5029">
        <w:rPr>
          <w:rFonts w:ascii="Times New Roman" w:hAnsi="Times New Roman" w:cs="Times New Roman"/>
          <w:bCs/>
          <w:color w:val="000000" w:themeColor="text1"/>
        </w:rPr>
        <w:t xml:space="preserve"> Salvo quanto previsto dal presente articolo e dagli articoli da 121 a 125, si applica l’articolo 119.</w:t>
      </w:r>
    </w:p>
    <w:p w14:paraId="30C03088" w14:textId="732DB54F"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bCs/>
          <w:i/>
          <w:iCs/>
          <w:color w:val="000000" w:themeColor="text1"/>
        </w:rPr>
        <w:t>9</w:t>
      </w:r>
      <w:r w:rsidRPr="004A5029">
        <w:rPr>
          <w:rFonts w:ascii="Times New Roman" w:hAnsi="Times New Roman" w:cs="Times New Roman"/>
          <w:i/>
          <w:iCs/>
          <w:color w:val="000000" w:themeColor="text1"/>
        </w:rPr>
        <w:t>.</w:t>
      </w:r>
      <w:r w:rsidRPr="004A5029">
        <w:rPr>
          <w:rFonts w:ascii="Times New Roman" w:hAnsi="Times New Roman" w:cs="Times New Roman"/>
          <w:color w:val="000000" w:themeColor="text1"/>
        </w:rPr>
        <w:t xml:space="preserve"> Anche se dalla decisione sulla domanda cautelare non derivino effetti irreversibili, il collegio può subordinare la concessione o il diniego della misura cautelare alla prestazione, anche mediante fideiussione, di una cauzione di importo commisurato al valore dell'appalto e comunque non superiore allo 0,5 per cento di tale valore. La durata della misura subordinata alla cauzione è indicata nell’ordinanza. Resta fermo quanto stabilito dal comma 3 dell’art</w:t>
      </w:r>
      <w:r w:rsidR="00C3506D" w:rsidRPr="004A5029">
        <w:rPr>
          <w:rFonts w:ascii="Times New Roman" w:hAnsi="Times New Roman" w:cs="Times New Roman"/>
          <w:color w:val="000000" w:themeColor="text1"/>
        </w:rPr>
        <w:t>icolo</w:t>
      </w:r>
      <w:r w:rsidRPr="004A5029">
        <w:rPr>
          <w:rFonts w:ascii="Times New Roman" w:hAnsi="Times New Roman" w:cs="Times New Roman"/>
          <w:color w:val="000000" w:themeColor="text1"/>
        </w:rPr>
        <w:t xml:space="preserve"> 119.</w:t>
      </w:r>
    </w:p>
    <w:p w14:paraId="403D5B19" w14:textId="77777777"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i/>
          <w:iCs/>
          <w:color w:val="000000" w:themeColor="text1"/>
        </w:rPr>
        <w:t>10.</w:t>
      </w:r>
      <w:r w:rsidRPr="004A5029">
        <w:rPr>
          <w:rFonts w:ascii="Times New Roman" w:hAnsi="Times New Roman" w:cs="Times New Roman"/>
          <w:color w:val="000000" w:themeColor="text1"/>
        </w:rPr>
        <w:t xml:space="preserve"> Nella decisione cautelare il giudice tiene conto di quanto previsto dagli articoli 121, comma 1, e 122, e delle esigenze imperative connesse a un interesse generale all'esecuzione del contratto, dandone conto nella motivazione.</w:t>
      </w:r>
    </w:p>
    <w:p w14:paraId="16E10A5F" w14:textId="1D46FB55" w:rsidR="0083753D" w:rsidRPr="004A5029" w:rsidRDefault="0083753D" w:rsidP="0083753D">
      <w:pPr>
        <w:jc w:val="both"/>
        <w:rPr>
          <w:rFonts w:ascii="Times New Roman" w:hAnsi="Times New Roman" w:cs="Times New Roman"/>
          <w:bCs/>
          <w:color w:val="000000" w:themeColor="text1"/>
        </w:rPr>
      </w:pPr>
      <w:r w:rsidRPr="004A5029">
        <w:rPr>
          <w:rFonts w:ascii="Times New Roman" w:hAnsi="Times New Roman" w:cs="Times New Roman"/>
          <w:bCs/>
          <w:i/>
          <w:iCs/>
          <w:color w:val="000000" w:themeColor="text1"/>
        </w:rPr>
        <w:t>11</w:t>
      </w:r>
      <w:r w:rsidRPr="004A5029">
        <w:rPr>
          <w:rFonts w:ascii="Times New Roman" w:hAnsi="Times New Roman" w:cs="Times New Roman"/>
          <w:i/>
          <w:iCs/>
          <w:color w:val="000000" w:themeColor="text1"/>
        </w:rPr>
        <w:t>.</w:t>
      </w:r>
      <w:r w:rsidRPr="004A5029">
        <w:rPr>
          <w:rFonts w:ascii="Times New Roman" w:hAnsi="Times New Roman" w:cs="Times New Roman"/>
          <w:color w:val="000000" w:themeColor="text1"/>
        </w:rPr>
        <w:t xml:space="preserve"> Il giudice deposita la sentenza con la quale definisce il giudizio entro </w:t>
      </w:r>
      <w:r w:rsidRPr="004A5029">
        <w:rPr>
          <w:rFonts w:ascii="Times New Roman" w:hAnsi="Times New Roman" w:cs="Times New Roman"/>
          <w:b/>
          <w:bCs/>
          <w:strike/>
          <w:color w:val="000000" w:themeColor="text1"/>
        </w:rPr>
        <w:t>15</w:t>
      </w:r>
      <w:r w:rsidRPr="004A5029">
        <w:rPr>
          <w:rFonts w:ascii="Times New Roman" w:hAnsi="Times New Roman" w:cs="Times New Roman"/>
          <w:b/>
          <w:bCs/>
          <w:color w:val="000000" w:themeColor="text1"/>
        </w:rPr>
        <w:t xml:space="preserve"> </w:t>
      </w:r>
      <w:r w:rsidR="004E4B92" w:rsidRPr="004A5029">
        <w:rPr>
          <w:rFonts w:ascii="Times New Roman" w:hAnsi="Times New Roman" w:cs="Times New Roman"/>
          <w:b/>
          <w:bCs/>
          <w:color w:val="000000" w:themeColor="text1"/>
        </w:rPr>
        <w:t xml:space="preserve">quindici </w:t>
      </w:r>
      <w:r w:rsidRPr="004A5029">
        <w:rPr>
          <w:rFonts w:ascii="Times New Roman" w:hAnsi="Times New Roman" w:cs="Times New Roman"/>
          <w:color w:val="000000" w:themeColor="text1"/>
        </w:rPr>
        <w:t xml:space="preserve">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w:t>
      </w:r>
      <w:r w:rsidR="004E4B92" w:rsidRPr="004A5029">
        <w:rPr>
          <w:rFonts w:ascii="Times New Roman" w:hAnsi="Times New Roman" w:cs="Times New Roman"/>
          <w:b/>
          <w:bCs/>
          <w:strike/>
          <w:color w:val="000000" w:themeColor="text1"/>
        </w:rPr>
        <w:t>30</w:t>
      </w:r>
      <w:r w:rsidR="004E4B92" w:rsidRPr="004A5029">
        <w:rPr>
          <w:rFonts w:ascii="Times New Roman" w:hAnsi="Times New Roman" w:cs="Times New Roman"/>
          <w:b/>
          <w:bCs/>
          <w:color w:val="000000" w:themeColor="text1"/>
        </w:rPr>
        <w:t xml:space="preserve"> trenta</w:t>
      </w:r>
      <w:r w:rsidRPr="004A5029">
        <w:rPr>
          <w:rFonts w:ascii="Times New Roman" w:hAnsi="Times New Roman" w:cs="Times New Roman"/>
          <w:color w:val="000000" w:themeColor="text1"/>
        </w:rPr>
        <w:t xml:space="preserve"> giorni dall'udienza.</w:t>
      </w:r>
    </w:p>
    <w:p w14:paraId="594E403D" w14:textId="77777777"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12.</w:t>
      </w:r>
      <w:r w:rsidRPr="004A5029">
        <w:rPr>
          <w:rFonts w:ascii="Times New Roman" w:hAnsi="Times New Roman" w:cs="Times New Roman"/>
          <w:color w:val="000000" w:themeColor="text1"/>
        </w:rPr>
        <w:t xml:space="preserve"> Le disposizioni dei commi 1, secondo periodo, 5, 6, 8, 9, 10 e 11 si applicano anche innanzi al Consiglio di Stato nel giudizio di appello proposto avverso la sentenza o avverso l'ordinanza cautelare, e nei giudizi di revocazione o opposizione di terzo. La parte può proporre appello avverso il dispositivo per ottenerne la sospensione prima della pubblicazione della sentenza. </w:t>
      </w:r>
    </w:p>
    <w:p w14:paraId="60856DBA" w14:textId="727CB04E"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i/>
          <w:iCs/>
          <w:color w:val="000000" w:themeColor="text1"/>
        </w:rPr>
        <w:t>13.</w:t>
      </w:r>
      <w:r w:rsidRPr="004A5029">
        <w:rPr>
          <w:rFonts w:ascii="Times New Roman" w:hAnsi="Times New Roman" w:cs="Times New Roman"/>
          <w:color w:val="000000" w:themeColor="text1"/>
        </w:rPr>
        <w:t xml:space="preserve"> Nel caso di presentazione di offerte per più lotti l'impugnazione si propone con ricorso cumulativo solo se </w:t>
      </w:r>
      <w:r w:rsidR="00E07A23" w:rsidRPr="004A5029">
        <w:rPr>
          <w:rFonts w:ascii="Times New Roman" w:hAnsi="Times New Roman" w:cs="Times New Roman"/>
          <w:color w:val="000000" w:themeColor="text1"/>
        </w:rPr>
        <w:t>sono</w:t>
      </w:r>
      <w:r w:rsidRPr="004A5029">
        <w:rPr>
          <w:rFonts w:ascii="Times New Roman" w:hAnsi="Times New Roman" w:cs="Times New Roman"/>
          <w:color w:val="000000" w:themeColor="text1"/>
        </w:rPr>
        <w:t xml:space="preserve"> dedotti identici motivi di ricorso avverso lo stesso atto.</w:t>
      </w:r>
      <w:r w:rsidR="005173E5" w:rsidRPr="004A5029">
        <w:rPr>
          <w:rFonts w:ascii="Times New Roman" w:hAnsi="Times New Roman" w:cs="Times New Roman"/>
          <w:b/>
          <w:bCs/>
          <w:color w:val="000000" w:themeColor="text1"/>
        </w:rPr>
        <w:t>»</w:t>
      </w:r>
      <w:r w:rsidR="005173E5" w:rsidRPr="009F04A1">
        <w:rPr>
          <w:rFonts w:ascii="Times New Roman" w:hAnsi="Times New Roman" w:cs="Times New Roman"/>
          <w:b/>
          <w:bCs/>
          <w:strike/>
          <w:color w:val="000000" w:themeColor="text1"/>
        </w:rPr>
        <w:t>”</w:t>
      </w:r>
      <w:r w:rsidR="00FE1836" w:rsidRPr="004A5029">
        <w:rPr>
          <w:rFonts w:ascii="Times New Roman" w:hAnsi="Times New Roman" w:cs="Times New Roman"/>
          <w:color w:val="000000" w:themeColor="text1"/>
        </w:rPr>
        <w:t>;</w:t>
      </w:r>
    </w:p>
    <w:p w14:paraId="071D359F" w14:textId="3ED8ECA2" w:rsidR="0083753D" w:rsidRPr="004A5029" w:rsidRDefault="00FE1836" w:rsidP="0083753D">
      <w:pPr>
        <w:rPr>
          <w:rFonts w:ascii="Times New Roman" w:hAnsi="Times New Roman" w:cs="Times New Roman"/>
          <w:color w:val="000000" w:themeColor="text1"/>
        </w:rPr>
      </w:pPr>
      <w:r w:rsidRPr="004A5029">
        <w:rPr>
          <w:rFonts w:ascii="Times New Roman" w:eastAsia="Times New Roman" w:hAnsi="Times New Roman" w:cs="Times New Roman"/>
          <w:color w:val="000000" w:themeColor="text1"/>
        </w:rPr>
        <w:t>b) l</w:t>
      </w:r>
      <w:r w:rsidR="0083753D" w:rsidRPr="004A5029">
        <w:rPr>
          <w:rFonts w:ascii="Times New Roman" w:eastAsia="Times New Roman" w:hAnsi="Times New Roman" w:cs="Times New Roman"/>
          <w:color w:val="000000" w:themeColor="text1"/>
        </w:rPr>
        <w:t>’articolo 121 è sostituito dal seguente:</w:t>
      </w:r>
    </w:p>
    <w:p w14:paraId="6A394D15" w14:textId="5EEC71F2" w:rsidR="0083753D" w:rsidRPr="004A5029" w:rsidRDefault="005173E5" w:rsidP="00E72484">
      <w:pPr>
        <w:jc w:val="both"/>
        <w:rPr>
          <w:rStyle w:val="Hyperlink1"/>
          <w:rFonts w:ascii="Times New Roman" w:eastAsia="Times New Roman" w:hAnsi="Times New Roman" w:cs="Times New Roman"/>
          <w:color w:val="000000" w:themeColor="text1"/>
        </w:rPr>
      </w:pPr>
      <w:r w:rsidRPr="009F04A1">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w:t>
      </w:r>
      <w:r w:rsidR="004E496C" w:rsidRPr="004A5029">
        <w:rPr>
          <w:rFonts w:ascii="Times New Roman" w:hAnsi="Times New Roman" w:cs="Times New Roman"/>
          <w:color w:val="000000" w:themeColor="text1"/>
        </w:rPr>
        <w:t>Art.</w:t>
      </w:r>
      <w:r w:rsidR="004E496C" w:rsidRPr="004A5029">
        <w:rPr>
          <w:rFonts w:ascii="Times New Roman" w:hAnsi="Times New Roman" w:cs="Times New Roman"/>
          <w:b/>
          <w:bCs/>
          <w:strike/>
          <w:color w:val="000000" w:themeColor="text1"/>
        </w:rPr>
        <w:t>icolo</w:t>
      </w:r>
      <w:r w:rsidR="0083753D" w:rsidRPr="004A5029">
        <w:rPr>
          <w:rFonts w:ascii="Times New Roman" w:hAnsi="Times New Roman" w:cs="Times New Roman"/>
          <w:color w:val="000000" w:themeColor="text1"/>
        </w:rPr>
        <w:t xml:space="preserve"> 121</w:t>
      </w:r>
      <w:r w:rsidR="00E72484" w:rsidRPr="004A5029">
        <w:rPr>
          <w:rFonts w:ascii="Times New Roman" w:hAnsi="Times New Roman" w:cs="Times New Roman"/>
          <w:color w:val="000000" w:themeColor="text1"/>
        </w:rPr>
        <w:t xml:space="preserve"> </w:t>
      </w:r>
      <w:r w:rsidR="00E72484" w:rsidRPr="004A5029">
        <w:rPr>
          <w:rFonts w:ascii="Times New Roman" w:hAnsi="Times New Roman" w:cs="Times New Roman"/>
          <w:b/>
          <w:bCs/>
          <w:color w:val="000000" w:themeColor="text1"/>
        </w:rPr>
        <w:t>–</w:t>
      </w:r>
      <w:r w:rsidR="0083753D" w:rsidRPr="004A5029">
        <w:rPr>
          <w:rFonts w:ascii="Times New Roman" w:hAnsi="Times New Roman" w:cs="Times New Roman"/>
          <w:b/>
          <w:bCs/>
          <w:color w:val="000000" w:themeColor="text1"/>
        </w:rPr>
        <w:t xml:space="preserve"> </w:t>
      </w:r>
      <w:r w:rsidR="00E72484" w:rsidRPr="009F04A1">
        <w:rPr>
          <w:rFonts w:ascii="Times New Roman" w:hAnsi="Times New Roman" w:cs="Times New Roman"/>
          <w:i/>
          <w:iCs/>
          <w:color w:val="000000" w:themeColor="text1"/>
        </w:rPr>
        <w:t>(</w:t>
      </w:r>
      <w:r w:rsidR="0083753D" w:rsidRPr="004A5029">
        <w:rPr>
          <w:rFonts w:ascii="Times New Roman" w:hAnsi="Times New Roman" w:cs="Times New Roman"/>
          <w:i/>
          <w:color w:val="000000" w:themeColor="text1"/>
        </w:rPr>
        <w:t>Inefficacia del contratto nei casi di gravi violazioni</w:t>
      </w:r>
      <w:r w:rsidR="00E72484" w:rsidRPr="004A5029">
        <w:rPr>
          <w:rFonts w:ascii="Times New Roman" w:hAnsi="Times New Roman" w:cs="Times New Roman"/>
          <w:i/>
          <w:color w:val="000000" w:themeColor="text1"/>
        </w:rPr>
        <w:t xml:space="preserve">) – </w:t>
      </w:r>
      <w:r w:rsidR="0083753D" w:rsidRPr="004A5029">
        <w:rPr>
          <w:rStyle w:val="Hyperlink0"/>
          <w:rFonts w:ascii="Times New Roman" w:hAnsi="Times New Roman" w:cs="Times New Roman"/>
          <w:i/>
          <w:iCs/>
          <w:color w:val="000000" w:themeColor="text1"/>
        </w:rPr>
        <w:t>1.</w:t>
      </w:r>
      <w:r w:rsidR="0083753D" w:rsidRPr="004A5029">
        <w:rPr>
          <w:rStyle w:val="Hyperlink0"/>
          <w:rFonts w:ascii="Times New Roman" w:hAnsi="Times New Roman" w:cs="Times New Roman"/>
          <w:color w:val="000000" w:themeColor="text1"/>
        </w:rPr>
        <w:t xml:space="preserve"> Il giudice che annulla l’aggiudicazione o gli affidamenti senza bando di cui al </w:t>
      </w:r>
      <w:r w:rsidR="0083753D" w:rsidRPr="004A5029">
        <w:rPr>
          <w:rFonts w:ascii="Times New Roman" w:hAnsi="Times New Roman" w:cs="Times New Roman"/>
          <w:color w:val="000000" w:themeColor="text1"/>
        </w:rPr>
        <w:t xml:space="preserve">comma 2 dell’articolo 120 </w:t>
      </w:r>
      <w:r w:rsidR="0083753D" w:rsidRPr="004A5029">
        <w:rPr>
          <w:rStyle w:val="Hyperlink0"/>
          <w:rFonts w:ascii="Times New Roman" w:hAnsi="Times New Roman" w:cs="Times New Roman"/>
          <w:color w:val="000000" w:themeColor="text1"/>
        </w:rPr>
        <w:t>dichiara l’inefficacia del contratto nei seguenti casi:</w:t>
      </w:r>
    </w:p>
    <w:p w14:paraId="4263F2A9" w14:textId="3AE2E3AA" w:rsidR="00E72484" w:rsidRPr="004A5029" w:rsidRDefault="0083753D" w:rsidP="00E72484">
      <w:pPr>
        <w:widowControl w:val="0"/>
        <w:tabs>
          <w:tab w:val="left" w:pos="820"/>
        </w:tabs>
        <w:ind w:firstLine="284"/>
        <w:jc w:val="both"/>
        <w:rPr>
          <w:rStyle w:val="Hyperlink0"/>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a)</w:t>
      </w:r>
      <w:r w:rsidRPr="004A5029">
        <w:rPr>
          <w:rStyle w:val="Hyperlink0"/>
          <w:rFonts w:ascii="Times New Roman" w:hAnsi="Times New Roman" w:cs="Times New Roman"/>
          <w:color w:val="000000" w:themeColor="text1"/>
        </w:rPr>
        <w:t xml:space="preserve"> se l’aggiudicazione è avvenuta senza pubblicazione del bando o avviso con cui si indice una gara nella Gazzetta </w:t>
      </w:r>
      <w:r w:rsidR="001E783B" w:rsidRPr="004A5029">
        <w:rPr>
          <w:rStyle w:val="normaltextrun"/>
          <w:rFonts w:ascii="Times New Roman" w:hAnsi="Times New Roman" w:cs="Times New Roman"/>
          <w:b/>
          <w:bCs/>
          <w:strike/>
          <w:color w:val="000000" w:themeColor="text1"/>
        </w:rPr>
        <w:t>U</w:t>
      </w:r>
      <w:r w:rsidR="001E783B" w:rsidRPr="004A5029">
        <w:rPr>
          <w:rStyle w:val="normaltextrun"/>
          <w:rFonts w:ascii="Times New Roman" w:hAnsi="Times New Roman" w:cs="Times New Roman"/>
          <w:b/>
          <w:bCs/>
          <w:color w:val="000000" w:themeColor="text1"/>
        </w:rPr>
        <w:t>u</w:t>
      </w:r>
      <w:r w:rsidRPr="004A5029">
        <w:rPr>
          <w:rStyle w:val="Hyperlink0"/>
          <w:rFonts w:ascii="Times New Roman" w:hAnsi="Times New Roman" w:cs="Times New Roman"/>
          <w:color w:val="000000" w:themeColor="text1"/>
        </w:rPr>
        <w:t>fficiale dell'Unione europea o nella Gazzetta Ufficiale della Repubblica italiana, quando tale pubblicazione è prescritta dal codice dei contratti pubblici</w:t>
      </w:r>
      <w:r w:rsidR="001046CC" w:rsidRPr="004A5029">
        <w:rPr>
          <w:b/>
          <w:bCs/>
          <w:color w:val="000000" w:themeColor="text1"/>
        </w:rPr>
        <w:t>,</w:t>
      </w:r>
      <w:r w:rsidR="001046CC" w:rsidRPr="004A5029">
        <w:rPr>
          <w:rFonts w:ascii="Times New Roman" w:hAnsi="Times New Roman" w:cs="Times New Roman"/>
          <w:b/>
          <w:bCs/>
          <w:color w:val="000000" w:themeColor="text1"/>
        </w:rPr>
        <w:t xml:space="preserve"> di cui al decreto legislativo di attuazione della</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0"/>
          <w:rFonts w:ascii="Times New Roman" w:hAnsi="Times New Roman" w:cs="Times New Roman"/>
          <w:color w:val="000000" w:themeColor="text1"/>
        </w:rPr>
        <w:t>;</w:t>
      </w:r>
    </w:p>
    <w:p w14:paraId="12C9F65E" w14:textId="48343DF6" w:rsidR="00E72484" w:rsidRPr="004A5029" w:rsidRDefault="0083753D" w:rsidP="00E72484">
      <w:pPr>
        <w:widowControl w:val="0"/>
        <w:tabs>
          <w:tab w:val="left" w:pos="820"/>
        </w:tabs>
        <w:ind w:firstLine="284"/>
        <w:jc w:val="both"/>
        <w:rPr>
          <w:rStyle w:val="Hyperlink1"/>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b)</w:t>
      </w:r>
      <w:r w:rsidRPr="004A5029">
        <w:rPr>
          <w:rStyle w:val="Hyperlink0"/>
          <w:rFonts w:ascii="Times New Roman" w:hAnsi="Times New Roman" w:cs="Times New Roman"/>
          <w:color w:val="000000" w:themeColor="text1"/>
        </w:rPr>
        <w:t xml:space="preserve"> se l'aggiudicazione è avvenuta con procedura negoziata senza bando o con affidamento in economia fuori dai casi consentiti e questo abbia determinato l'omissione della pubblicità del bando o avviso con cui si indice una gara nella Gazzetta </w:t>
      </w:r>
      <w:r w:rsidR="001E783B" w:rsidRPr="004A5029">
        <w:rPr>
          <w:rStyle w:val="normaltextrun"/>
          <w:rFonts w:ascii="Times New Roman" w:hAnsi="Times New Roman" w:cs="Times New Roman"/>
          <w:b/>
          <w:bCs/>
          <w:strike/>
          <w:color w:val="000000" w:themeColor="text1"/>
        </w:rPr>
        <w:t>U</w:t>
      </w:r>
      <w:r w:rsidR="001E783B" w:rsidRPr="004A5029">
        <w:rPr>
          <w:rStyle w:val="normaltextrun"/>
          <w:rFonts w:ascii="Times New Roman" w:hAnsi="Times New Roman" w:cs="Times New Roman"/>
          <w:b/>
          <w:bCs/>
          <w:color w:val="000000" w:themeColor="text1"/>
        </w:rPr>
        <w:t>u</w:t>
      </w:r>
      <w:r w:rsidRPr="004A5029">
        <w:rPr>
          <w:rStyle w:val="Hyperlink0"/>
          <w:rFonts w:ascii="Times New Roman" w:hAnsi="Times New Roman" w:cs="Times New Roman"/>
          <w:color w:val="000000" w:themeColor="text1"/>
        </w:rPr>
        <w:t>fficiale dell'Unione europea o nella Gazzetta Ufficiale della Repubblica italiana, quando tale pubblicazione è prescritta dal codice dei contratti pubblici</w:t>
      </w:r>
      <w:r w:rsidR="001046CC" w:rsidRPr="004A5029">
        <w:rPr>
          <w:b/>
          <w:bCs/>
          <w:color w:val="000000" w:themeColor="text1"/>
        </w:rPr>
        <w:t>,</w:t>
      </w:r>
      <w:r w:rsidR="001046CC" w:rsidRPr="004A5029">
        <w:rPr>
          <w:rFonts w:ascii="Times New Roman" w:hAnsi="Times New Roman" w:cs="Times New Roman"/>
          <w:b/>
          <w:bCs/>
          <w:color w:val="000000" w:themeColor="text1"/>
        </w:rPr>
        <w:t xml:space="preserve"> 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0"/>
          <w:rFonts w:ascii="Times New Roman" w:hAnsi="Times New Roman" w:cs="Times New Roman"/>
          <w:color w:val="000000" w:themeColor="text1"/>
        </w:rPr>
        <w:t>;</w:t>
      </w:r>
    </w:p>
    <w:p w14:paraId="6ACE4154" w14:textId="5A5E4448" w:rsidR="00E72484" w:rsidRPr="004A5029" w:rsidRDefault="0083753D" w:rsidP="00E72484">
      <w:pPr>
        <w:widowControl w:val="0"/>
        <w:tabs>
          <w:tab w:val="left" w:pos="820"/>
        </w:tabs>
        <w:ind w:firstLine="284"/>
        <w:jc w:val="both"/>
        <w:rPr>
          <w:rStyle w:val="Hyperlink1"/>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c)</w:t>
      </w:r>
      <w:r w:rsidRPr="004A5029">
        <w:rPr>
          <w:rStyle w:val="Hyperlink0"/>
          <w:rFonts w:ascii="Times New Roman" w:hAnsi="Times New Roman" w:cs="Times New Roman"/>
          <w:color w:val="000000" w:themeColor="text1"/>
        </w:rPr>
        <w:t xml:space="preserve"> se il contratto è stato stipulato senza rispettare il termine dilatorio stabilito dall'</w:t>
      </w:r>
      <w:hyperlink r:id="rId37" w:anchor="id=10LX0000401301ART12,__m=document">
        <w:r w:rsidRPr="004A5029">
          <w:rPr>
            <w:rStyle w:val="Hyperlink0"/>
            <w:rFonts w:ascii="Times New Roman" w:hAnsi="Times New Roman" w:cs="Times New Roman"/>
            <w:color w:val="000000" w:themeColor="text1"/>
          </w:rPr>
          <w:t>articolo</w:t>
        </w:r>
        <w:r w:rsidRPr="004A5029">
          <w:rPr>
            <w:rStyle w:val="Hyperlink0"/>
            <w:rFonts w:ascii="Times New Roman" w:hAnsi="Times New Roman" w:cs="Times New Roman"/>
            <w:bCs/>
            <w:color w:val="000000" w:themeColor="text1"/>
          </w:rPr>
          <w:t xml:space="preserve"> 18</w:t>
        </w:r>
      </w:hyperlink>
      <w:r w:rsidRPr="004A5029">
        <w:rPr>
          <w:rFonts w:ascii="Times New Roman" w:hAnsi="Times New Roman" w:cs="Times New Roman"/>
          <w:bCs/>
          <w:color w:val="000000" w:themeColor="text1"/>
        </w:rPr>
        <w:t xml:space="preserve"> </w:t>
      </w:r>
      <w:r w:rsidRPr="004A5029">
        <w:rPr>
          <w:rStyle w:val="Hyperlink0"/>
          <w:rFonts w:ascii="Times New Roman" w:hAnsi="Times New Roman" w:cs="Times New Roman"/>
          <w:bCs/>
          <w:color w:val="000000" w:themeColor="text1"/>
        </w:rPr>
        <w:t>del codice dei contratti pubblici</w:t>
      </w:r>
      <w:r w:rsidR="001046CC" w:rsidRPr="004A5029">
        <w:rPr>
          <w:b/>
          <w:bCs/>
          <w:color w:val="000000" w:themeColor="text1"/>
        </w:rPr>
        <w:t>,</w:t>
      </w:r>
      <w:r w:rsidR="009C7F3E" w:rsidRPr="004A5029">
        <w:rPr>
          <w:b/>
          <w:color w:val="000000" w:themeColor="text1"/>
        </w:rPr>
        <w:t xml:space="preserve"> </w:t>
      </w:r>
      <w:r w:rsidR="009C7F3E" w:rsidRPr="004A5029">
        <w:rPr>
          <w:rFonts w:ascii="Times New Roman" w:hAnsi="Times New Roman" w:cs="Times New Roman"/>
          <w:b/>
          <w:bCs/>
          <w:color w:val="000000" w:themeColor="text1"/>
        </w:rPr>
        <w:t>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0"/>
          <w:rFonts w:ascii="Times New Roman" w:hAnsi="Times New Roman" w:cs="Times New Roman"/>
          <w:color w:val="000000" w:themeColor="text1"/>
        </w:rPr>
        <w:t xml:space="preserve">, qualora tale violazione abbia </w:t>
      </w:r>
      <w:r w:rsidRPr="004A5029">
        <w:rPr>
          <w:rStyle w:val="Hyperlink0"/>
          <w:rFonts w:ascii="Times New Roman" w:hAnsi="Times New Roman" w:cs="Times New Roman"/>
          <w:bCs/>
          <w:color w:val="000000" w:themeColor="text1"/>
        </w:rPr>
        <w:t>impedito</w:t>
      </w:r>
      <w:r w:rsidRPr="004A5029">
        <w:rPr>
          <w:rStyle w:val="Hyperlink0"/>
          <w:rFonts w:ascii="Times New Roman" w:hAnsi="Times New Roman" w:cs="Times New Roman"/>
          <w:color w:val="000000" w:themeColor="text1"/>
        </w:rPr>
        <w:t xml:space="preserve"> al ricorrente di avvalersi di mezzi di ricorso prima della stipulazione del contratto e sempre che tale violazione, aggiungendosi a vizi propri dell'aggiudicazione, abbia influito sulle possibilità del ricorrente di ottenere l'affidamento;</w:t>
      </w:r>
    </w:p>
    <w:p w14:paraId="3421354F" w14:textId="54025231" w:rsidR="0083753D" w:rsidRPr="004A5029" w:rsidRDefault="0083753D" w:rsidP="00E72484">
      <w:pPr>
        <w:widowControl w:val="0"/>
        <w:tabs>
          <w:tab w:val="left" w:pos="820"/>
        </w:tabs>
        <w:ind w:firstLine="284"/>
        <w:jc w:val="both"/>
        <w:rPr>
          <w:rFonts w:ascii="Times New Roman" w:hAnsi="Times New Roman" w:cs="Times New Roman"/>
          <w:color w:val="000000" w:themeColor="text1"/>
        </w:rPr>
      </w:pPr>
      <w:r w:rsidRPr="004A5029">
        <w:rPr>
          <w:rStyle w:val="Hyperlink1"/>
          <w:rFonts w:ascii="Times New Roman" w:hAnsi="Times New Roman" w:cs="Times New Roman"/>
          <w:i/>
          <w:iCs/>
          <w:color w:val="000000" w:themeColor="text1"/>
        </w:rPr>
        <w:t>d)</w:t>
      </w:r>
      <w:r w:rsidRPr="004A5029">
        <w:rPr>
          <w:rStyle w:val="Hyperlink1"/>
          <w:rFonts w:ascii="Times New Roman" w:hAnsi="Times New Roman" w:cs="Times New Roman"/>
          <w:color w:val="000000" w:themeColor="text1"/>
        </w:rPr>
        <w:t xml:space="preserve"> se il contratto è stato stipulato senza rispettare la sospensione obbligatoria del termine per la stipulazione derivante dalla proposizione del ricorso giurisdizionale avverso l'aggiudicazione, ai sensi dell’articolo </w:t>
      </w:r>
      <w:r w:rsidRPr="004A5029">
        <w:rPr>
          <w:rStyle w:val="Hyperlink1"/>
          <w:rFonts w:ascii="Times New Roman" w:hAnsi="Times New Roman" w:cs="Times New Roman"/>
          <w:bCs/>
          <w:color w:val="000000" w:themeColor="text1"/>
        </w:rPr>
        <w:t xml:space="preserve">18, comma 4, del </w:t>
      </w:r>
      <w:r w:rsidRPr="004A5029">
        <w:rPr>
          <w:rFonts w:ascii="Times New Roman" w:eastAsia="Times New Roman" w:hAnsi="Times New Roman" w:cs="Times New Roman"/>
          <w:bCs/>
          <w:color w:val="000000" w:themeColor="text1"/>
        </w:rPr>
        <w:t>codice dei contratti pubblici</w:t>
      </w:r>
      <w:r w:rsidR="009C7F3E" w:rsidRPr="004A5029">
        <w:rPr>
          <w:rFonts w:ascii="Times New Roman" w:eastAsia="Times New Roman" w:hAnsi="Times New Roman" w:cs="Times New Roman"/>
          <w:bCs/>
          <w:color w:val="000000" w:themeColor="text1"/>
        </w:rPr>
        <w:t xml:space="preserve"> </w:t>
      </w:r>
      <w:r w:rsidR="009C7F3E" w:rsidRPr="004A5029">
        <w:rPr>
          <w:rFonts w:ascii="Times New Roman" w:hAnsi="Times New Roman" w:cs="Times New Roman"/>
          <w:b/>
          <w:bCs/>
          <w:color w:val="000000" w:themeColor="text1"/>
        </w:rPr>
        <w:t>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1"/>
          <w:rFonts w:ascii="Times New Roman" w:hAnsi="Times New Roman" w:cs="Times New Roman"/>
          <w:color w:val="000000" w:themeColor="text1"/>
        </w:rPr>
        <w:t>, qualora tale violazione, aggiungendosi a vizi propri dell'aggiudicazione, abbia influito sulle possibilità del ricorrente di ottenere l'affidamento.</w:t>
      </w:r>
    </w:p>
    <w:p w14:paraId="0768D2C0" w14:textId="537CBD9E" w:rsidR="0083753D" w:rsidRPr="004A5029" w:rsidRDefault="00A47D2D" w:rsidP="0083753D">
      <w:pPr>
        <w:jc w:val="both"/>
        <w:rPr>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2.</w:t>
      </w:r>
      <w:r w:rsidR="0083753D" w:rsidRPr="004A5029">
        <w:rPr>
          <w:rStyle w:val="Hyperlink0"/>
          <w:rFonts w:ascii="Times New Roman" w:hAnsi="Times New Roman" w:cs="Times New Roman"/>
          <w:color w:val="000000" w:themeColor="text1"/>
        </w:rPr>
        <w:t xml:space="preserve"> Il giudice precisa, in funzione delle deduzioni delle parti e della valutazione della gravità della condotta della stazione appaltante o dell’ente concedente e della situazione di fatto, se la declaratoria di inefficacia è limitata alle prestazioni ancora da eseguire alla data della pubblicazione del dispositivo o se essa opera in via retroattiva.</w:t>
      </w:r>
    </w:p>
    <w:p w14:paraId="15975260" w14:textId="0A34CD77" w:rsidR="0083753D" w:rsidRPr="004A5029" w:rsidRDefault="00A47D2D" w:rsidP="0083753D">
      <w:pPr>
        <w:jc w:val="both"/>
        <w:rPr>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3</w:t>
      </w:r>
      <w:r w:rsidR="0083753D" w:rsidRPr="004A5029">
        <w:rPr>
          <w:rStyle w:val="Hyperlink0"/>
          <w:rFonts w:ascii="Times New Roman" w:hAnsi="Times New Roman" w:cs="Times New Roman"/>
          <w:i/>
          <w:iCs/>
          <w:color w:val="000000" w:themeColor="text1"/>
        </w:rPr>
        <w:t>.</w:t>
      </w:r>
      <w:r w:rsidR="0083753D" w:rsidRPr="004A5029">
        <w:rPr>
          <w:rStyle w:val="Hyperlink0"/>
          <w:rFonts w:ascii="Times New Roman" w:hAnsi="Times New Roman" w:cs="Times New Roman"/>
          <w:color w:val="000000" w:themeColor="text1"/>
        </w:rPr>
        <w:t xml:space="preserve"> Il contratto resta efficace, anche in presenza delle violazioni di cui al comma 1, qualora venga accertato che il rispetto di esigenze imperative connesse a un interesse generale imponga che i suoi effetti siano mantenuti. Tra le esigenze imperative rientrano, fra l'altro, quelle imprescindibili di carattere tecnico o di altro tipo, tali da rendere evidente che i residui obblighi contrattuali possono essere rispettati solo dall'esecutore attuale. Gli interessi economici sono presi in considerazione come esigenze imperative solo quando l'inefficacia del contratto condurrebbe a conseguenze sproporzionate, avuto anche riguardo all'eventuale mancata proposizione della domanda di subentro nel contratto nei casi in cui il vizio dell'aggiudicazione non comporta l'obbligo di rinnovare la gara. Non costituiscono esigenze imperative gli interessi economici legati direttamente al contratto, che comprendono fra l'altro i costi derivanti dal ritardo nell'esecuzione del contratto stesso, dalla necessità di indire una nuova procedura di aggiudicazione, dal cambio dell'operatore economico e dagli obblighi di legge risultanti dalla dichiarazione di inefficacia.</w:t>
      </w:r>
    </w:p>
    <w:p w14:paraId="6E7A56DE" w14:textId="737FBF8D" w:rsidR="0083753D" w:rsidRPr="004A5029" w:rsidRDefault="00A47D2D" w:rsidP="0083753D">
      <w:pPr>
        <w:jc w:val="both"/>
        <w:rPr>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4</w:t>
      </w:r>
      <w:r w:rsidR="0083753D" w:rsidRPr="004A5029">
        <w:rPr>
          <w:rStyle w:val="Hyperlink0"/>
          <w:rFonts w:ascii="Times New Roman" w:hAnsi="Times New Roman" w:cs="Times New Roman"/>
          <w:i/>
          <w:iCs/>
          <w:color w:val="000000" w:themeColor="text1"/>
        </w:rPr>
        <w:t>.</w:t>
      </w:r>
      <w:r w:rsidR="0083753D" w:rsidRPr="004A5029">
        <w:rPr>
          <w:rStyle w:val="Hyperlink0"/>
          <w:rFonts w:ascii="Times New Roman" w:hAnsi="Times New Roman" w:cs="Times New Roman"/>
          <w:color w:val="000000" w:themeColor="text1"/>
        </w:rPr>
        <w:t xml:space="preserve"> A cura della segreteria, le sentenze che provvedono in applicazione del comma </w:t>
      </w:r>
      <w:r w:rsidR="0081782D" w:rsidRPr="004A5029">
        <w:rPr>
          <w:rStyle w:val="Hyperlink0"/>
          <w:rFonts w:ascii="Times New Roman" w:hAnsi="Times New Roman" w:cs="Times New Roman"/>
          <w:color w:val="000000" w:themeColor="text1"/>
        </w:rPr>
        <w:t>3</w:t>
      </w:r>
      <w:r w:rsidR="0083753D" w:rsidRPr="004A5029">
        <w:rPr>
          <w:rStyle w:val="Hyperlink0"/>
          <w:rFonts w:ascii="Times New Roman" w:hAnsi="Times New Roman" w:cs="Times New Roman"/>
          <w:color w:val="000000" w:themeColor="text1"/>
        </w:rPr>
        <w:t xml:space="preserve"> sono trasmesse alla Presidenza del Consiglio dei </w:t>
      </w:r>
      <w:r w:rsidR="00FE1836" w:rsidRPr="004A5029">
        <w:rPr>
          <w:rStyle w:val="Hyperlink0"/>
          <w:rFonts w:ascii="Times New Roman" w:hAnsi="Times New Roman" w:cs="Times New Roman"/>
          <w:color w:val="000000" w:themeColor="text1"/>
        </w:rPr>
        <w:t>m</w:t>
      </w:r>
      <w:r w:rsidR="0083753D" w:rsidRPr="004A5029">
        <w:rPr>
          <w:rStyle w:val="Hyperlink0"/>
          <w:rFonts w:ascii="Times New Roman" w:hAnsi="Times New Roman" w:cs="Times New Roman"/>
          <w:color w:val="000000" w:themeColor="text1"/>
        </w:rPr>
        <w:t xml:space="preserve">inistri - Dipartimento per le politiche </w:t>
      </w:r>
      <w:r w:rsidR="0083753D" w:rsidRPr="004A5029">
        <w:rPr>
          <w:rStyle w:val="Hyperlink0"/>
          <w:rFonts w:ascii="Times New Roman" w:hAnsi="Times New Roman" w:cs="Times New Roman"/>
          <w:b/>
          <w:bCs/>
          <w:strike/>
          <w:color w:val="000000" w:themeColor="text1"/>
        </w:rPr>
        <w:t>comunitarie</w:t>
      </w:r>
      <w:r w:rsidR="000A54CD" w:rsidRPr="004A5029">
        <w:rPr>
          <w:rStyle w:val="Hyperlink0"/>
          <w:rFonts w:ascii="Times New Roman" w:hAnsi="Times New Roman" w:cs="Times New Roman"/>
          <w:color w:val="000000" w:themeColor="text1"/>
        </w:rPr>
        <w:t xml:space="preserve"> </w:t>
      </w:r>
      <w:r w:rsidR="000A54CD" w:rsidRPr="004A5029">
        <w:rPr>
          <w:rStyle w:val="Hyperlink0"/>
          <w:rFonts w:ascii="Times New Roman" w:hAnsi="Times New Roman" w:cs="Times New Roman"/>
          <w:b/>
          <w:bCs/>
          <w:color w:val="000000" w:themeColor="text1"/>
        </w:rPr>
        <w:t>europee</w:t>
      </w:r>
      <w:r w:rsidR="0083753D" w:rsidRPr="004A5029">
        <w:rPr>
          <w:rStyle w:val="Hyperlink0"/>
          <w:rFonts w:ascii="Times New Roman" w:hAnsi="Times New Roman" w:cs="Times New Roman"/>
          <w:color w:val="000000" w:themeColor="text1"/>
        </w:rPr>
        <w:t>.</w:t>
      </w:r>
    </w:p>
    <w:p w14:paraId="0520852C" w14:textId="3F6D4E46" w:rsidR="0083753D" w:rsidRPr="004A5029" w:rsidRDefault="00A47D2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i/>
          <w:iCs/>
          <w:color w:val="000000" w:themeColor="text1"/>
        </w:rPr>
        <w:t>5</w:t>
      </w:r>
      <w:r w:rsidR="0083753D" w:rsidRPr="004A5029">
        <w:rPr>
          <w:rStyle w:val="Hyperlink0"/>
          <w:rFonts w:ascii="Times New Roman" w:hAnsi="Times New Roman" w:cs="Times New Roman"/>
          <w:i/>
          <w:iCs/>
          <w:color w:val="000000" w:themeColor="text1"/>
        </w:rPr>
        <w:t>.</w:t>
      </w:r>
      <w:r w:rsidR="0083753D" w:rsidRPr="004A5029">
        <w:rPr>
          <w:rStyle w:val="Hyperlink0"/>
          <w:rFonts w:ascii="Times New Roman" w:hAnsi="Times New Roman" w:cs="Times New Roman"/>
          <w:color w:val="000000" w:themeColor="text1"/>
        </w:rPr>
        <w:t xml:space="preserve"> Quando, nonostante le violazioni, il contratto è considerato efficace o l'inefficacia è temporalmente limitata, si applicano le sanzioni alternative di cui all'art</w:t>
      </w:r>
      <w:r w:rsidR="00C3506D" w:rsidRPr="004A5029">
        <w:rPr>
          <w:rStyle w:val="Hyperlink0"/>
          <w:rFonts w:ascii="Times New Roman" w:hAnsi="Times New Roman" w:cs="Times New Roman"/>
          <w:color w:val="000000" w:themeColor="text1"/>
        </w:rPr>
        <w:t>icolo</w:t>
      </w:r>
      <w:r w:rsidR="0083753D" w:rsidRPr="004A5029">
        <w:rPr>
          <w:rStyle w:val="Hyperlink0"/>
          <w:rFonts w:ascii="Times New Roman" w:hAnsi="Times New Roman" w:cs="Times New Roman"/>
          <w:color w:val="000000" w:themeColor="text1"/>
        </w:rPr>
        <w:t xml:space="preserve"> 123.</w:t>
      </w:r>
    </w:p>
    <w:p w14:paraId="186C6A47" w14:textId="1D28A79E" w:rsidR="0083753D" w:rsidRPr="004A5029" w:rsidRDefault="00A47D2D" w:rsidP="0083753D">
      <w:pPr>
        <w:widowControl w:val="0"/>
        <w:tabs>
          <w:tab w:val="left" w:pos="820"/>
        </w:tabs>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i/>
          <w:iCs/>
          <w:color w:val="000000" w:themeColor="text1"/>
        </w:rPr>
        <w:t>6</w:t>
      </w:r>
      <w:r w:rsidR="0083753D" w:rsidRPr="004A5029">
        <w:rPr>
          <w:rStyle w:val="Hyperlink0"/>
          <w:rFonts w:ascii="Times New Roman" w:hAnsi="Times New Roman" w:cs="Times New Roman"/>
          <w:i/>
          <w:iCs/>
          <w:color w:val="000000" w:themeColor="text1"/>
        </w:rPr>
        <w:t>.</w:t>
      </w:r>
      <w:r w:rsidR="0083753D" w:rsidRPr="004A5029">
        <w:rPr>
          <w:rStyle w:val="Hyperlink0"/>
          <w:rFonts w:ascii="Times New Roman" w:hAnsi="Times New Roman" w:cs="Times New Roman"/>
          <w:color w:val="000000" w:themeColor="text1"/>
        </w:rPr>
        <w:t xml:space="preserve"> La inefficacia del contratto prevista dal comma 1, lettere a) e b), non si applica quando la stazione appaltante o l’ente concedente ha seguito la seguente procedura:</w:t>
      </w:r>
    </w:p>
    <w:p w14:paraId="074C0FF4" w14:textId="4EA0FE03" w:rsidR="00E72484" w:rsidRPr="004A5029" w:rsidRDefault="0083753D" w:rsidP="00E72484">
      <w:pPr>
        <w:widowControl w:val="0"/>
        <w:tabs>
          <w:tab w:val="left" w:pos="820"/>
        </w:tabs>
        <w:ind w:firstLine="284"/>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i/>
          <w:iCs/>
          <w:color w:val="000000" w:themeColor="text1"/>
        </w:rPr>
        <w:t>a)</w:t>
      </w:r>
      <w:r w:rsidRPr="004A5029">
        <w:rPr>
          <w:rStyle w:val="Hyperlink0"/>
          <w:rFonts w:ascii="Times New Roman" w:hAnsi="Times New Roman" w:cs="Times New Roman"/>
          <w:color w:val="000000" w:themeColor="text1"/>
        </w:rPr>
        <w:t xml:space="preserve"> con atto motivato anteriore all'avvio della procedura di affidamento ha dichiarato che la procedura senza pubblicazione del bando o avviso con cui si indice una gara nella Gazzetta </w:t>
      </w:r>
      <w:r w:rsidR="001E783B" w:rsidRPr="004A5029">
        <w:rPr>
          <w:rStyle w:val="normaltextrun"/>
          <w:rFonts w:ascii="Times New Roman" w:hAnsi="Times New Roman" w:cs="Times New Roman"/>
          <w:b/>
          <w:bCs/>
          <w:strike/>
          <w:color w:val="000000" w:themeColor="text1"/>
        </w:rPr>
        <w:t>U</w:t>
      </w:r>
      <w:r w:rsidR="001E783B" w:rsidRPr="004A5029">
        <w:rPr>
          <w:rStyle w:val="normaltextrun"/>
          <w:rFonts w:ascii="Times New Roman" w:hAnsi="Times New Roman" w:cs="Times New Roman"/>
          <w:b/>
          <w:bCs/>
          <w:color w:val="000000" w:themeColor="text1"/>
        </w:rPr>
        <w:t>u</w:t>
      </w:r>
      <w:r w:rsidRPr="004A5029">
        <w:rPr>
          <w:rStyle w:val="Hyperlink0"/>
          <w:rFonts w:ascii="Times New Roman" w:hAnsi="Times New Roman" w:cs="Times New Roman"/>
          <w:color w:val="000000" w:themeColor="text1"/>
        </w:rPr>
        <w:t>fficiale dell'Unione europea ovvero nella Gazzetta Ufficiale della Repubblica italiana è consentita dal codice dei contratti pubblici</w:t>
      </w:r>
      <w:r w:rsidR="001046CC" w:rsidRPr="004A5029">
        <w:rPr>
          <w:b/>
          <w:bCs/>
          <w:color w:val="000000" w:themeColor="text1"/>
        </w:rPr>
        <w:t>,</w:t>
      </w:r>
      <w:r w:rsidR="001046CC" w:rsidRPr="004A5029">
        <w:rPr>
          <w:b/>
          <w:color w:val="000000" w:themeColor="text1"/>
        </w:rPr>
        <w:t xml:space="preserve"> </w:t>
      </w:r>
      <w:r w:rsidR="001046CC" w:rsidRPr="004A5029">
        <w:rPr>
          <w:rFonts w:ascii="Times New Roman" w:hAnsi="Times New Roman" w:cs="Times New Roman"/>
          <w:b/>
          <w:bCs/>
          <w:color w:val="000000" w:themeColor="text1"/>
        </w:rPr>
        <w:t>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0"/>
          <w:rFonts w:ascii="Times New Roman" w:hAnsi="Times New Roman" w:cs="Times New Roman"/>
          <w:color w:val="000000" w:themeColor="text1"/>
        </w:rPr>
        <w:t>;</w:t>
      </w:r>
    </w:p>
    <w:p w14:paraId="43156B7D" w14:textId="024DE904" w:rsidR="00E72484" w:rsidRPr="004A5029" w:rsidRDefault="0083753D" w:rsidP="00E72484">
      <w:pPr>
        <w:widowControl w:val="0"/>
        <w:tabs>
          <w:tab w:val="left" w:pos="820"/>
        </w:tabs>
        <w:ind w:firstLine="284"/>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i/>
          <w:iCs/>
          <w:color w:val="000000" w:themeColor="text1"/>
        </w:rPr>
        <w:t>b)</w:t>
      </w:r>
      <w:r w:rsidRPr="004A5029">
        <w:rPr>
          <w:rStyle w:val="Hyperlink0"/>
          <w:rFonts w:ascii="Times New Roman" w:hAnsi="Times New Roman" w:cs="Times New Roman"/>
          <w:color w:val="000000" w:themeColor="text1"/>
        </w:rPr>
        <w:t xml:space="preserve"> rispettivamente per i contratti di rilevanza </w:t>
      </w:r>
      <w:r w:rsidR="0081782D" w:rsidRPr="004A5029">
        <w:rPr>
          <w:rStyle w:val="Hyperlink0"/>
          <w:rFonts w:ascii="Times New Roman" w:hAnsi="Times New Roman" w:cs="Times New Roman"/>
          <w:color w:val="000000" w:themeColor="text1"/>
        </w:rPr>
        <w:t>europea</w:t>
      </w:r>
      <w:r w:rsidRPr="004A5029">
        <w:rPr>
          <w:rStyle w:val="Hyperlink0"/>
          <w:rFonts w:ascii="Times New Roman" w:hAnsi="Times New Roman" w:cs="Times New Roman"/>
          <w:color w:val="000000" w:themeColor="text1"/>
        </w:rPr>
        <w:t xml:space="preserve"> e per quelli sotto soglia, ha pubblicato nella Gazzetta </w:t>
      </w:r>
      <w:r w:rsidR="001E783B" w:rsidRPr="004A5029">
        <w:rPr>
          <w:rStyle w:val="normaltextrun"/>
          <w:rFonts w:ascii="Times New Roman" w:hAnsi="Times New Roman" w:cs="Times New Roman"/>
          <w:b/>
          <w:bCs/>
          <w:strike/>
          <w:color w:val="000000" w:themeColor="text1"/>
        </w:rPr>
        <w:t>U</w:t>
      </w:r>
      <w:r w:rsidR="001E783B" w:rsidRPr="004A5029">
        <w:rPr>
          <w:rStyle w:val="normaltextrun"/>
          <w:rFonts w:ascii="Times New Roman" w:hAnsi="Times New Roman" w:cs="Times New Roman"/>
          <w:b/>
          <w:bCs/>
          <w:color w:val="000000" w:themeColor="text1"/>
        </w:rPr>
        <w:t>u</w:t>
      </w:r>
      <w:r w:rsidRPr="004A5029">
        <w:rPr>
          <w:rStyle w:val="Hyperlink0"/>
          <w:rFonts w:ascii="Times New Roman" w:hAnsi="Times New Roman" w:cs="Times New Roman"/>
          <w:color w:val="000000" w:themeColor="text1"/>
        </w:rPr>
        <w:t>fficiale dell'Unione europea oppure nella Gazzetta Ufficiale della Repubblica italiana un avviso volontario per la trasparenza preventiva ai sensi dell'</w:t>
      </w:r>
      <w:r w:rsidRPr="004A5029">
        <w:rPr>
          <w:rStyle w:val="Hyperlink0"/>
          <w:rFonts w:ascii="Times New Roman" w:hAnsi="Times New Roman" w:cs="Times New Roman"/>
          <w:bCs/>
          <w:color w:val="000000" w:themeColor="text1"/>
        </w:rPr>
        <w:t>articolo 86 del</w:t>
      </w:r>
      <w:r w:rsidRPr="004A5029">
        <w:rPr>
          <w:rFonts w:ascii="Times New Roman" w:hAnsi="Times New Roman" w:cs="Times New Roman"/>
          <w:bCs/>
          <w:color w:val="000000" w:themeColor="text1"/>
        </w:rPr>
        <w:t xml:space="preserve"> </w:t>
      </w:r>
      <w:r w:rsidRPr="004A5029">
        <w:rPr>
          <w:rStyle w:val="Hyperlink0"/>
          <w:rFonts w:ascii="Times New Roman" w:hAnsi="Times New Roman" w:cs="Times New Roman"/>
          <w:bCs/>
          <w:color w:val="000000" w:themeColor="text1"/>
        </w:rPr>
        <w:t>codice dei contratti pubblici</w:t>
      </w:r>
      <w:r w:rsidR="001046CC" w:rsidRPr="004A5029">
        <w:rPr>
          <w:b/>
          <w:bCs/>
          <w:color w:val="000000" w:themeColor="text1"/>
        </w:rPr>
        <w:t>,</w:t>
      </w:r>
      <w:r w:rsidR="001046CC" w:rsidRPr="004A5029">
        <w:rPr>
          <w:b/>
          <w:color w:val="000000" w:themeColor="text1"/>
        </w:rPr>
        <w:t xml:space="preserve"> </w:t>
      </w:r>
      <w:r w:rsidR="001046CC" w:rsidRPr="004A5029">
        <w:rPr>
          <w:rFonts w:ascii="Times New Roman" w:hAnsi="Times New Roman" w:cs="Times New Roman"/>
          <w:b/>
          <w:bCs/>
          <w:color w:val="000000" w:themeColor="text1"/>
        </w:rPr>
        <w:t>di cui al decreto legislativo di attuazione</w:t>
      </w:r>
      <w:r w:rsidR="00272CD4">
        <w:rPr>
          <w:rFonts w:ascii="Times New Roman" w:hAnsi="Times New Roman" w:cs="Times New Roman"/>
          <w:b/>
          <w:bCs/>
          <w:color w:val="000000" w:themeColor="text1"/>
        </w:rPr>
        <w:t xml:space="preserve"> </w:t>
      </w:r>
      <w:r w:rsidR="00272CD4" w:rsidRPr="004A5029">
        <w:rPr>
          <w:rFonts w:ascii="Times New Roman" w:hAnsi="Times New Roman" w:cs="Times New Roman"/>
          <w:b/>
          <w:bCs/>
          <w:color w:val="000000" w:themeColor="text1"/>
        </w:rPr>
        <w:t xml:space="preserve">della legge </w:t>
      </w:r>
      <w:r w:rsidR="00272CD4">
        <w:rPr>
          <w:rFonts w:ascii="Times New Roman" w:hAnsi="Times New Roman" w:cs="Times New Roman"/>
          <w:b/>
          <w:bCs/>
          <w:color w:val="000000" w:themeColor="text1"/>
        </w:rPr>
        <w:t xml:space="preserve">n. 78 del </w:t>
      </w:r>
      <w:r w:rsidR="00272CD4" w:rsidRPr="004A5029">
        <w:rPr>
          <w:rFonts w:ascii="Times New Roman" w:hAnsi="Times New Roman" w:cs="Times New Roman"/>
          <w:b/>
          <w:bCs/>
          <w:color w:val="000000" w:themeColor="text1"/>
        </w:rPr>
        <w:t>2022</w:t>
      </w:r>
      <w:r w:rsidRPr="004A5029">
        <w:rPr>
          <w:rStyle w:val="Hyperlink0"/>
          <w:rFonts w:ascii="Times New Roman" w:hAnsi="Times New Roman" w:cs="Times New Roman"/>
          <w:color w:val="000000" w:themeColor="text1"/>
        </w:rPr>
        <w:t>, in cui manifesta l'intenzione di concludere il contratto;</w:t>
      </w:r>
    </w:p>
    <w:p w14:paraId="0AFAD77C" w14:textId="5DD15777" w:rsidR="0083753D" w:rsidRPr="004A5029" w:rsidRDefault="0083753D" w:rsidP="00E72484">
      <w:pPr>
        <w:widowControl w:val="0"/>
        <w:tabs>
          <w:tab w:val="left" w:pos="820"/>
        </w:tabs>
        <w:ind w:firstLine="284"/>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i/>
          <w:iCs/>
          <w:color w:val="000000" w:themeColor="text1"/>
        </w:rPr>
        <w:t>c)</w:t>
      </w:r>
      <w:r w:rsidRPr="004A5029">
        <w:rPr>
          <w:rStyle w:val="Hyperlink0"/>
          <w:rFonts w:ascii="Times New Roman" w:hAnsi="Times New Roman" w:cs="Times New Roman"/>
          <w:color w:val="000000" w:themeColor="text1"/>
        </w:rPr>
        <w:t xml:space="preserve"> il contratto non è stato concluso prima dello scadere di un termine di almeno </w:t>
      </w:r>
      <w:r w:rsidRPr="004A5029">
        <w:rPr>
          <w:rStyle w:val="Hyperlink0"/>
          <w:rFonts w:ascii="Times New Roman" w:hAnsi="Times New Roman" w:cs="Times New Roman"/>
          <w:b/>
          <w:bCs/>
          <w:strike/>
          <w:color w:val="000000" w:themeColor="text1"/>
        </w:rPr>
        <w:t>10</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dieci </w:t>
      </w:r>
      <w:r w:rsidRPr="004A5029">
        <w:rPr>
          <w:rStyle w:val="Hyperlink0"/>
          <w:rFonts w:ascii="Times New Roman" w:hAnsi="Times New Roman" w:cs="Times New Roman"/>
          <w:color w:val="000000" w:themeColor="text1"/>
        </w:rPr>
        <w:t>giorni decorrenti dal giorno successivo alla data di pubblicazione dell'avviso di cui alla lettera b)</w:t>
      </w:r>
      <w:r w:rsidR="00733A87" w:rsidRPr="004A5029">
        <w:rPr>
          <w:rStyle w:val="Hyperlink0"/>
          <w:rFonts w:ascii="Times New Roman" w:hAnsi="Times New Roman" w:cs="Times New Roman"/>
          <w:color w:val="000000" w:themeColor="text1"/>
        </w:rPr>
        <w:t>.</w:t>
      </w:r>
      <w:r w:rsidR="005173E5" w:rsidRPr="004A5029">
        <w:rPr>
          <w:rFonts w:ascii="Times New Roman" w:hAnsi="Times New Roman" w:cs="Times New Roman"/>
          <w:b/>
          <w:bCs/>
          <w:color w:val="000000" w:themeColor="text1"/>
        </w:rPr>
        <w:t>»</w:t>
      </w:r>
      <w:r w:rsidR="005173E5" w:rsidRPr="009F04A1">
        <w:rPr>
          <w:rFonts w:ascii="Times New Roman" w:hAnsi="Times New Roman" w:cs="Times New Roman"/>
          <w:b/>
          <w:bCs/>
          <w:strike/>
          <w:color w:val="000000" w:themeColor="text1"/>
        </w:rPr>
        <w:t>”</w:t>
      </w:r>
      <w:r w:rsidR="00A47D2D" w:rsidRPr="004A5029">
        <w:rPr>
          <w:rStyle w:val="Hyperlink0"/>
          <w:rFonts w:ascii="Times New Roman" w:hAnsi="Times New Roman" w:cs="Times New Roman"/>
          <w:color w:val="000000" w:themeColor="text1"/>
        </w:rPr>
        <w:t>;</w:t>
      </w:r>
    </w:p>
    <w:p w14:paraId="4D5447FB" w14:textId="729B9E88" w:rsidR="00A47D2D" w:rsidRPr="004A5029" w:rsidRDefault="00A47D2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c) all’articolo 123, comma 1, alinea, le parole</w:t>
      </w:r>
      <w:r w:rsidR="00C16E49" w:rsidRPr="004A5029">
        <w:rPr>
          <w:rFonts w:ascii="Times New Roman" w:hAnsi="Times New Roman" w:cs="Times New Roman"/>
          <w:b/>
          <w:bCs/>
          <w:color w:val="000000" w:themeColor="text1"/>
        </w:rPr>
        <w:t>:</w:t>
      </w:r>
      <w:r w:rsidRPr="004A5029">
        <w:rPr>
          <w:rFonts w:ascii="Times New Roman" w:hAnsi="Times New Roman" w:cs="Times New Roman"/>
          <w:b/>
          <w:bCs/>
          <w:color w:val="000000" w:themeColor="text1"/>
        </w:rPr>
        <w:t xml:space="preserve"> </w:t>
      </w:r>
      <w:r w:rsidR="005173E5" w:rsidRPr="009F04A1">
        <w:rPr>
          <w:rFonts w:ascii="Times New Roman" w:hAnsi="Times New Roman" w:cs="Times New Roman"/>
          <w:b/>
          <w:bCs/>
          <w:strike/>
          <w:color w:val="000000" w:themeColor="text1"/>
        </w:rPr>
        <w:t>“</w:t>
      </w:r>
      <w:r w:rsidR="005173E5" w:rsidRPr="004A5029">
        <w:rPr>
          <w:rFonts w:ascii="Times New Roman" w:hAnsi="Times New Roman" w:cs="Times New Roman"/>
          <w:b/>
          <w:bCs/>
          <w:color w:val="000000" w:themeColor="text1"/>
        </w:rPr>
        <w:t>«</w:t>
      </w:r>
      <w:r w:rsidRPr="004A5029">
        <w:rPr>
          <w:rFonts w:ascii="Times New Roman" w:eastAsia="Times New Roman" w:hAnsi="Times New Roman" w:cs="Times New Roman"/>
          <w:color w:val="000000" w:themeColor="text1"/>
        </w:rPr>
        <w:t>di cui all’articolo 121, comma 4</w:t>
      </w:r>
      <w:r w:rsidR="005173E5" w:rsidRPr="004A5029">
        <w:rPr>
          <w:rFonts w:ascii="Times New Roman" w:hAnsi="Times New Roman" w:cs="Times New Roman"/>
          <w:b/>
          <w:bCs/>
          <w:color w:val="000000" w:themeColor="text1"/>
        </w:rPr>
        <w:t>»</w:t>
      </w:r>
      <w:r w:rsidR="005173E5" w:rsidRPr="009F04A1">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w:t>
      </w:r>
      <w:r w:rsidRPr="004A5029">
        <w:rPr>
          <w:rFonts w:ascii="Times New Roman" w:eastAsia="Times New Roman" w:hAnsi="Times New Roman" w:cs="Times New Roman"/>
          <w:color w:val="000000" w:themeColor="text1"/>
        </w:rPr>
        <w:t xml:space="preserve">sono sostituite dalle seguenti: </w:t>
      </w:r>
      <w:r w:rsidR="005173E5" w:rsidRPr="009F04A1">
        <w:rPr>
          <w:rFonts w:ascii="Times New Roman" w:hAnsi="Times New Roman" w:cs="Times New Roman"/>
          <w:b/>
          <w:bCs/>
          <w:strike/>
          <w:color w:val="000000" w:themeColor="text1"/>
        </w:rPr>
        <w:t>“</w:t>
      </w:r>
      <w:r w:rsidR="005173E5" w:rsidRPr="004A5029">
        <w:rPr>
          <w:rFonts w:ascii="Times New Roman" w:hAnsi="Times New Roman" w:cs="Times New Roman"/>
          <w:b/>
          <w:bCs/>
          <w:color w:val="000000" w:themeColor="text1"/>
        </w:rPr>
        <w:t>«</w:t>
      </w:r>
      <w:r w:rsidRPr="004A5029">
        <w:rPr>
          <w:rFonts w:ascii="Times New Roman" w:eastAsia="Times New Roman" w:hAnsi="Times New Roman" w:cs="Times New Roman"/>
          <w:color w:val="000000" w:themeColor="text1"/>
        </w:rPr>
        <w:t>di cui all’articolo 121, comma 5</w:t>
      </w:r>
      <w:r w:rsidR="005173E5" w:rsidRPr="004A5029">
        <w:rPr>
          <w:rFonts w:ascii="Times New Roman" w:hAnsi="Times New Roman" w:cs="Times New Roman"/>
          <w:b/>
          <w:bCs/>
          <w:color w:val="000000" w:themeColor="text1"/>
        </w:rPr>
        <w:t>»</w:t>
      </w:r>
      <w:r w:rsidR="005173E5" w:rsidRPr="009F04A1">
        <w:rPr>
          <w:rFonts w:ascii="Times New Roman" w:hAnsi="Times New Roman" w:cs="Times New Roman"/>
          <w:b/>
          <w:bCs/>
          <w:strike/>
          <w:color w:val="000000" w:themeColor="text1"/>
        </w:rPr>
        <w:t>”</w:t>
      </w:r>
      <w:r w:rsidRPr="004A5029">
        <w:rPr>
          <w:rFonts w:ascii="Times New Roman" w:eastAsia="Times New Roman" w:hAnsi="Times New Roman" w:cs="Times New Roman"/>
          <w:color w:val="000000" w:themeColor="text1"/>
        </w:rPr>
        <w:t>;</w:t>
      </w:r>
    </w:p>
    <w:p w14:paraId="6F57C8CA" w14:textId="15A27A84" w:rsidR="0083753D" w:rsidRPr="004A5029" w:rsidRDefault="00A47D2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d) l</w:t>
      </w:r>
      <w:r w:rsidR="0083753D" w:rsidRPr="004A5029">
        <w:rPr>
          <w:rFonts w:ascii="Times New Roman" w:eastAsia="Times New Roman" w:hAnsi="Times New Roman" w:cs="Times New Roman"/>
          <w:color w:val="000000" w:themeColor="text1"/>
        </w:rPr>
        <w:t>’articolo 124 è sostituito dal seguente:</w:t>
      </w:r>
    </w:p>
    <w:p w14:paraId="18A91B9E" w14:textId="30CAACF6" w:rsidR="0083753D" w:rsidRPr="004A5029" w:rsidRDefault="005173E5" w:rsidP="0083753D">
      <w:pPr>
        <w:jc w:val="both"/>
        <w:rPr>
          <w:rFonts w:ascii="Times New Roman" w:eastAsia="Times New Roman" w:hAnsi="Times New Roman" w:cs="Times New Roman"/>
          <w:bCs/>
          <w:color w:val="000000" w:themeColor="text1"/>
        </w:rPr>
      </w:pPr>
      <w:r w:rsidRPr="009F04A1">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w:t>
      </w:r>
      <w:r w:rsidR="004E496C" w:rsidRPr="004A5029">
        <w:rPr>
          <w:rFonts w:ascii="Times New Roman" w:hAnsi="Times New Roman" w:cs="Times New Roman"/>
          <w:color w:val="000000" w:themeColor="text1"/>
        </w:rPr>
        <w:t>Art.</w:t>
      </w:r>
      <w:r w:rsidR="004E496C" w:rsidRPr="004A5029">
        <w:rPr>
          <w:rFonts w:ascii="Times New Roman" w:hAnsi="Times New Roman" w:cs="Times New Roman"/>
          <w:b/>
          <w:bCs/>
          <w:strike/>
          <w:color w:val="000000" w:themeColor="text1"/>
        </w:rPr>
        <w:t>icolo</w:t>
      </w:r>
      <w:r w:rsidR="0083753D" w:rsidRPr="004A5029">
        <w:rPr>
          <w:rStyle w:val="Hyperlink0"/>
          <w:rFonts w:ascii="Times New Roman" w:hAnsi="Times New Roman" w:cs="Times New Roman"/>
          <w:bCs/>
          <w:color w:val="000000" w:themeColor="text1"/>
        </w:rPr>
        <w:t xml:space="preserve"> 124</w:t>
      </w:r>
      <w:r w:rsidR="00E72484" w:rsidRPr="004A5029">
        <w:rPr>
          <w:rStyle w:val="Hyperlink0"/>
          <w:rFonts w:ascii="Times New Roman" w:hAnsi="Times New Roman" w:cs="Times New Roman"/>
          <w:bCs/>
          <w:color w:val="000000" w:themeColor="text1"/>
        </w:rPr>
        <w:t xml:space="preserve"> </w:t>
      </w:r>
      <w:r w:rsidR="00E72484" w:rsidRPr="004A5029">
        <w:rPr>
          <w:rFonts w:ascii="Times New Roman" w:hAnsi="Times New Roman" w:cs="Times New Roman"/>
          <w:b/>
          <w:bCs/>
          <w:i/>
          <w:iCs/>
          <w:color w:val="000000" w:themeColor="text1"/>
        </w:rPr>
        <w:t>– (</w:t>
      </w:r>
      <w:r w:rsidR="0083753D" w:rsidRPr="004A5029">
        <w:rPr>
          <w:rStyle w:val="Hyperlink0"/>
          <w:rFonts w:ascii="Times New Roman" w:hAnsi="Times New Roman" w:cs="Times New Roman"/>
          <w:bCs/>
          <w:i/>
          <w:color w:val="000000" w:themeColor="text1"/>
        </w:rPr>
        <w:t>Tutela in forma specifica e per equivalente</w:t>
      </w:r>
      <w:r w:rsidR="00E72484" w:rsidRPr="004A5029">
        <w:rPr>
          <w:rStyle w:val="Hyperlink0"/>
          <w:rFonts w:ascii="Times New Roman" w:hAnsi="Times New Roman" w:cs="Times New Roman"/>
          <w:b/>
          <w:i/>
          <w:color w:val="000000" w:themeColor="text1"/>
        </w:rPr>
        <w:t xml:space="preserve">) </w:t>
      </w:r>
      <w:r w:rsidR="00E72484" w:rsidRPr="004A5029">
        <w:rPr>
          <w:rFonts w:ascii="Times New Roman" w:hAnsi="Times New Roman" w:cs="Times New Roman"/>
          <w:b/>
          <w:i/>
          <w:color w:val="000000" w:themeColor="text1"/>
        </w:rPr>
        <w:t>–</w:t>
      </w:r>
      <w:r w:rsidR="00E72484" w:rsidRPr="004A5029">
        <w:rPr>
          <w:rFonts w:ascii="Times New Roman" w:hAnsi="Times New Roman" w:cs="Times New Roman"/>
          <w:i/>
          <w:color w:val="000000" w:themeColor="text1"/>
        </w:rPr>
        <w:t xml:space="preserve"> </w:t>
      </w:r>
      <w:r w:rsidR="0083753D" w:rsidRPr="004A5029">
        <w:rPr>
          <w:rStyle w:val="Hyperlink1"/>
          <w:rFonts w:ascii="Times New Roman" w:hAnsi="Times New Roman" w:cs="Times New Roman"/>
          <w:i/>
          <w:iCs/>
          <w:color w:val="000000" w:themeColor="text1"/>
        </w:rPr>
        <w:t>1.</w:t>
      </w:r>
      <w:r w:rsidR="0083753D" w:rsidRPr="004A5029">
        <w:rPr>
          <w:rStyle w:val="Hyperlink1"/>
          <w:rFonts w:ascii="Times New Roman" w:hAnsi="Times New Roman" w:cs="Times New Roman"/>
          <w:color w:val="000000" w:themeColor="text1"/>
        </w:rPr>
        <w:t xml:space="preserve"> L'accoglimento della domanda di conseguire l'aggiudicazione e di stipulare il contratto è comunque condizionato alla dichiarazione di inefficacia del contratto ai sensi degli articoli 121, comma 1, e 122. Se non dichiara l'inefficacia del contratto, il giudice dispone il risarcimento per equivalente del danno subìto e provato</w:t>
      </w:r>
      <w:r w:rsidR="0083753D" w:rsidRPr="004A5029">
        <w:rPr>
          <w:rStyle w:val="Nessuno"/>
          <w:rFonts w:ascii="Times New Roman" w:hAnsi="Times New Roman" w:cs="Times New Roman"/>
          <w:color w:val="000000" w:themeColor="text1"/>
        </w:rPr>
        <w:t xml:space="preserve">. </w:t>
      </w:r>
      <w:r w:rsidR="0083753D" w:rsidRPr="004A5029">
        <w:rPr>
          <w:rStyle w:val="Nessuno"/>
          <w:rFonts w:ascii="Times New Roman" w:hAnsi="Times New Roman" w:cs="Times New Roman"/>
          <w:bCs/>
          <w:color w:val="000000" w:themeColor="text1"/>
        </w:rPr>
        <w:t xml:space="preserve">Il giudice conosce anche delle azioni risarcitorie e di quelle di rivalsa proposte dalla stazione appaltante nei confronti dell'operatore economico che, </w:t>
      </w:r>
      <w:r w:rsidR="0083753D" w:rsidRPr="004A5029">
        <w:rPr>
          <w:rFonts w:ascii="Times New Roman" w:eastAsia="Garamond" w:hAnsi="Times New Roman" w:cs="Times New Roman"/>
          <w:bCs/>
          <w:color w:val="000000" w:themeColor="text1"/>
        </w:rPr>
        <w:t>con un comportamento illecito,</w:t>
      </w:r>
      <w:r w:rsidR="0083753D" w:rsidRPr="004A5029">
        <w:rPr>
          <w:rStyle w:val="Nessuno"/>
          <w:rFonts w:ascii="Times New Roman" w:hAnsi="Times New Roman" w:cs="Times New Roman"/>
          <w:bCs/>
          <w:color w:val="000000" w:themeColor="text1"/>
        </w:rPr>
        <w:t xml:space="preserve"> ha concorso a determinare un esito della gara illegittimo.</w:t>
      </w:r>
    </w:p>
    <w:p w14:paraId="2BCAD8D8" w14:textId="77777777" w:rsidR="0083753D" w:rsidRPr="004A5029" w:rsidRDefault="0083753D" w:rsidP="0083753D">
      <w:pPr>
        <w:jc w:val="both"/>
        <w:rPr>
          <w:rFonts w:ascii="Times New Roman" w:eastAsia="Times New Roman" w:hAnsi="Times New Roman" w:cs="Times New Roman"/>
          <w:bCs/>
          <w:color w:val="000000" w:themeColor="text1"/>
        </w:rPr>
      </w:pPr>
      <w:r w:rsidRPr="004A5029">
        <w:rPr>
          <w:rStyle w:val="Hyperlink0"/>
          <w:rFonts w:ascii="Times New Roman" w:hAnsi="Times New Roman" w:cs="Times New Roman"/>
          <w:i/>
          <w:iCs/>
          <w:color w:val="000000" w:themeColor="text1"/>
        </w:rPr>
        <w:t>2.</w:t>
      </w:r>
      <w:r w:rsidRPr="004A5029">
        <w:rPr>
          <w:rStyle w:val="Hyperlink0"/>
          <w:rFonts w:ascii="Times New Roman" w:hAnsi="Times New Roman" w:cs="Times New Roman"/>
          <w:color w:val="000000" w:themeColor="text1"/>
        </w:rPr>
        <w:t xml:space="preserve"> La condotta processuale della parte che, senza giustificato motivo, non ha proposto la domanda di cui al comma 1, o non si è resa disponibile a subentrare nel contratto, è valutata dal giudice ai sensi dell'articolo 1227 del codice civile.</w:t>
      </w:r>
    </w:p>
    <w:p w14:paraId="15A2F714" w14:textId="2B9D0D57" w:rsidR="0083753D" w:rsidRPr="004A5029" w:rsidRDefault="0083753D" w:rsidP="6E003A1F">
      <w:pPr>
        <w:jc w:val="both"/>
        <w:rPr>
          <w:rFonts w:ascii="Times New Roman" w:eastAsia="Times New Roman" w:hAnsi="Times New Roman" w:cs="Times New Roman"/>
          <w:color w:val="000000" w:themeColor="text1"/>
        </w:rPr>
      </w:pPr>
      <w:r w:rsidRPr="004A5029">
        <w:rPr>
          <w:rStyle w:val="Hyperlink0"/>
          <w:rFonts w:ascii="Times New Roman" w:hAnsi="Times New Roman" w:cs="Times New Roman"/>
          <w:i/>
          <w:iCs/>
          <w:color w:val="000000" w:themeColor="text1"/>
        </w:rPr>
        <w:t>3.</w:t>
      </w:r>
      <w:r w:rsidRPr="004A5029">
        <w:rPr>
          <w:rStyle w:val="Hyperlink0"/>
          <w:rFonts w:ascii="Times New Roman" w:hAnsi="Times New Roman" w:cs="Times New Roman"/>
          <w:color w:val="000000" w:themeColor="text1"/>
        </w:rPr>
        <w:t xml:space="preserve"> Ai sensi dell’articolo 34, comma 4, il giudice individua i criteri di liquidazione del danno e assegna un termine entro il quale la parte danneggiante deve formulare una proposta risarcitoria.</w:t>
      </w:r>
      <w:r w:rsidRPr="004A5029">
        <w:rPr>
          <w:rFonts w:ascii="Times New Roman" w:hAnsi="Times New Roman" w:cs="Times New Roman"/>
          <w:color w:val="000000" w:themeColor="text1"/>
        </w:rPr>
        <w:t xml:space="preserve"> </w:t>
      </w:r>
      <w:r w:rsidRPr="004A5029">
        <w:rPr>
          <w:rStyle w:val="Hyperlink0"/>
          <w:rFonts w:ascii="Times New Roman" w:hAnsi="Times New Roman" w:cs="Times New Roman"/>
          <w:color w:val="000000" w:themeColor="text1"/>
        </w:rPr>
        <w:t xml:space="preserve">La mancata formulazione della proposta nel termine assegnato o la significativa differenza tra l’importo indicato nella proposta e quello liquidato nella sentenza resa sull’eventuale giudizio di ottemperanza costituiscono elementi valutativi ai fini della regolamentazione delle spese di lite in tale giudizio, fatto salvo quanto disposto dall’articolo 91, primo comma, </w:t>
      </w:r>
      <w:r w:rsidR="41B4FA91" w:rsidRPr="004A5029">
        <w:rPr>
          <w:rStyle w:val="Hyperlink0"/>
          <w:rFonts w:ascii="Times New Roman" w:hAnsi="Times New Roman" w:cs="Times New Roman"/>
          <w:color w:val="000000" w:themeColor="text1"/>
        </w:rPr>
        <w:t xml:space="preserve">del </w:t>
      </w:r>
      <w:r w:rsidRPr="004A5029">
        <w:rPr>
          <w:rStyle w:val="Hyperlink0"/>
          <w:rFonts w:ascii="Times New Roman" w:hAnsi="Times New Roman" w:cs="Times New Roman"/>
          <w:color w:val="000000" w:themeColor="text1"/>
        </w:rPr>
        <w:t>codice di procedura civile</w:t>
      </w:r>
      <w:r w:rsidR="00733A87" w:rsidRPr="004A5029">
        <w:rPr>
          <w:rStyle w:val="Hyperlink0"/>
          <w:rFonts w:ascii="Times New Roman" w:hAnsi="Times New Roman" w:cs="Times New Roman"/>
          <w:color w:val="000000" w:themeColor="text1"/>
        </w:rPr>
        <w:t>.</w:t>
      </w:r>
      <w:r w:rsidR="005173E5" w:rsidRPr="004A5029">
        <w:rPr>
          <w:rFonts w:ascii="Times New Roman" w:eastAsia="Times New Roman" w:hAnsi="Times New Roman" w:cs="Times New Roman"/>
          <w:b/>
          <w:color w:val="000000" w:themeColor="text1"/>
        </w:rPr>
        <w:t>»</w:t>
      </w:r>
      <w:r w:rsidR="005173E5" w:rsidRPr="004A5029">
        <w:rPr>
          <w:rFonts w:ascii="Times New Roman" w:eastAsia="Times New Roman" w:hAnsi="Times New Roman" w:cs="Times New Roman"/>
          <w:b/>
          <w:strike/>
          <w:color w:val="000000" w:themeColor="text1"/>
        </w:rPr>
        <w:t>”</w:t>
      </w:r>
      <w:r w:rsidRPr="004A5029">
        <w:rPr>
          <w:rStyle w:val="Hyperlink0"/>
          <w:rFonts w:ascii="Times New Roman" w:hAnsi="Times New Roman" w:cs="Times New Roman"/>
          <w:b/>
          <w:color w:val="000000" w:themeColor="text1"/>
        </w:rPr>
        <w:t>.</w:t>
      </w:r>
    </w:p>
    <w:p w14:paraId="38AA98D6" w14:textId="77777777" w:rsidR="0083753D" w:rsidRPr="004A5029" w:rsidRDefault="0083753D" w:rsidP="0083753D">
      <w:pPr>
        <w:jc w:val="both"/>
        <w:rPr>
          <w:rStyle w:val="Nessuno"/>
          <w:rFonts w:ascii="Times New Roman" w:eastAsia="Times New Roman" w:hAnsi="Times New Roman" w:cs="Times New Roman"/>
          <w:color w:val="000000" w:themeColor="text1"/>
        </w:rPr>
      </w:pPr>
    </w:p>
    <w:p w14:paraId="65670C4B" w14:textId="77777777" w:rsidR="0083753D" w:rsidRPr="004A5029" w:rsidRDefault="0083753D" w:rsidP="0083753D">
      <w:pPr>
        <w:jc w:val="center"/>
        <w:outlineLvl w:val="2"/>
        <w:rPr>
          <w:rStyle w:val="Nessuno"/>
          <w:rFonts w:ascii="Times New Roman" w:eastAsia="Times New Roman" w:hAnsi="Times New Roman" w:cs="Times New Roman"/>
          <w:b/>
          <w:bCs/>
          <w:color w:val="000000" w:themeColor="text1"/>
        </w:rPr>
      </w:pPr>
      <w:r w:rsidRPr="004A5029">
        <w:rPr>
          <w:rStyle w:val="Nessuno"/>
          <w:rFonts w:ascii="Times New Roman" w:hAnsi="Times New Roman" w:cs="Times New Roman"/>
          <w:b/>
          <w:bCs/>
          <w:color w:val="000000" w:themeColor="text1"/>
        </w:rPr>
        <w:t>Titolo II</w:t>
      </w:r>
    </w:p>
    <w:p w14:paraId="2556B7D5" w14:textId="77777777" w:rsidR="0083753D" w:rsidRPr="004A5029" w:rsidRDefault="0083753D" w:rsidP="0083753D">
      <w:pPr>
        <w:jc w:val="center"/>
        <w:outlineLvl w:val="2"/>
        <w:rPr>
          <w:rStyle w:val="Nessuno"/>
          <w:rFonts w:ascii="Times New Roman" w:hAnsi="Times New Roman" w:cs="Times New Roman"/>
          <w:b/>
          <w:bCs/>
          <w:color w:val="000000" w:themeColor="text1"/>
        </w:rPr>
      </w:pPr>
      <w:r w:rsidRPr="004A5029">
        <w:rPr>
          <w:rStyle w:val="Nessuno"/>
          <w:rFonts w:ascii="Times New Roman" w:hAnsi="Times New Roman" w:cs="Times New Roman"/>
          <w:b/>
          <w:bCs/>
          <w:color w:val="000000" w:themeColor="text1"/>
        </w:rPr>
        <w:t>I rimedi alternativi alla tutela giurisdizionale</w:t>
      </w:r>
    </w:p>
    <w:p w14:paraId="7B30267A" w14:textId="77777777" w:rsidR="0083753D" w:rsidRPr="004A5029" w:rsidRDefault="0083753D" w:rsidP="0083753D">
      <w:pPr>
        <w:jc w:val="both"/>
        <w:rPr>
          <w:rFonts w:ascii="Times New Roman" w:eastAsia="Times New Roman" w:hAnsi="Times New Roman" w:cs="Times New Roman"/>
          <w:b/>
          <w:bCs/>
          <w:color w:val="000000" w:themeColor="text1"/>
        </w:rPr>
      </w:pPr>
      <w:r w:rsidRPr="004A5029">
        <w:rPr>
          <w:rFonts w:ascii="Times New Roman" w:eastAsia="Times New Roman" w:hAnsi="Times New Roman" w:cs="Times New Roman"/>
          <w:b/>
          <w:bCs/>
          <w:color w:val="000000" w:themeColor="text1"/>
        </w:rPr>
        <w:t>Articolo 210.</w:t>
      </w:r>
    </w:p>
    <w:p w14:paraId="4325422C" w14:textId="77777777" w:rsidR="0083753D" w:rsidRPr="004A5029" w:rsidRDefault="0083753D" w:rsidP="0083753D">
      <w:pPr>
        <w:jc w:val="both"/>
        <w:rPr>
          <w:rFonts w:ascii="Times New Roman" w:eastAsia="Times New Roman" w:hAnsi="Times New Roman" w:cs="Times New Roman"/>
          <w:i/>
          <w:iCs/>
          <w:color w:val="000000" w:themeColor="text1"/>
        </w:rPr>
      </w:pPr>
      <w:r w:rsidRPr="004A5029">
        <w:rPr>
          <w:rFonts w:ascii="Times New Roman" w:hAnsi="Times New Roman" w:cs="Times New Roman"/>
          <w:i/>
          <w:color w:val="000000" w:themeColor="text1"/>
        </w:rPr>
        <w:t>Accordo bonario per i lavori</w:t>
      </w:r>
      <w:r w:rsidRPr="004A5029">
        <w:rPr>
          <w:rFonts w:ascii="Times New Roman" w:eastAsia="Times New Roman" w:hAnsi="Times New Roman" w:cs="Times New Roman"/>
          <w:i/>
          <w:iCs/>
          <w:color w:val="000000" w:themeColor="text1"/>
        </w:rPr>
        <w:t>.</w:t>
      </w:r>
    </w:p>
    <w:p w14:paraId="37A37438" w14:textId="341FB1FE"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1. Per i lavori pubblici di cui al </w:t>
      </w:r>
      <w:r w:rsidR="00A9504B" w:rsidRPr="004A5029">
        <w:rPr>
          <w:rStyle w:val="Hyperlink0"/>
          <w:rFonts w:ascii="Times New Roman" w:hAnsi="Times New Roman" w:cs="Times New Roman"/>
          <w:b/>
          <w:bCs/>
          <w:color w:val="000000" w:themeColor="text1"/>
        </w:rPr>
        <w:t>L</w:t>
      </w:r>
      <w:r w:rsidRPr="004A5029">
        <w:rPr>
          <w:rStyle w:val="Hyperlink0"/>
          <w:rFonts w:ascii="Times New Roman" w:hAnsi="Times New Roman" w:cs="Times New Roman"/>
          <w:color w:val="000000" w:themeColor="text1"/>
        </w:rPr>
        <w:t xml:space="preserve">ibro II, affidati da stazioni appaltanti o enti concedenti oppure dai concessionari, qualora in seguito all'iscrizione di riserve sui documenti contabili l'importo economico dell'opera possa variare tra il 5 </w:t>
      </w:r>
      <w:r w:rsidR="00A47D2D" w:rsidRPr="004A5029">
        <w:rPr>
          <w:rStyle w:val="Hyperlink0"/>
          <w:rFonts w:ascii="Times New Roman" w:hAnsi="Times New Roman" w:cs="Times New Roman"/>
          <w:color w:val="000000" w:themeColor="text1"/>
        </w:rPr>
        <w:t xml:space="preserve">per cento </w:t>
      </w:r>
      <w:r w:rsidRPr="004A5029">
        <w:rPr>
          <w:rStyle w:val="Hyperlink0"/>
          <w:rFonts w:ascii="Times New Roman" w:hAnsi="Times New Roman" w:cs="Times New Roman"/>
          <w:color w:val="000000" w:themeColor="text1"/>
        </w:rPr>
        <w:t>e il 15 per cento dell'importo contrattuale, al fine del raggiungimento di un accordo bonario si applicano le disposizioni di cui ai commi da 2 a 6.</w:t>
      </w:r>
    </w:p>
    <w:p w14:paraId="7EB9E670"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2. Il procedimento dell'accordo bonario riguarda tutte le riserve iscritte fino al momento dell'avvio del procedimento stesso e può essere reiterato quando le riserve iscritte, ulteriori e diverse rispetto a quelle già esaminate, raggiungano nuovamente l'importo di cui al comma 1, nell'ambito comunque di un limite massimo complessivo del 15 per cento dell'importo del contratto.  Le domande che fanno valere pretese già oggetto di riserva non sono proposte per importi maggiori rispetto a quelli quantificati nelle riserve stesse. Non sono oggetto di riserva gli aspetti progettuali che siano stati oggetto di verifica ai sensi dell'articolo 42. Prima dell'approvazione del certificato di collaudo oppure di verifica di conformità o del certificato di regolare esecuzione, qualunque sia l'importo delle riserve, il RUP attiva l'accordo bonario per la risoluzione delle riserve iscritte.</w:t>
      </w:r>
    </w:p>
    <w:p w14:paraId="5F12B6E6" w14:textId="77777777" w:rsidR="0083753D" w:rsidRPr="004A5029" w:rsidRDefault="0083753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3. Il direttore dei lavori dà immediata comunicazione al </w:t>
      </w:r>
      <w:r w:rsidRPr="004A5029">
        <w:rPr>
          <w:rStyle w:val="Hyperlink0"/>
          <w:rFonts w:ascii="Times New Roman" w:hAnsi="Times New Roman" w:cs="Times New Roman"/>
          <w:bCs/>
          <w:color w:val="000000" w:themeColor="text1"/>
        </w:rPr>
        <w:t>RUP</w:t>
      </w:r>
      <w:r w:rsidRPr="004A5029">
        <w:rPr>
          <w:rStyle w:val="Hyperlink0"/>
          <w:rFonts w:ascii="Times New Roman" w:hAnsi="Times New Roman" w:cs="Times New Roman"/>
          <w:color w:val="000000" w:themeColor="text1"/>
        </w:rPr>
        <w:t xml:space="preserve"> delle riserve di cui al comma 1, trasmettendo nel più breve tempo possibile una propria relazione riservata.</w:t>
      </w:r>
    </w:p>
    <w:p w14:paraId="2E9AC643" w14:textId="77777777" w:rsidR="0083753D" w:rsidRPr="004A5029" w:rsidRDefault="0083753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4. Il </w:t>
      </w:r>
      <w:r w:rsidRPr="004A5029">
        <w:rPr>
          <w:rStyle w:val="Hyperlink0"/>
          <w:rFonts w:ascii="Times New Roman" w:hAnsi="Times New Roman" w:cs="Times New Roman"/>
          <w:bCs/>
          <w:color w:val="000000" w:themeColor="text1"/>
        </w:rPr>
        <w:t>RUP</w:t>
      </w:r>
      <w:r w:rsidRPr="004A5029">
        <w:rPr>
          <w:rStyle w:val="Hyperlink0"/>
          <w:rFonts w:ascii="Times New Roman" w:hAnsi="Times New Roman" w:cs="Times New Roman"/>
          <w:color w:val="000000" w:themeColor="text1"/>
        </w:rPr>
        <w:t xml:space="preserve"> valuta l'ammissibilità e la non manifesta infondatezza delle riserve ai fini dell'effettivo raggiungimento del limite di importo di cui al comma 1.</w:t>
      </w:r>
    </w:p>
    <w:p w14:paraId="3B3A16C8" w14:textId="66CCA17B" w:rsidR="0083753D" w:rsidRPr="004A5029" w:rsidRDefault="0083753D" w:rsidP="0083753D">
      <w:pPr>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5. Entro </w:t>
      </w:r>
      <w:r w:rsidRPr="004A5029">
        <w:rPr>
          <w:rStyle w:val="Hyperlink0"/>
          <w:rFonts w:ascii="Times New Roman" w:hAnsi="Times New Roman" w:cs="Times New Roman"/>
          <w:b/>
          <w:bCs/>
          <w:strike/>
          <w:color w:val="000000" w:themeColor="text1"/>
        </w:rPr>
        <w:t>15</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quindici </w:t>
      </w:r>
      <w:r w:rsidRPr="004A5029">
        <w:rPr>
          <w:rStyle w:val="Hyperlink0"/>
          <w:rFonts w:ascii="Times New Roman" w:hAnsi="Times New Roman" w:cs="Times New Roman"/>
          <w:color w:val="000000" w:themeColor="text1"/>
        </w:rPr>
        <w:t xml:space="preserve">giorni dalla data di comunicazione di cui al comma 3, acquisita la relazione riservata del direttore dei lavori e, ove costituito, dell'organo di collaudo, il RUP può richiedere alla Camera arbitrale l'indicazione di una lista di cinque esperti aventi competenza specifica in relazione all'oggetto del contratto. Il RUP e il soggetto che ha formulato le riserve scelgono d'intesa, nell'ambito della lista, l'esperto incaricato della formulazione della proposta motivata di accordo bonario. In caso di mancata intesa tra il RUP e il soggetto che ha formulato le riserve, entro </w:t>
      </w:r>
      <w:r w:rsidR="004E4B92" w:rsidRPr="004A5029">
        <w:rPr>
          <w:rStyle w:val="Hyperlink0"/>
          <w:rFonts w:ascii="Times New Roman" w:hAnsi="Times New Roman" w:cs="Times New Roman"/>
          <w:b/>
          <w:bCs/>
          <w:strike/>
          <w:color w:val="000000" w:themeColor="text1"/>
        </w:rPr>
        <w:t>15</w:t>
      </w:r>
      <w:r w:rsidR="004E4B92" w:rsidRPr="004A5029">
        <w:rPr>
          <w:rStyle w:val="Hyperlink0"/>
          <w:rFonts w:ascii="Times New Roman" w:hAnsi="Times New Roman" w:cs="Times New Roman"/>
          <w:b/>
          <w:bCs/>
          <w:color w:val="000000" w:themeColor="text1"/>
        </w:rPr>
        <w:t xml:space="preserve"> quindici</w:t>
      </w:r>
      <w:r w:rsidRPr="004A5029">
        <w:rPr>
          <w:rStyle w:val="Hyperlink0"/>
          <w:rFonts w:ascii="Times New Roman" w:hAnsi="Times New Roman" w:cs="Times New Roman"/>
          <w:color w:val="000000" w:themeColor="text1"/>
        </w:rPr>
        <w:t xml:space="preserve"> giorni dalla trasmissione della lista l'esperto è nominato dalla Camera arbitrale che ne fissa anche il compenso, prendendo come riferimento i limiti stabiliti </w:t>
      </w:r>
      <w:r w:rsidRPr="004A5029">
        <w:rPr>
          <w:rStyle w:val="Hyperlink0"/>
          <w:rFonts w:ascii="Times New Roman" w:hAnsi="Times New Roman" w:cs="Times New Roman"/>
          <w:b/>
          <w:bCs/>
          <w:strike/>
          <w:color w:val="000000" w:themeColor="text1"/>
        </w:rPr>
        <w:t>con</w:t>
      </w:r>
      <w:r w:rsidRPr="004A5029">
        <w:rPr>
          <w:rStyle w:val="Hyperlink0"/>
          <w:rFonts w:ascii="Times New Roman" w:hAnsi="Times New Roman" w:cs="Times New Roman"/>
          <w:strike/>
          <w:color w:val="000000" w:themeColor="text1"/>
        </w:rPr>
        <w:t xml:space="preserve"> </w:t>
      </w:r>
      <w:r w:rsidR="00644FE3" w:rsidRPr="004A5029">
        <w:rPr>
          <w:b/>
          <w:bCs/>
          <w:color w:val="000000" w:themeColor="text1"/>
        </w:rPr>
        <w:t>dal</w:t>
      </w:r>
      <w:r w:rsidRPr="004A5029">
        <w:rPr>
          <w:rStyle w:val="Hyperlink0"/>
          <w:rFonts w:ascii="Times New Roman" w:hAnsi="Times New Roman" w:cs="Times New Roman"/>
          <w:color w:val="000000" w:themeColor="text1"/>
        </w:rPr>
        <w:t xml:space="preserve">l’allegato V.1 </w:t>
      </w:r>
      <w:r w:rsidRPr="004A5029">
        <w:rPr>
          <w:rStyle w:val="Hyperlink0"/>
          <w:rFonts w:ascii="Times New Roman" w:hAnsi="Times New Roman" w:cs="Times New Roman"/>
          <w:b/>
          <w:bCs/>
          <w:strike/>
          <w:color w:val="000000" w:themeColor="text1"/>
        </w:rPr>
        <w:t>di cui all’articolo 213, comma 15</w:t>
      </w:r>
      <w:r w:rsidRPr="004A5029">
        <w:rPr>
          <w:rStyle w:val="Hyperlink0"/>
          <w:rFonts w:ascii="Times New Roman" w:hAnsi="Times New Roman" w:cs="Times New Roman"/>
          <w:b/>
          <w:bCs/>
          <w:color w:val="000000" w:themeColor="text1"/>
        </w:rPr>
        <w:t>.</w:t>
      </w:r>
      <w:r w:rsidRPr="004A5029">
        <w:rPr>
          <w:rStyle w:val="Hyperlink0"/>
          <w:rFonts w:ascii="Times New Roman" w:hAnsi="Times New Roman" w:cs="Times New Roman"/>
          <w:color w:val="000000" w:themeColor="text1"/>
        </w:rPr>
        <w:t xml:space="preserve"> La proposta è formulata dall'esperto entro </w:t>
      </w:r>
      <w:r w:rsidRPr="004A5029">
        <w:rPr>
          <w:rStyle w:val="Hyperlink0"/>
          <w:rFonts w:ascii="Times New Roman" w:hAnsi="Times New Roman" w:cs="Times New Roman"/>
          <w:b/>
          <w:bCs/>
          <w:strike/>
          <w:color w:val="000000" w:themeColor="text1"/>
        </w:rPr>
        <w:t>90</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novanta </w:t>
      </w:r>
      <w:r w:rsidRPr="004A5029">
        <w:rPr>
          <w:rStyle w:val="Hyperlink0"/>
          <w:rFonts w:ascii="Times New Roman" w:hAnsi="Times New Roman" w:cs="Times New Roman"/>
          <w:color w:val="000000" w:themeColor="text1"/>
        </w:rPr>
        <w:t xml:space="preserve">giorni dalla nomina. Qualora il RUP non richieda la nomina dell'esperto, la proposta è formulata dal RUP entro </w:t>
      </w:r>
      <w:r w:rsidR="004E4B92" w:rsidRPr="004A5029">
        <w:rPr>
          <w:rStyle w:val="Hyperlink0"/>
          <w:rFonts w:ascii="Times New Roman" w:hAnsi="Times New Roman" w:cs="Times New Roman"/>
          <w:b/>
          <w:bCs/>
          <w:strike/>
          <w:color w:val="000000" w:themeColor="text1"/>
        </w:rPr>
        <w:t>90</w:t>
      </w:r>
      <w:r w:rsidR="004E4B92" w:rsidRPr="004A5029">
        <w:rPr>
          <w:rStyle w:val="Hyperlink0"/>
          <w:rFonts w:ascii="Times New Roman" w:hAnsi="Times New Roman" w:cs="Times New Roman"/>
          <w:b/>
          <w:bCs/>
          <w:color w:val="000000" w:themeColor="text1"/>
        </w:rPr>
        <w:t xml:space="preserve"> novanta</w:t>
      </w:r>
      <w:r w:rsidRPr="004A5029">
        <w:rPr>
          <w:rStyle w:val="Hyperlink0"/>
          <w:rFonts w:ascii="Times New Roman" w:hAnsi="Times New Roman" w:cs="Times New Roman"/>
          <w:color w:val="000000" w:themeColor="text1"/>
        </w:rPr>
        <w:t xml:space="preserve"> giorni dalla data di comunicazione di cui al comma 3. </w:t>
      </w:r>
    </w:p>
    <w:p w14:paraId="3B7C4B75" w14:textId="1946BBE3" w:rsidR="0083753D" w:rsidRPr="004A5029" w:rsidRDefault="0083753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6. L'esperto, qualora nominato, ovvero il RUP</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 xml:space="preserve">verificano le riserve in contraddittorio con il soggetto che le ha formulate, effettuano eventuali ulteriori audizioni, istruiscono la questione anche con la raccolta di dati e informazioni e con l'acquisizione di eventuali altri pareri, e formulano, verificata la disponibilità di idonee risorse economiche, una proposta di accordo bonario, che </w:t>
      </w:r>
      <w:r w:rsidR="00E07A23" w:rsidRPr="004A5029">
        <w:rPr>
          <w:rStyle w:val="Hyperlink0"/>
          <w:rFonts w:ascii="Times New Roman" w:hAnsi="Times New Roman" w:cs="Times New Roman"/>
          <w:color w:val="000000" w:themeColor="text1"/>
        </w:rPr>
        <w:t>è</w:t>
      </w:r>
      <w:r w:rsidRPr="004A5029">
        <w:rPr>
          <w:rStyle w:val="Hyperlink0"/>
          <w:rFonts w:ascii="Times New Roman" w:hAnsi="Times New Roman" w:cs="Times New Roman"/>
          <w:color w:val="000000" w:themeColor="text1"/>
        </w:rPr>
        <w:t xml:space="preserve"> trasmessa al dirigente competente della stazione appaltante e al soggetto che ha formulato le riserve. Se la proposta è accettata dalle parti entro </w:t>
      </w:r>
      <w:r w:rsidRPr="004A5029">
        <w:rPr>
          <w:rStyle w:val="Hyperlink0"/>
          <w:rFonts w:ascii="Times New Roman" w:hAnsi="Times New Roman" w:cs="Times New Roman"/>
          <w:b/>
          <w:bCs/>
          <w:strike/>
          <w:color w:val="000000" w:themeColor="text1"/>
        </w:rPr>
        <w:t>45</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quarantacinque </w:t>
      </w:r>
      <w:r w:rsidRPr="004A5029">
        <w:rPr>
          <w:rStyle w:val="Hyperlink0"/>
          <w:rFonts w:ascii="Times New Roman" w:hAnsi="Times New Roman" w:cs="Times New Roman"/>
          <w:color w:val="000000" w:themeColor="text1"/>
        </w:rPr>
        <w:t>giorni dal suo ricevimento, l'accordo bonario è concluso ed è redatto verbale sottoscritto dalle parti. L'accordo ha natura di transazione.  Sulla somma riconosciuta in sede di accordo bonario sono dovuti gli interessi al tasso legale a decorrere dal sessantesimo giorno successivo alla data di accettazione dell'accordo bonario da parte della stazione appaltante. In caso di rifiuto della proposta da parte del soggetto che ha formulato le riserve ovvero di inutile decorso del termine di cui al secondo periodo</w:t>
      </w:r>
      <w:r w:rsidR="00C70D95" w:rsidRPr="004A5029">
        <w:rPr>
          <w:rStyle w:val="Hyperlink0"/>
          <w:rFonts w:ascii="Times New Roman" w:hAnsi="Times New Roman" w:cs="Times New Roman"/>
          <w:b/>
          <w:bCs/>
          <w:color w:val="000000" w:themeColor="text1"/>
        </w:rPr>
        <w:t>,</w:t>
      </w:r>
      <w:r w:rsidRPr="004A5029">
        <w:rPr>
          <w:rStyle w:val="Hyperlink0"/>
          <w:rFonts w:ascii="Times New Roman" w:hAnsi="Times New Roman" w:cs="Times New Roman"/>
          <w:color w:val="000000" w:themeColor="text1"/>
        </w:rPr>
        <w:t xml:space="preserve"> possono essere aditi gli arbitri o il giudice ordinario.</w:t>
      </w:r>
    </w:p>
    <w:p w14:paraId="665A1408" w14:textId="77777777" w:rsidR="0083753D" w:rsidRPr="004A5029" w:rsidRDefault="0083753D" w:rsidP="0083753D">
      <w:pPr>
        <w:jc w:val="both"/>
        <w:rPr>
          <w:rFonts w:ascii="Times New Roman" w:hAnsi="Times New Roman" w:cs="Times New Roman"/>
          <w:color w:val="000000" w:themeColor="text1"/>
        </w:rPr>
      </w:pPr>
    </w:p>
    <w:p w14:paraId="40A9314B"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211.</w:t>
      </w:r>
    </w:p>
    <w:p w14:paraId="280DEFD1" w14:textId="77777777" w:rsidR="0083753D" w:rsidRPr="004A5029" w:rsidRDefault="0083753D" w:rsidP="0083753D">
      <w:pPr>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Accordo bonario per i servizi e le forniture</w:t>
      </w:r>
      <w:r w:rsidRPr="004A5029">
        <w:rPr>
          <w:rFonts w:ascii="Times New Roman" w:eastAsia="Times New Roman" w:hAnsi="Times New Roman" w:cs="Times New Roman"/>
          <w:i/>
          <w:iCs/>
          <w:color w:val="000000" w:themeColor="text1"/>
        </w:rPr>
        <w:t>.</w:t>
      </w:r>
    </w:p>
    <w:p w14:paraId="137B1BD0" w14:textId="77777777" w:rsidR="0083753D" w:rsidRPr="004A5029" w:rsidRDefault="0083753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1. Le disposizioni dell'articolo </w:t>
      </w:r>
      <w:r w:rsidRPr="004A5029">
        <w:rPr>
          <w:rStyle w:val="Hyperlink0"/>
          <w:rFonts w:ascii="Times New Roman" w:hAnsi="Times New Roman" w:cs="Times New Roman"/>
          <w:bCs/>
          <w:color w:val="000000" w:themeColor="text1"/>
        </w:rPr>
        <w:t>210</w:t>
      </w:r>
      <w:r w:rsidRPr="004A5029">
        <w:rPr>
          <w:rStyle w:val="Hyperlink0"/>
          <w:rFonts w:ascii="Times New Roman" w:hAnsi="Times New Roman" w:cs="Times New Roman"/>
          <w:color w:val="000000" w:themeColor="text1"/>
        </w:rPr>
        <w:t xml:space="preserve"> si applicano, in quanto compatibili, anche ai contratti di servizi e di fornitura </w:t>
      </w:r>
      <w:r w:rsidRPr="004A5029">
        <w:rPr>
          <w:rFonts w:ascii="Times New Roman" w:eastAsia="Times New Roman" w:hAnsi="Times New Roman" w:cs="Times New Roman"/>
          <w:color w:val="000000" w:themeColor="text1"/>
        </w:rPr>
        <w:t xml:space="preserve">continuativa o periodica </w:t>
      </w:r>
      <w:r w:rsidRPr="004A5029">
        <w:rPr>
          <w:rStyle w:val="Hyperlink0"/>
          <w:rFonts w:ascii="Times New Roman" w:hAnsi="Times New Roman" w:cs="Times New Roman"/>
          <w:color w:val="000000" w:themeColor="text1"/>
        </w:rPr>
        <w:t>di beni, quando insorgano controversie circa l'esatta esecuzione delle prestazioni dovute.</w:t>
      </w:r>
    </w:p>
    <w:p w14:paraId="71049383" w14:textId="77777777" w:rsidR="0083753D" w:rsidRPr="004A5029" w:rsidRDefault="0083753D" w:rsidP="0083753D">
      <w:pPr>
        <w:jc w:val="both"/>
        <w:rPr>
          <w:rFonts w:ascii="Times New Roman" w:hAnsi="Times New Roman" w:cs="Times New Roman"/>
          <w:color w:val="000000" w:themeColor="text1"/>
        </w:rPr>
      </w:pPr>
    </w:p>
    <w:p w14:paraId="2C36DD86"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212.</w:t>
      </w:r>
    </w:p>
    <w:p w14:paraId="47361F0E"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Transazione</w:t>
      </w:r>
      <w:r w:rsidRPr="004A5029">
        <w:rPr>
          <w:rFonts w:ascii="Times New Roman" w:eastAsia="Times New Roman" w:hAnsi="Times New Roman" w:cs="Times New Roman"/>
          <w:i/>
          <w:iCs/>
          <w:color w:val="000000" w:themeColor="text1"/>
        </w:rPr>
        <w:t>.</w:t>
      </w:r>
    </w:p>
    <w:p w14:paraId="2CE21FAD" w14:textId="06CA65D2"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1. Le controversie relative a diritti soggettivi derivanti dall'esecuzione dei contratti pubblici di lavori, servizi e forniture possono essere risolte mediante transazione nel rispetto del codice civile solo ed esclusivamente nell'ipotesi in cui non risulti possibile esperire altri rimedi alternativi all'azione giurisdizionale.</w:t>
      </w:r>
    </w:p>
    <w:p w14:paraId="03B0E1B2" w14:textId="77777777" w:rsidR="0083753D" w:rsidRPr="004A5029" w:rsidRDefault="0083753D" w:rsidP="0083753D">
      <w:pPr>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2. Ove il valore dell'importo oggetto di concessione o rinuncia sia superiore a 100.000 euro, ovvero a 200.000 euro in caso di lavori pubblici, è acquisito</w:t>
      </w:r>
      <w:r w:rsidRPr="004A5029">
        <w:rPr>
          <w:rFonts w:ascii="Times New Roman" w:eastAsia="Times New Roman" w:hAnsi="Times New Roman" w:cs="Times New Roman"/>
          <w:color w:val="000000" w:themeColor="text1"/>
        </w:rPr>
        <w:t>, qualora si tratti di amministrazioni centrali,</w:t>
      </w:r>
      <w:r w:rsidRPr="004A5029">
        <w:rPr>
          <w:rStyle w:val="Hyperlink0"/>
          <w:rFonts w:ascii="Times New Roman" w:hAnsi="Times New Roman" w:cs="Times New Roman"/>
          <w:color w:val="000000" w:themeColor="text1"/>
        </w:rPr>
        <w:t xml:space="preserve"> il parere dell'Avvocatura dello Stato oppure</w:t>
      </w:r>
      <w:r w:rsidRPr="004A5029">
        <w:rPr>
          <w:rFonts w:ascii="Times New Roman" w:eastAsia="Times New Roman" w:hAnsi="Times New Roman" w:cs="Times New Roman"/>
          <w:color w:val="000000" w:themeColor="text1"/>
        </w:rPr>
        <w:t>, qualora si tratti di amministrazioni sub centrali,</w:t>
      </w:r>
      <w:r w:rsidRPr="004A5029">
        <w:rPr>
          <w:rStyle w:val="Hyperlink0"/>
          <w:rFonts w:ascii="Times New Roman" w:hAnsi="Times New Roman" w:cs="Times New Roman"/>
          <w:color w:val="000000" w:themeColor="text1"/>
        </w:rPr>
        <w:t xml:space="preserve"> di un legale interno alla struttura o, </w:t>
      </w:r>
      <w:r w:rsidRPr="004A5029">
        <w:rPr>
          <w:rFonts w:ascii="Times New Roman" w:eastAsia="Times New Roman" w:hAnsi="Times New Roman" w:cs="Times New Roman"/>
          <w:color w:val="000000" w:themeColor="text1"/>
        </w:rPr>
        <w:t xml:space="preserve">in mancanza di </w:t>
      </w:r>
      <w:r w:rsidRPr="004A5029">
        <w:rPr>
          <w:rStyle w:val="Hyperlink0"/>
          <w:rFonts w:ascii="Times New Roman" w:hAnsi="Times New Roman" w:cs="Times New Roman"/>
          <w:color w:val="000000" w:themeColor="text1"/>
        </w:rPr>
        <w:t>legale interno, del funzionario più elevato in grado competente per il contenzioso</w:t>
      </w:r>
      <w:r w:rsidRPr="004A5029">
        <w:rPr>
          <w:rFonts w:ascii="Times New Roman" w:eastAsia="Times New Roman" w:hAnsi="Times New Roman" w:cs="Times New Roman"/>
          <w:color w:val="000000" w:themeColor="text1"/>
        </w:rPr>
        <w:t>.</w:t>
      </w:r>
      <w:r w:rsidRPr="004A5029">
        <w:rPr>
          <w:rStyle w:val="Hyperlink0"/>
          <w:rFonts w:ascii="Times New Roman" w:hAnsi="Times New Roman" w:cs="Times New Roman"/>
          <w:color w:val="000000" w:themeColor="text1"/>
        </w:rPr>
        <w:t xml:space="preserve"> </w:t>
      </w:r>
    </w:p>
    <w:p w14:paraId="335D0F35" w14:textId="77777777" w:rsidR="0083753D" w:rsidRPr="004A5029" w:rsidRDefault="0083753D" w:rsidP="0083753D">
      <w:pPr>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3. La proposta di transazione può essere formulata sia dal soggetto aggiudicatario che dal dirigente competente, sentito il </w:t>
      </w:r>
      <w:r w:rsidRPr="004A5029">
        <w:rPr>
          <w:rStyle w:val="Hyperlink0"/>
          <w:rFonts w:ascii="Times New Roman" w:hAnsi="Times New Roman" w:cs="Times New Roman"/>
          <w:bCs/>
          <w:color w:val="000000" w:themeColor="text1"/>
        </w:rPr>
        <w:t>RUP</w:t>
      </w:r>
      <w:r w:rsidRPr="004A5029">
        <w:rPr>
          <w:rStyle w:val="Hyperlink0"/>
          <w:rFonts w:ascii="Times New Roman" w:hAnsi="Times New Roman" w:cs="Times New Roman"/>
          <w:color w:val="000000" w:themeColor="text1"/>
        </w:rPr>
        <w:t>.</w:t>
      </w:r>
    </w:p>
    <w:p w14:paraId="271FC4B7" w14:textId="77777777" w:rsidR="0083753D" w:rsidRPr="004A5029" w:rsidRDefault="0083753D" w:rsidP="0083753D">
      <w:pPr>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4. La transazione ha forma scritta a pena di nullità.</w:t>
      </w:r>
    </w:p>
    <w:p w14:paraId="4D16AC41" w14:textId="77777777" w:rsidR="0083753D" w:rsidRPr="004A5029" w:rsidRDefault="0083753D" w:rsidP="0083753D">
      <w:pPr>
        <w:jc w:val="both"/>
        <w:rPr>
          <w:rStyle w:val="Nessuno"/>
          <w:rFonts w:ascii="Times New Roman" w:eastAsia="Times New Roman" w:hAnsi="Times New Roman" w:cs="Times New Roman"/>
          <w:color w:val="000000" w:themeColor="text1"/>
          <w:u w:color="FF0000"/>
        </w:rPr>
      </w:pPr>
    </w:p>
    <w:p w14:paraId="4BF54B64"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213.</w:t>
      </w:r>
    </w:p>
    <w:p w14:paraId="4C2E106E"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Arbitrato</w:t>
      </w:r>
      <w:r w:rsidRPr="004A5029">
        <w:rPr>
          <w:rFonts w:ascii="Times New Roman" w:eastAsia="Times New Roman" w:hAnsi="Times New Roman" w:cs="Times New Roman"/>
          <w:i/>
          <w:iCs/>
          <w:color w:val="000000" w:themeColor="text1"/>
        </w:rPr>
        <w:t>.</w:t>
      </w:r>
    </w:p>
    <w:p w14:paraId="3B40A24E" w14:textId="1DB0E562"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1. Le controversie su diritti soggettivi, derivanti dall'esecuzione dei contratti relativi a lavori, servizi, forniture, concorsi di progettazione e di idee, comprese quelle conseguenti al mancato raggiungimento dell'accordo bonario di cui agli articoli 210 e 211, possono essere deferite ad arbitri. L'arbitrato si applica anche alle controversie relative a contratti in cui sia parte una società a partecipazione pubblica oppure una società controllata o collegata a una società a partecipazione pubblica, ai sensi dell'articolo 2359 del codice civile, o che comunque abbiano a oggetto opere o forniture finanziate con risorse a carico dei bilanci pubblici.</w:t>
      </w:r>
    </w:p>
    <w:p w14:paraId="403C0CF6" w14:textId="48EA9A3C"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2. La stazione appaltante o l’ente concedente può direttamente indicare nel bando o nell'avviso con cui indice la gara oppure, per le procedure senza bando, nell'invito, se il contratto conterrà o meno la clausola compromissoria. In questi casi, l’aggiudicatario può rifiutare la clausola compromissoria entro </w:t>
      </w:r>
      <w:r w:rsidRPr="004A5029">
        <w:rPr>
          <w:rStyle w:val="Hyperlink0"/>
          <w:rFonts w:ascii="Times New Roman" w:hAnsi="Times New Roman" w:cs="Times New Roman"/>
          <w:b/>
          <w:bCs/>
          <w:strike/>
          <w:color w:val="000000" w:themeColor="text1"/>
        </w:rPr>
        <w:t>20</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venti </w:t>
      </w:r>
      <w:r w:rsidRPr="004A5029">
        <w:rPr>
          <w:rStyle w:val="Hyperlink0"/>
          <w:rFonts w:ascii="Times New Roman" w:hAnsi="Times New Roman" w:cs="Times New Roman"/>
          <w:color w:val="000000" w:themeColor="text1"/>
        </w:rPr>
        <w:t xml:space="preserve">giorni dalla conoscenza dell'aggiudicazione. In tal caso </w:t>
      </w:r>
      <w:r w:rsidRPr="004A5029">
        <w:rPr>
          <w:rFonts w:ascii="Times New Roman" w:eastAsia="Times New Roman" w:hAnsi="Times New Roman" w:cs="Times New Roman"/>
          <w:color w:val="000000" w:themeColor="text1"/>
        </w:rPr>
        <w:t xml:space="preserve">la clausola compromissoria </w:t>
      </w:r>
      <w:r w:rsidRPr="004A5029">
        <w:rPr>
          <w:rStyle w:val="Hyperlink0"/>
          <w:rFonts w:ascii="Times New Roman" w:hAnsi="Times New Roman" w:cs="Times New Roman"/>
          <w:color w:val="000000" w:themeColor="text1"/>
        </w:rPr>
        <w:t>non è inserita nel contratto. È nella facoltà delle parti di compromettere la lite in arbitrato nel corso dell’esecuzione del contratto.</w:t>
      </w:r>
    </w:p>
    <w:p w14:paraId="193F4DA9"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3. È nulla la clausola compromissoria inserita senza autorizzazione nel bando o nell'avviso con cui è indetta la gara ovvero, per le procedure senza bando, nell'invito. La clausola è inserita previa autorizzazione motivata dell'organo di governo della amministrazione aggiudicatrice.</w:t>
      </w:r>
    </w:p>
    <w:p w14:paraId="692BD146" w14:textId="77777777"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 xml:space="preserve">4. Il collegio arbitrale è composto da tre membri ed è nominato dalla Camera arbitrale </w:t>
      </w:r>
      <w:r w:rsidRPr="004A5029">
        <w:rPr>
          <w:rFonts w:ascii="Times New Roman" w:eastAsia="Times New Roman" w:hAnsi="Times New Roman" w:cs="Times New Roman"/>
          <w:color w:val="000000" w:themeColor="text1"/>
        </w:rPr>
        <w:t xml:space="preserve">per i contratti pubblici relativi a lavori, servizi, forniture </w:t>
      </w:r>
      <w:r w:rsidRPr="004A5029">
        <w:rPr>
          <w:rStyle w:val="Nessuno"/>
          <w:rFonts w:ascii="Times New Roman" w:hAnsi="Times New Roman" w:cs="Times New Roman"/>
          <w:color w:val="000000" w:themeColor="text1"/>
          <w:shd w:val="clear" w:color="auto" w:fill="FFFFFF"/>
        </w:rPr>
        <w:t xml:space="preserve">di cui all'articolo 214. Ciascuna delle parti, nella domanda di arbitrato o nell'atto di resistenza alla domanda, designa l'arbitro di propria competenza. Il Presidente del collegio arbitrale è designato dalla Camera arbitrale tra i soggetti iscritti all'Albo di cui al comma 2 dell'articolo 214. Il Presidente e gli arbitri sono scelti tra soggetti di provata indipendenza ed </w:t>
      </w:r>
      <w:r w:rsidRPr="004A5029">
        <w:rPr>
          <w:rStyle w:val="Nessuno"/>
          <w:rFonts w:ascii="Times New Roman" w:hAnsi="Times New Roman" w:cs="Times New Roman"/>
          <w:color w:val="000000" w:themeColor="text1"/>
        </w:rPr>
        <w:t xml:space="preserve">esperienza </w:t>
      </w:r>
      <w:r w:rsidRPr="004A5029">
        <w:rPr>
          <w:rStyle w:val="Nessuno"/>
          <w:rFonts w:ascii="Times New Roman" w:hAnsi="Times New Roman" w:cs="Times New Roman"/>
          <w:color w:val="000000" w:themeColor="text1"/>
          <w:shd w:val="clear" w:color="auto" w:fill="FFFFFF"/>
        </w:rPr>
        <w:t>nella materia oggetto del contratto cui l'arbitrato si riferisce.</w:t>
      </w:r>
    </w:p>
    <w:p w14:paraId="12CB0213" w14:textId="6C6EFDD6"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5. La nomina degli arbitri per la risoluzione delle controversie nelle quali è parte una pubblica amministrazione avviene nel rispetto dei principi di pubblicità e di rotazione</w:t>
      </w:r>
      <w:r w:rsidR="00E12DA9" w:rsidRPr="004A5029">
        <w:rPr>
          <w:rStyle w:val="Nessuno"/>
          <w:rFonts w:ascii="Times New Roman" w:hAnsi="Times New Roman" w:cs="Times New Roman"/>
          <w:b/>
          <w:bCs/>
          <w:color w:val="000000" w:themeColor="text1"/>
          <w:shd w:val="clear" w:color="auto" w:fill="FFFFFF"/>
        </w:rPr>
        <w:t>,</w:t>
      </w:r>
      <w:r w:rsidRPr="004A5029">
        <w:rPr>
          <w:rStyle w:val="Nessuno"/>
          <w:rFonts w:ascii="Times New Roman" w:hAnsi="Times New Roman" w:cs="Times New Roman"/>
          <w:color w:val="000000" w:themeColor="text1"/>
          <w:shd w:val="clear" w:color="auto" w:fill="FFFFFF"/>
        </w:rPr>
        <w:t xml:space="preserve"> oltre che delle disposizioni del codice.</w:t>
      </w:r>
    </w:p>
    <w:p w14:paraId="113438E1"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6. Fermo restando quanto previsto dall'articolo 815 del codice di procedura civile, non possono essere nominati arbitri:</w:t>
      </w:r>
    </w:p>
    <w:p w14:paraId="766205CF"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 xml:space="preserve">a) i magistrati ordinari, amministrativi, contabili e militari in servizio, </w:t>
      </w:r>
      <w:r w:rsidRPr="004A5029">
        <w:rPr>
          <w:bCs/>
          <w:color w:val="000000" w:themeColor="text1"/>
          <w:sz w:val="22"/>
          <w:szCs w:val="22"/>
        </w:rPr>
        <w:t>i magistrati e i giudici tributari in servizio</w:t>
      </w:r>
      <w:r w:rsidRPr="004A5029">
        <w:rPr>
          <w:color w:val="000000" w:themeColor="text1"/>
          <w:sz w:val="22"/>
          <w:szCs w:val="22"/>
        </w:rPr>
        <w:t xml:space="preserve"> </w:t>
      </w:r>
      <w:r w:rsidRPr="004A5029">
        <w:rPr>
          <w:rStyle w:val="Nessuno"/>
          <w:color w:val="000000" w:themeColor="text1"/>
          <w:sz w:val="22"/>
          <w:szCs w:val="22"/>
        </w:rPr>
        <w:t>nonché gli avvocati e procuratori dello Stato in servizio;</w:t>
      </w:r>
    </w:p>
    <w:p w14:paraId="0A36AD58"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b) coloro che nell'ultimo anno hanno esercitato le funzioni di arbitro di parte, o nell’ultimo biennio quelle di difensore in giudizi arbitrali disciplinati dal presente articolo, salvo che l'esercizio della difesa costituisca adempimento di dovere d'ufficio del dipendente pubblico;</w:t>
      </w:r>
    </w:p>
    <w:p w14:paraId="0B20FB66"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 xml:space="preserve">c) coloro che, prima del collocamento a riposo, hanno trattato ricorsi in sede civile, penale, amministrativa, contabile, </w:t>
      </w:r>
      <w:r w:rsidRPr="004A5029">
        <w:rPr>
          <w:rStyle w:val="Nessuno"/>
          <w:bCs/>
          <w:color w:val="000000" w:themeColor="text1"/>
          <w:sz w:val="22"/>
          <w:szCs w:val="22"/>
        </w:rPr>
        <w:t>militare e tributaria</w:t>
      </w:r>
      <w:r w:rsidRPr="004A5029">
        <w:rPr>
          <w:rStyle w:val="Nessuno"/>
          <w:color w:val="000000" w:themeColor="text1"/>
          <w:sz w:val="22"/>
          <w:szCs w:val="22"/>
        </w:rPr>
        <w:t xml:space="preserve"> </w:t>
      </w:r>
      <w:r w:rsidRPr="004A5029">
        <w:rPr>
          <w:color w:val="000000" w:themeColor="text1"/>
          <w:sz w:val="22"/>
          <w:szCs w:val="22"/>
        </w:rPr>
        <w:t xml:space="preserve">proposti </w:t>
      </w:r>
      <w:r w:rsidRPr="004A5029">
        <w:rPr>
          <w:rStyle w:val="Nessuno"/>
          <w:color w:val="000000" w:themeColor="text1"/>
          <w:sz w:val="22"/>
          <w:szCs w:val="22"/>
        </w:rPr>
        <w:t>dal soggetto che ha richiesto l'arbitrato;</w:t>
      </w:r>
    </w:p>
    <w:p w14:paraId="384A8A0B" w14:textId="77777777" w:rsidR="0083753D" w:rsidRPr="004A5029" w:rsidRDefault="0083753D" w:rsidP="0083753D">
      <w:pPr>
        <w:pStyle w:val="dj-para-r1"/>
        <w:shd w:val="clear" w:color="auto" w:fill="FFFFFF"/>
        <w:spacing w:before="0" w:after="160" w:line="259" w:lineRule="auto"/>
        <w:jc w:val="both"/>
        <w:rPr>
          <w:rStyle w:val="Nessuno"/>
          <w:color w:val="000000" w:themeColor="text1"/>
          <w:sz w:val="22"/>
          <w:szCs w:val="22"/>
        </w:rPr>
      </w:pPr>
      <w:r w:rsidRPr="004A5029">
        <w:rPr>
          <w:rStyle w:val="Nessuno"/>
          <w:color w:val="000000" w:themeColor="text1"/>
          <w:sz w:val="22"/>
          <w:szCs w:val="22"/>
        </w:rPr>
        <w:t>d) coloro che hanno espresso parere, a qualunque titolo, nelle materie oggetto dell'arbitrato;</w:t>
      </w:r>
    </w:p>
    <w:p w14:paraId="2AB0A8AE"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 xml:space="preserve">e) coloro che hanno predisposto il progetto o il capitolato di gara o </w:t>
      </w:r>
      <w:r w:rsidRPr="004A5029">
        <w:rPr>
          <w:color w:val="000000" w:themeColor="text1"/>
          <w:sz w:val="22"/>
          <w:szCs w:val="22"/>
        </w:rPr>
        <w:t>resi i relativi pareri</w:t>
      </w:r>
      <w:r w:rsidRPr="004A5029">
        <w:rPr>
          <w:rStyle w:val="Nessuno"/>
          <w:color w:val="000000" w:themeColor="text1"/>
          <w:sz w:val="22"/>
          <w:szCs w:val="22"/>
        </w:rPr>
        <w:t>;</w:t>
      </w:r>
    </w:p>
    <w:p w14:paraId="6BD22117" w14:textId="77777777" w:rsidR="0083753D" w:rsidRPr="004A5029" w:rsidRDefault="0083753D" w:rsidP="0083753D">
      <w:pPr>
        <w:pStyle w:val="dj-para-r1"/>
        <w:shd w:val="clear" w:color="auto" w:fill="FFFFFF" w:themeFill="background1"/>
        <w:spacing w:before="0" w:after="160" w:line="259" w:lineRule="auto"/>
        <w:jc w:val="both"/>
        <w:rPr>
          <w:rStyle w:val="Nessuno"/>
          <w:color w:val="000000" w:themeColor="text1"/>
          <w:sz w:val="22"/>
          <w:szCs w:val="22"/>
        </w:rPr>
      </w:pPr>
      <w:r w:rsidRPr="004A5029">
        <w:rPr>
          <w:rStyle w:val="Nessuno"/>
          <w:color w:val="000000" w:themeColor="text1"/>
          <w:sz w:val="22"/>
          <w:szCs w:val="22"/>
        </w:rPr>
        <w:t>f) coloro che hanno diretto, sorvegliato o collaudato i lavori, i servizi o le forniture a cui si riferiscono le controversie;</w:t>
      </w:r>
    </w:p>
    <w:p w14:paraId="254EF65D"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rPr>
        <w:t>g) coloro che hanno partecipato a qualunque titolo alla procedura per la quale è in corso l'arbitrato.</w:t>
      </w:r>
    </w:p>
    <w:p w14:paraId="217F6324"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rPr>
        <w:t xml:space="preserve">7. </w:t>
      </w:r>
      <w:r w:rsidRPr="004A5029">
        <w:rPr>
          <w:rStyle w:val="Nessuno"/>
          <w:rFonts w:ascii="Times New Roman" w:hAnsi="Times New Roman" w:cs="Times New Roman"/>
          <w:color w:val="000000" w:themeColor="text1"/>
          <w:shd w:val="clear" w:color="auto" w:fill="FFFFFF"/>
        </w:rPr>
        <w:t>La nomina del collegio arbitrale effettuata in violazione delle disposizioni di cui ai commi 4, 5 e 6 determina la nullità del lodo.</w:t>
      </w:r>
    </w:p>
    <w:p w14:paraId="0321C33C" w14:textId="3FB3A395"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8. Per la nomina del collegio</w:t>
      </w:r>
      <w:r w:rsidR="00B85355" w:rsidRPr="004A5029">
        <w:rPr>
          <w:rStyle w:val="Nessuno"/>
          <w:rFonts w:ascii="Times New Roman" w:hAnsi="Times New Roman" w:cs="Times New Roman"/>
          <w:color w:val="000000" w:themeColor="text1"/>
          <w:shd w:val="clear" w:color="auto" w:fill="FFFFFF"/>
        </w:rPr>
        <w:t xml:space="preserve"> </w:t>
      </w:r>
      <w:r w:rsidR="00B85355" w:rsidRPr="004A5029">
        <w:rPr>
          <w:rStyle w:val="Nessuno"/>
          <w:rFonts w:ascii="Times New Roman" w:hAnsi="Times New Roman" w:cs="Times New Roman"/>
          <w:b/>
          <w:bCs/>
          <w:color w:val="000000" w:themeColor="text1"/>
          <w:shd w:val="clear" w:color="auto" w:fill="FFFFFF"/>
        </w:rPr>
        <w:t>arbitrale</w:t>
      </w:r>
      <w:r w:rsidRPr="004A5029">
        <w:rPr>
          <w:rStyle w:val="Nessuno"/>
          <w:rFonts w:ascii="Times New Roman" w:hAnsi="Times New Roman" w:cs="Times New Roman"/>
          <w:color w:val="000000" w:themeColor="text1"/>
          <w:shd w:val="clear" w:color="auto" w:fill="FFFFFF"/>
        </w:rPr>
        <w:t>, la domanda di arbitrato, l'atto di resistenza ed eventuali controdeduzioni sono trasmessi alla Camera arbitrale. Sono altresì trasmesse le designazioni di parte. Contestualmente alla nomina del Presidente, la Camera arbitrale comunica alle parti la misura e le modalità del deposito da effettuarsi in acconto del corrispettivo arbitrale. Il Presidente del collegio arbitrale nomina, se necessario, il segretario, anche scegliendolo tra il personale interno all'ANAC.</w:t>
      </w:r>
    </w:p>
    <w:p w14:paraId="13741D2C" w14:textId="77777777"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rPr>
        <w:t xml:space="preserve">9. Le parti determinano la sede del collegio arbitrale; </w:t>
      </w:r>
      <w:r w:rsidRPr="004A5029">
        <w:rPr>
          <w:rFonts w:ascii="Times New Roman" w:eastAsia="Times New Roman" w:hAnsi="Times New Roman" w:cs="Times New Roman"/>
          <w:color w:val="000000" w:themeColor="text1"/>
        </w:rPr>
        <w:t xml:space="preserve">in mancanza di </w:t>
      </w:r>
      <w:r w:rsidRPr="004A5029">
        <w:rPr>
          <w:rStyle w:val="Nessuno"/>
          <w:rFonts w:ascii="Times New Roman" w:hAnsi="Times New Roman" w:cs="Times New Roman"/>
          <w:color w:val="000000" w:themeColor="text1"/>
        </w:rPr>
        <w:t>indicazione della sede del collegio arbitrale ovvero di accordo fra le parti, questa deve intendersi stabilita presso la sede della Camera arbitrale.</w:t>
      </w:r>
    </w:p>
    <w:p w14:paraId="076D221A" w14:textId="77777777"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rPr>
        <w:t xml:space="preserve">10. </w:t>
      </w:r>
      <w:r w:rsidRPr="004A5029">
        <w:rPr>
          <w:rStyle w:val="Nessuno"/>
          <w:rFonts w:ascii="Times New Roman" w:hAnsi="Times New Roman" w:cs="Times New Roman"/>
          <w:color w:val="000000" w:themeColor="text1"/>
          <w:shd w:val="clear" w:color="auto" w:fill="FFFFFF"/>
        </w:rPr>
        <w:t>Ai giudizi arbitrali si applicano le disposizioni del codice di procedura civile, salvo quanto disposto dal presente codice. In particolare, sono ammissibili tutti i mezzi di prova previsti dal codice di procedura civile, con esclusione del giuramento in tutte le sue forme.</w:t>
      </w:r>
    </w:p>
    <w:p w14:paraId="4202621E" w14:textId="77777777"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11. I termini che gli arbitri hanno fissato alle parti per le loro allegazioni e istanze istruttorie sono considerati perentori solo se vi sia una previsione in tal senso nella convenzione di arbitrato o in un atto scritto separato o nel regolamento processuale che gli arbitri stessi si sono dati.</w:t>
      </w:r>
    </w:p>
    <w:p w14:paraId="35B22CB2" w14:textId="5C5E7AFD"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 xml:space="preserve">12. Il lodo si ha per pronunciato con l’ultima sottoscrizione e diviene efficace con il suo deposito presso la Camera arbitrale. Entro </w:t>
      </w:r>
      <w:r w:rsidRPr="004A5029">
        <w:rPr>
          <w:rStyle w:val="Nessuno"/>
          <w:rFonts w:ascii="Times New Roman" w:hAnsi="Times New Roman" w:cs="Times New Roman"/>
          <w:b/>
          <w:bCs/>
          <w:strike/>
          <w:color w:val="000000" w:themeColor="text1"/>
          <w:shd w:val="clear" w:color="auto" w:fill="FFFFFF"/>
        </w:rPr>
        <w:t>15</w:t>
      </w:r>
      <w:r w:rsidRPr="004A5029">
        <w:rPr>
          <w:rStyle w:val="Nessuno"/>
          <w:rFonts w:ascii="Times New Roman" w:hAnsi="Times New Roman" w:cs="Times New Roman"/>
          <w:b/>
          <w:bCs/>
          <w:color w:val="000000" w:themeColor="text1"/>
          <w:shd w:val="clear" w:color="auto" w:fill="FFFFFF"/>
        </w:rPr>
        <w:t xml:space="preserve"> </w:t>
      </w:r>
      <w:r w:rsidR="004E4B92" w:rsidRPr="004A5029">
        <w:rPr>
          <w:rStyle w:val="Nessuno"/>
          <w:rFonts w:ascii="Times New Roman" w:hAnsi="Times New Roman" w:cs="Times New Roman"/>
          <w:b/>
          <w:bCs/>
          <w:color w:val="000000" w:themeColor="text1"/>
          <w:shd w:val="clear" w:color="auto" w:fill="FFFFFF"/>
        </w:rPr>
        <w:t xml:space="preserve">quindici </w:t>
      </w:r>
      <w:r w:rsidRPr="004A5029">
        <w:rPr>
          <w:rStyle w:val="Nessuno"/>
          <w:rFonts w:ascii="Times New Roman" w:hAnsi="Times New Roman" w:cs="Times New Roman"/>
          <w:color w:val="000000" w:themeColor="text1"/>
          <w:shd w:val="clear" w:color="auto" w:fill="FFFFFF"/>
        </w:rPr>
        <w:t xml:space="preserve">giorni dalla pronuncia del lodo </w:t>
      </w:r>
      <w:r w:rsidR="00C87027" w:rsidRPr="004A5029">
        <w:rPr>
          <w:rStyle w:val="Nessuno"/>
          <w:rFonts w:ascii="Times New Roman" w:hAnsi="Times New Roman" w:cs="Times New Roman"/>
          <w:color w:val="000000" w:themeColor="text1"/>
          <w:shd w:val="clear" w:color="auto" w:fill="FFFFFF"/>
        </w:rPr>
        <w:t>è</w:t>
      </w:r>
      <w:r w:rsidRPr="004A5029">
        <w:rPr>
          <w:rStyle w:val="Nessuno"/>
          <w:rFonts w:ascii="Times New Roman" w:hAnsi="Times New Roman" w:cs="Times New Roman"/>
          <w:color w:val="000000" w:themeColor="text1"/>
          <w:shd w:val="clear" w:color="auto" w:fill="FFFFFF"/>
        </w:rPr>
        <w:t xml:space="preserve"> corrisposta, a cura degli arbitri e a carico delle parti, una somma pari all'uno per mille del valore della relativa controversia. Detto importo è direttamente versato all'ANAC.</w:t>
      </w:r>
    </w:p>
    <w:p w14:paraId="4873C99C" w14:textId="5E6F4FEE"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13. Il deposito del lodo presso la Camera arbitrale precede quello da effettuarsi presso la cancelleria del tribunale ai sensi e per gli effetti dell'articolo 825 del codice di procedura civile. Il deposito del lodo presso la Camera arbitrale è effettuato, a cura del collegio arbitrale, in tanti originali quante sono le parti, oltre a uno per il fascicolo d'ufficio</w:t>
      </w:r>
      <w:r w:rsidR="00E12DA9" w:rsidRPr="004A5029">
        <w:rPr>
          <w:rStyle w:val="Nessuno"/>
          <w:rFonts w:ascii="Times New Roman" w:hAnsi="Times New Roman" w:cs="Times New Roman"/>
          <w:b/>
          <w:bCs/>
          <w:color w:val="000000" w:themeColor="text1"/>
          <w:shd w:val="clear" w:color="auto" w:fill="FFFFFF"/>
        </w:rPr>
        <w:t>,</w:t>
      </w:r>
      <w:r w:rsidRPr="004A5029">
        <w:rPr>
          <w:rStyle w:val="Nessuno"/>
          <w:rFonts w:ascii="Times New Roman" w:hAnsi="Times New Roman" w:cs="Times New Roman"/>
          <w:color w:val="000000" w:themeColor="text1"/>
          <w:shd w:val="clear" w:color="auto" w:fill="FFFFFF"/>
        </w:rPr>
        <w:t xml:space="preserve"> oppure con modalità informatiche e telematiche determinate dall'ANAC. Su richiesta di parte il rispettivo originale è restituito, con attestazione dell'avvenuto deposito, ai fini degli adempimenti di cui all'articolo 825 del codice di procedura civile.</w:t>
      </w:r>
    </w:p>
    <w:p w14:paraId="796AFCAC" w14:textId="38CE82E5"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 xml:space="preserve">14. Il lodo è impugnabile, oltre che per motivi di nullità, anche per violazione delle regole di diritto relative al merito della controversia. L'impugnazione è proposta nel termine di </w:t>
      </w:r>
      <w:r w:rsidRPr="004A5029">
        <w:rPr>
          <w:rStyle w:val="Nessuno"/>
          <w:rFonts w:ascii="Times New Roman" w:hAnsi="Times New Roman" w:cs="Times New Roman"/>
          <w:b/>
          <w:bCs/>
          <w:strike/>
          <w:color w:val="000000" w:themeColor="text1"/>
          <w:shd w:val="clear" w:color="auto" w:fill="FFFFFF"/>
        </w:rPr>
        <w:t>90</w:t>
      </w:r>
      <w:r w:rsidRPr="004A5029">
        <w:rPr>
          <w:rStyle w:val="Nessuno"/>
          <w:rFonts w:ascii="Times New Roman" w:hAnsi="Times New Roman" w:cs="Times New Roman"/>
          <w:b/>
          <w:bCs/>
          <w:color w:val="000000" w:themeColor="text1"/>
          <w:shd w:val="clear" w:color="auto" w:fill="FFFFFF"/>
        </w:rPr>
        <w:t xml:space="preserve"> </w:t>
      </w:r>
      <w:r w:rsidR="004E4B92" w:rsidRPr="004A5029">
        <w:rPr>
          <w:rStyle w:val="Nessuno"/>
          <w:rFonts w:ascii="Times New Roman" w:hAnsi="Times New Roman" w:cs="Times New Roman"/>
          <w:b/>
          <w:bCs/>
          <w:color w:val="000000" w:themeColor="text1"/>
          <w:shd w:val="clear" w:color="auto" w:fill="FFFFFF"/>
        </w:rPr>
        <w:t xml:space="preserve">novanta </w:t>
      </w:r>
      <w:r w:rsidRPr="004A5029">
        <w:rPr>
          <w:rStyle w:val="Nessuno"/>
          <w:rFonts w:ascii="Times New Roman" w:hAnsi="Times New Roman" w:cs="Times New Roman"/>
          <w:color w:val="000000" w:themeColor="text1"/>
          <w:shd w:val="clear" w:color="auto" w:fill="FFFFFF"/>
        </w:rPr>
        <w:t xml:space="preserve">giorni dalla notificazione del lodo e non è più proponibile dopo il decorso di </w:t>
      </w:r>
      <w:r w:rsidRPr="004A5029">
        <w:rPr>
          <w:rStyle w:val="Nessuno"/>
          <w:rFonts w:ascii="Times New Roman" w:hAnsi="Times New Roman" w:cs="Times New Roman"/>
          <w:b/>
          <w:bCs/>
          <w:strike/>
          <w:color w:val="000000" w:themeColor="text1"/>
          <w:shd w:val="clear" w:color="auto" w:fill="FFFFFF"/>
        </w:rPr>
        <w:t>180</w:t>
      </w:r>
      <w:r w:rsidRPr="004A5029">
        <w:rPr>
          <w:rStyle w:val="Nessuno"/>
          <w:rFonts w:ascii="Times New Roman" w:hAnsi="Times New Roman" w:cs="Times New Roman"/>
          <w:b/>
          <w:bCs/>
          <w:color w:val="000000" w:themeColor="text1"/>
          <w:shd w:val="clear" w:color="auto" w:fill="FFFFFF"/>
        </w:rPr>
        <w:t xml:space="preserve"> </w:t>
      </w:r>
      <w:r w:rsidR="00A62EBA" w:rsidRPr="004A5029">
        <w:rPr>
          <w:rStyle w:val="Nessuno"/>
          <w:rFonts w:ascii="Times New Roman" w:hAnsi="Times New Roman" w:cs="Times New Roman"/>
          <w:b/>
          <w:bCs/>
          <w:color w:val="000000" w:themeColor="text1"/>
          <w:shd w:val="clear" w:color="auto" w:fill="FFFFFF"/>
        </w:rPr>
        <w:t xml:space="preserve">centottanta </w:t>
      </w:r>
      <w:r w:rsidRPr="004A5029">
        <w:rPr>
          <w:rStyle w:val="Nessuno"/>
          <w:rFonts w:ascii="Times New Roman" w:hAnsi="Times New Roman" w:cs="Times New Roman"/>
          <w:color w:val="000000" w:themeColor="text1"/>
          <w:shd w:val="clear" w:color="auto" w:fill="FFFFFF"/>
        </w:rPr>
        <w:t>giorni dalla data del deposito del lodo presso la Camera arbitrale.</w:t>
      </w:r>
    </w:p>
    <w:p w14:paraId="6C43C90A" w14:textId="53F7D01E" w:rsidR="0083753D" w:rsidRPr="004A5029" w:rsidRDefault="0083753D" w:rsidP="6E003A1F">
      <w:pPr>
        <w:jc w:val="both"/>
        <w:rPr>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 xml:space="preserve">15. Su istanza di parte la Corte d'appello può sospendere, con ordinanza, l'efficacia del lodo, se ricorrono gravi e fondati motivi. Si applica l'articolo 351 del codice di procedura civile. Quando sospende l'efficacia del lodo, o ne conferma la sospensione disposta dal Presidente, il collegio verifica se il giudizio è in condizione di essere definito. In tal caso, fatte precisare le conclusioni, ordina la discussione orale nella stessa udienza o camera di consiglio, ovvero in una udienza da tenersi entro </w:t>
      </w:r>
      <w:r w:rsidR="004E4B92" w:rsidRPr="004A5029">
        <w:rPr>
          <w:rStyle w:val="Nessuno"/>
          <w:rFonts w:ascii="Times New Roman" w:hAnsi="Times New Roman" w:cs="Times New Roman"/>
          <w:b/>
          <w:bCs/>
          <w:strike/>
          <w:color w:val="000000" w:themeColor="text1"/>
          <w:shd w:val="clear" w:color="auto" w:fill="FFFFFF"/>
        </w:rPr>
        <w:t>90</w:t>
      </w:r>
      <w:r w:rsidR="004E4B92" w:rsidRPr="004A5029">
        <w:rPr>
          <w:rStyle w:val="Nessuno"/>
          <w:rFonts w:ascii="Times New Roman" w:hAnsi="Times New Roman" w:cs="Times New Roman"/>
          <w:b/>
          <w:bCs/>
          <w:color w:val="000000" w:themeColor="text1"/>
          <w:shd w:val="clear" w:color="auto" w:fill="FFFFFF"/>
        </w:rPr>
        <w:t xml:space="preserve"> novanta</w:t>
      </w:r>
      <w:r w:rsidRPr="004A5029">
        <w:rPr>
          <w:rStyle w:val="Nessuno"/>
          <w:rFonts w:ascii="Times New Roman" w:hAnsi="Times New Roman" w:cs="Times New Roman"/>
          <w:color w:val="000000" w:themeColor="text1"/>
          <w:shd w:val="clear" w:color="auto" w:fill="FFFFFF"/>
        </w:rPr>
        <w:t xml:space="preserve"> giorni dall'ordinanza di sospensione; all'udienza pronunzia sentenza a norma dell'articolo 281-</w:t>
      </w:r>
      <w:r w:rsidRPr="004A5029">
        <w:rPr>
          <w:rStyle w:val="Nessuno"/>
          <w:rFonts w:ascii="Times New Roman" w:hAnsi="Times New Roman" w:cs="Times New Roman"/>
          <w:i/>
          <w:iCs/>
          <w:color w:val="000000" w:themeColor="text1"/>
          <w:shd w:val="clear" w:color="auto" w:fill="FFFFFF"/>
        </w:rPr>
        <w:t>sexies</w:t>
      </w:r>
      <w:r w:rsidRPr="004A5029">
        <w:rPr>
          <w:rStyle w:val="Nessuno"/>
          <w:rFonts w:ascii="Times New Roman" w:hAnsi="Times New Roman" w:cs="Times New Roman"/>
          <w:color w:val="000000" w:themeColor="text1"/>
          <w:shd w:val="clear" w:color="auto" w:fill="FFFFFF"/>
        </w:rPr>
        <w:t xml:space="preserve"> del codice di procedura civile. Se ritiene indispensabili incombenti istruttori, il collegio provvede su di essi con la stessa ordinanza di sospensione e ne ordina l'assunzione in una udienza successiva di non oltre </w:t>
      </w:r>
      <w:r w:rsidR="004E4B92" w:rsidRPr="004A5029">
        <w:rPr>
          <w:rStyle w:val="Nessuno"/>
          <w:rFonts w:ascii="Times New Roman" w:hAnsi="Times New Roman" w:cs="Times New Roman"/>
          <w:b/>
          <w:bCs/>
          <w:strike/>
          <w:color w:val="000000" w:themeColor="text1"/>
          <w:shd w:val="clear" w:color="auto" w:fill="FFFFFF"/>
        </w:rPr>
        <w:t>90</w:t>
      </w:r>
      <w:r w:rsidR="004E4B92" w:rsidRPr="004A5029">
        <w:rPr>
          <w:rStyle w:val="Nessuno"/>
          <w:rFonts w:ascii="Times New Roman" w:hAnsi="Times New Roman" w:cs="Times New Roman"/>
          <w:b/>
          <w:bCs/>
          <w:color w:val="000000" w:themeColor="text1"/>
          <w:shd w:val="clear" w:color="auto" w:fill="FFFFFF"/>
        </w:rPr>
        <w:t xml:space="preserve"> novanta</w:t>
      </w:r>
      <w:r w:rsidRPr="004A5029">
        <w:rPr>
          <w:rStyle w:val="Nessuno"/>
          <w:rFonts w:ascii="Times New Roman" w:hAnsi="Times New Roman" w:cs="Times New Roman"/>
          <w:color w:val="000000" w:themeColor="text1"/>
          <w:shd w:val="clear" w:color="auto" w:fill="FFFFFF"/>
        </w:rPr>
        <w:t xml:space="preserve"> giorni; quindi provvede ai sensi dei periodi precedenti. La disciplina relativa ai compensi degli arbitri è disposta dall’allegato V.1. </w:t>
      </w:r>
      <w:r w:rsidRPr="004A5029">
        <w:rPr>
          <w:rFonts w:ascii="Times New Roman" w:hAnsi="Times New Roman" w:cs="Times New Roman"/>
          <w:color w:val="000000" w:themeColor="text1"/>
        </w:rPr>
        <w:t xml:space="preserve">In sede di prima applicazione del codice, l’allegato V.1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con decreto del Ministro delle infrastrutture e dei trasporti, sentito il Consiglio arbitrale di cui al comma 4 dell’articolo 214, che lo sostituisce integralmente anche in qualità di allegato al codice.</w:t>
      </w:r>
    </w:p>
    <w:p w14:paraId="12A4EA11" w14:textId="77777777" w:rsidR="0083753D" w:rsidRPr="004A5029" w:rsidRDefault="0083753D" w:rsidP="0083753D">
      <w:pPr>
        <w:jc w:val="both"/>
        <w:rPr>
          <w:rStyle w:val="Nessuno"/>
          <w:rFonts w:ascii="Times New Roman" w:eastAsia="Times New Roman" w:hAnsi="Times New Roman" w:cs="Times New Roman"/>
          <w:color w:val="000000" w:themeColor="text1"/>
          <w:u w:color="FF0000"/>
        </w:rPr>
      </w:pPr>
    </w:p>
    <w:p w14:paraId="65366FC0"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
          <w:bCs/>
          <w:color w:val="000000" w:themeColor="text1"/>
        </w:rPr>
        <w:t>Articolo 214.</w:t>
      </w:r>
    </w:p>
    <w:p w14:paraId="7E3984BF"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Camera arbitrale, albo degli arbitri ed elenco dei segretari</w:t>
      </w:r>
      <w:r w:rsidRPr="004A5029">
        <w:rPr>
          <w:rFonts w:ascii="Times New Roman" w:eastAsia="Times New Roman" w:hAnsi="Times New Roman" w:cs="Times New Roman"/>
          <w:i/>
          <w:iCs/>
          <w:color w:val="000000" w:themeColor="text1"/>
        </w:rPr>
        <w:t>.</w:t>
      </w:r>
    </w:p>
    <w:p w14:paraId="5D1A7C90" w14:textId="77777777" w:rsidR="0083753D" w:rsidRPr="004A5029" w:rsidRDefault="0083753D" w:rsidP="0083753D">
      <w:pPr>
        <w:jc w:val="both"/>
        <w:rPr>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1</w:t>
      </w:r>
      <w:r w:rsidRPr="004A5029">
        <w:rPr>
          <w:rStyle w:val="Hyperlink0"/>
          <w:rFonts w:ascii="Times New Roman" w:hAnsi="Times New Roman" w:cs="Times New Roman"/>
          <w:color w:val="000000" w:themeColor="text1"/>
        </w:rPr>
        <w:t>. Presso l'ANAC è istituita la Camera arbitrale per i contratti pubblici relativi a lavori, servizi, forniture.</w:t>
      </w:r>
    </w:p>
    <w:p w14:paraId="21D3797C" w14:textId="77777777" w:rsidR="0083753D" w:rsidRPr="004A5029" w:rsidRDefault="0083753D" w:rsidP="0083753D">
      <w:pPr>
        <w:jc w:val="both"/>
        <w:rPr>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2. La Camera arbitrale cura la formazione e la tenuta dell'Albo degli arbitri per i contratti pubblici, redige il relativo codice deontologico e provvede agli adempimenti necessari alla costituzione e al funzionamento del collegio arbitrale.</w:t>
      </w:r>
    </w:p>
    <w:p w14:paraId="38B956FF"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3. Sono organi della Camera arbitrale il Presidente e il consiglio arbitrale.</w:t>
      </w:r>
    </w:p>
    <w:p w14:paraId="0E0ECE21" w14:textId="77777777" w:rsidR="007158F5" w:rsidRPr="004A5029" w:rsidRDefault="0083753D" w:rsidP="007158F5">
      <w:pPr>
        <w:jc w:val="both"/>
        <w:rPr>
          <w:rFonts w:ascii="Times New Roman" w:hAnsi="Times New Roman" w:cs="Times New Roman"/>
          <w:color w:val="000000" w:themeColor="text1"/>
        </w:rPr>
      </w:pPr>
      <w:r w:rsidRPr="004A5029">
        <w:rPr>
          <w:rStyle w:val="Nessuno"/>
          <w:rFonts w:ascii="Times New Roman" w:hAnsi="Times New Roman" w:cs="Times New Roman"/>
          <w:color w:val="000000" w:themeColor="text1"/>
          <w:shd w:val="clear" w:color="auto" w:fill="FFFFFF"/>
        </w:rPr>
        <w:t>4. Il consiglio arbitrale, composto da cinque membri, è nominato dall'ANAC fra soggetti dotati di particolare competenza nella materia dei contratti pubblici di lavori, servizi e forniture, per garantire l'indipendenza e l'autonomia dell'istituto, nonché dotati dei requisiti di onorabilità stabiliti dalla medesima Autorità. Al suo interno, l'ANAC sceglie il Presidente.</w:t>
      </w:r>
      <w:r w:rsidR="24A26479" w:rsidRPr="004A5029">
        <w:rPr>
          <w:rStyle w:val="Nessuno"/>
          <w:rFonts w:ascii="Times New Roman" w:hAnsi="Times New Roman" w:cs="Times New Roman"/>
          <w:color w:val="000000" w:themeColor="text1"/>
          <w:shd w:val="clear" w:color="auto" w:fill="FFFFFF"/>
        </w:rPr>
        <w:t xml:space="preserve"> </w:t>
      </w:r>
      <w:r w:rsidRPr="004A5029">
        <w:rPr>
          <w:rStyle w:val="Nessuno"/>
          <w:rFonts w:ascii="Times New Roman" w:hAnsi="Times New Roman" w:cs="Times New Roman"/>
          <w:color w:val="000000" w:themeColor="text1"/>
          <w:shd w:val="clear" w:color="auto" w:fill="FFFFFF"/>
        </w:rPr>
        <w:t>L'incarico ha durata quinquennale ed è retribuito nella misura determinata dal provvedimento di nomina nei limiti delle risorse attribuite all'Autorità stessa.</w:t>
      </w:r>
      <w:r w:rsidR="2B08FADD" w:rsidRPr="004A5029">
        <w:rPr>
          <w:rStyle w:val="Nessuno"/>
          <w:rFonts w:ascii="Times New Roman" w:hAnsi="Times New Roman" w:cs="Times New Roman"/>
          <w:color w:val="000000" w:themeColor="text1"/>
          <w:shd w:val="clear" w:color="auto" w:fill="FFFFFF"/>
        </w:rPr>
        <w:t xml:space="preserve"> </w:t>
      </w:r>
      <w:r w:rsidR="007158F5" w:rsidRPr="004A5029">
        <w:rPr>
          <w:rFonts w:ascii="Times New Roman" w:eastAsia="Times New Roman" w:hAnsi="Times New Roman" w:cs="Times New Roman"/>
          <w:color w:val="000000" w:themeColor="text1"/>
        </w:rPr>
        <w:t>Fermo restando quanto previsto dall'articolo 53 del decreto legislativo 30 marzo 2001, n. 165, come modificato dall’articolo 1, comma 42, lettera l), della legge 6 novembre 2012, n. 190, durante il periodo di appartenenza, e nei successivi tre anni, i soggetti iscritti all’Albo non possono espletare incarichi professionali in favore delle parti dei giudizi arbitrali da essi decisi, ivi compreso l'incarico di arbitro di parte.</w:t>
      </w:r>
    </w:p>
    <w:p w14:paraId="3BDFB67C"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5. Per l'espletamento delle sue funzioni la Camera arbitrale si avvale di una struttura di segreteria con personale fornito dall'ANAC.</w:t>
      </w:r>
    </w:p>
    <w:p w14:paraId="4B36F2CA"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6. La Camera arbitrale cura annualmente la rilevazione dei dati emergenti dal contenzioso in materia di contratti pubblici e li trasmette all'Autorità e alla Cabina di regia di cui all’</w:t>
      </w:r>
      <w:hyperlink r:id="rId38" w:anchor="bookmark=id.2jxsxqh" w:history="1">
        <w:r w:rsidRPr="004A5029">
          <w:rPr>
            <w:rStyle w:val="Hyperlink0"/>
            <w:rFonts w:ascii="Times New Roman" w:hAnsi="Times New Roman" w:cs="Times New Roman"/>
            <w:color w:val="000000" w:themeColor="text1"/>
          </w:rPr>
          <w:t xml:space="preserve">articolo </w:t>
        </w:r>
        <w:r w:rsidRPr="004A5029">
          <w:rPr>
            <w:rStyle w:val="Hyperlink0"/>
            <w:rFonts w:ascii="Times New Roman" w:hAnsi="Times New Roman" w:cs="Times New Roman"/>
            <w:bCs/>
            <w:color w:val="000000" w:themeColor="text1"/>
          </w:rPr>
          <w:t>221</w:t>
        </w:r>
      </w:hyperlink>
      <w:r w:rsidRPr="004A5029">
        <w:rPr>
          <w:rStyle w:val="Nessuno"/>
          <w:rFonts w:ascii="Times New Roman" w:hAnsi="Times New Roman" w:cs="Times New Roman"/>
          <w:color w:val="000000" w:themeColor="text1"/>
          <w:shd w:val="clear" w:color="auto" w:fill="FFFFFF"/>
        </w:rPr>
        <w:t>.</w:t>
      </w:r>
    </w:p>
    <w:p w14:paraId="19603F6E" w14:textId="77777777" w:rsidR="0083753D" w:rsidRPr="004A5029" w:rsidRDefault="0083753D" w:rsidP="0083753D">
      <w:pPr>
        <w:jc w:val="both"/>
        <w:rPr>
          <w:rStyle w:val="Nessuno"/>
          <w:rFonts w:ascii="Times New Roman" w:eastAsia="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7. Fermo restando quanto previsto dall'articolo 1, comma 18, della legge 6 novembre 2012, n. 190, possono essere iscritti all'Albo degli arbitri della Camera arbitrale i soggetti appartenenti alle seguenti categorie:</w:t>
      </w:r>
    </w:p>
    <w:p w14:paraId="7DFAC0FB" w14:textId="77777777" w:rsidR="0083753D" w:rsidRPr="004A5029" w:rsidRDefault="0083753D" w:rsidP="0083753D">
      <w:pPr>
        <w:spacing w:line="257" w:lineRule="auto"/>
        <w:jc w:val="both"/>
        <w:rPr>
          <w:rFonts w:ascii="Times New Roman" w:hAnsi="Times New Roman" w:cs="Times New Roman"/>
          <w:bCs/>
          <w:color w:val="000000" w:themeColor="text1"/>
          <w:shd w:val="clear" w:color="auto" w:fill="FFFFFF"/>
        </w:rPr>
      </w:pPr>
      <w:r w:rsidRPr="004A5029">
        <w:rPr>
          <w:rStyle w:val="Nessuno"/>
          <w:rFonts w:ascii="Times New Roman" w:hAnsi="Times New Roman" w:cs="Times New Roman"/>
          <w:bCs/>
          <w:color w:val="000000" w:themeColor="text1"/>
        </w:rPr>
        <w:t xml:space="preserve">a) </w:t>
      </w:r>
      <w:r w:rsidRPr="004A5029">
        <w:rPr>
          <w:rFonts w:ascii="Times New Roman" w:hAnsi="Times New Roman" w:cs="Times New Roman"/>
          <w:bCs/>
          <w:color w:val="000000" w:themeColor="text1"/>
        </w:rPr>
        <w:t xml:space="preserve">magistrati ordinari, amministrativi, contabili, militari, </w:t>
      </w:r>
      <w:r w:rsidRPr="004A5029">
        <w:rPr>
          <w:rFonts w:ascii="Times New Roman" w:eastAsia="Garamond" w:hAnsi="Times New Roman" w:cs="Times New Roman"/>
          <w:bCs/>
          <w:color w:val="000000" w:themeColor="text1"/>
        </w:rPr>
        <w:t>magistrati e giudici tributari a riposo</w:t>
      </w:r>
      <w:r w:rsidRPr="004A5029">
        <w:rPr>
          <w:rFonts w:ascii="Times New Roman" w:hAnsi="Times New Roman" w:cs="Times New Roman"/>
          <w:bCs/>
          <w:color w:val="000000" w:themeColor="text1"/>
        </w:rPr>
        <w:t>;</w:t>
      </w:r>
    </w:p>
    <w:p w14:paraId="3D2C542A" w14:textId="77777777" w:rsidR="0083753D" w:rsidRPr="004A5029" w:rsidRDefault="0083753D" w:rsidP="0083753D">
      <w:pPr>
        <w:jc w:val="both"/>
        <w:rPr>
          <w:rStyle w:val="Nessuno"/>
          <w:rFonts w:ascii="Times New Roman" w:eastAsia="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b) avvocati iscritti agli albi ordinari e speciali abilitati al patrocinio davanti alle magistrature superiori e in possesso dei requisiti per la nomina a consigliere di Cassazione;</w:t>
      </w:r>
    </w:p>
    <w:p w14:paraId="1981F628" w14:textId="4C030EA5" w:rsidR="0083753D" w:rsidRPr="004A5029" w:rsidRDefault="0083753D" w:rsidP="0083753D">
      <w:pPr>
        <w:jc w:val="both"/>
        <w:rPr>
          <w:rStyle w:val="Nessuno"/>
          <w:rFonts w:ascii="Times New Roman" w:eastAsia="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 xml:space="preserve">c) tecnici in possesso del diploma di laurea in ingegneria e architettura abilitati all'esercizio della professione da almeno </w:t>
      </w:r>
      <w:r w:rsidRPr="004A5029">
        <w:rPr>
          <w:rStyle w:val="Nessuno"/>
          <w:rFonts w:ascii="Times New Roman" w:hAnsi="Times New Roman" w:cs="Times New Roman"/>
          <w:b/>
          <w:bCs/>
          <w:strike/>
          <w:color w:val="000000" w:themeColor="text1"/>
          <w:shd w:val="clear" w:color="auto" w:fill="FFFFFF"/>
        </w:rPr>
        <w:t>10</w:t>
      </w:r>
      <w:r w:rsidRPr="004A5029">
        <w:rPr>
          <w:rStyle w:val="Nessuno"/>
          <w:rFonts w:ascii="Times New Roman" w:hAnsi="Times New Roman" w:cs="Times New Roman"/>
          <w:b/>
          <w:bCs/>
          <w:color w:val="000000" w:themeColor="text1"/>
          <w:shd w:val="clear" w:color="auto" w:fill="FFFFFF"/>
        </w:rPr>
        <w:t xml:space="preserve"> </w:t>
      </w:r>
      <w:r w:rsidR="00A62EBA" w:rsidRPr="004A5029">
        <w:rPr>
          <w:rStyle w:val="Nessuno"/>
          <w:rFonts w:ascii="Times New Roman" w:hAnsi="Times New Roman" w:cs="Times New Roman"/>
          <w:b/>
          <w:bCs/>
          <w:color w:val="000000" w:themeColor="text1"/>
          <w:shd w:val="clear" w:color="auto" w:fill="FFFFFF"/>
        </w:rPr>
        <w:t xml:space="preserve">dieci </w:t>
      </w:r>
      <w:r w:rsidRPr="004A5029">
        <w:rPr>
          <w:rStyle w:val="Nessuno"/>
          <w:rFonts w:ascii="Times New Roman" w:hAnsi="Times New Roman" w:cs="Times New Roman"/>
          <w:color w:val="000000" w:themeColor="text1"/>
          <w:shd w:val="clear" w:color="auto" w:fill="FFFFFF"/>
        </w:rPr>
        <w:t>anni e iscritti ai relativi albi;</w:t>
      </w:r>
    </w:p>
    <w:p w14:paraId="54BFF87C" w14:textId="77777777"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Nessuno"/>
          <w:rFonts w:ascii="Times New Roman" w:hAnsi="Times New Roman" w:cs="Times New Roman"/>
          <w:color w:val="000000" w:themeColor="text1"/>
          <w:shd w:val="clear" w:color="auto" w:fill="FFFFFF"/>
        </w:rPr>
        <w:t>d) professori universitari, anche in quiescenza, nelle materie giuridiche e tecniche e dirigenti delle pubbliche amministrazioni, con provata esperienza nella materia dei contratti pubblici di lavori, servizi e forniture.</w:t>
      </w:r>
    </w:p>
    <w:p w14:paraId="1C4A6CA5" w14:textId="77777777" w:rsidR="0083753D" w:rsidRPr="004A5029" w:rsidRDefault="0083753D" w:rsidP="0083753D">
      <w:pPr>
        <w:jc w:val="both"/>
        <w:rPr>
          <w:rStyle w:val="Nessuno"/>
          <w:rFonts w:ascii="Times New Roman" w:hAnsi="Times New Roman" w:cs="Times New Roman"/>
          <w:i/>
          <w:iCs/>
          <w:color w:val="000000" w:themeColor="text1"/>
        </w:rPr>
      </w:pPr>
      <w:r w:rsidRPr="004A5029">
        <w:rPr>
          <w:rStyle w:val="Nessuno"/>
          <w:rFonts w:ascii="Times New Roman" w:hAnsi="Times New Roman" w:cs="Times New Roman"/>
          <w:color w:val="000000" w:themeColor="text1"/>
          <w:shd w:val="clear" w:color="auto" w:fill="FFFFFF"/>
        </w:rPr>
        <w:t>8. Sul sito dell'ANAC sono pubblicati l'elenco degli arbitrati in corso e definiti, i dati relativi alle vicende dei medesimi, i nominativi e i compensi degli arbitri e dei periti.</w:t>
      </w:r>
    </w:p>
    <w:p w14:paraId="1AD4A089" w14:textId="77777777" w:rsidR="0083753D" w:rsidRPr="004A5029" w:rsidDel="00C838D5" w:rsidRDefault="0083753D" w:rsidP="0083753D">
      <w:pPr>
        <w:jc w:val="both"/>
        <w:rPr>
          <w:rStyle w:val="Nessuno"/>
          <w:rFonts w:ascii="Times New Roman" w:hAnsi="Times New Roman" w:cs="Times New Roman"/>
          <w:bCs/>
          <w:color w:val="000000" w:themeColor="text1"/>
        </w:rPr>
      </w:pPr>
      <w:r w:rsidRPr="004A5029">
        <w:rPr>
          <w:rStyle w:val="Nessuno"/>
          <w:rFonts w:ascii="Times New Roman" w:hAnsi="Times New Roman" w:cs="Times New Roman"/>
          <w:bCs/>
          <w:color w:val="000000" w:themeColor="text1"/>
          <w:shd w:val="clear" w:color="auto" w:fill="FFFFFF"/>
        </w:rPr>
        <w:t xml:space="preserve">9. </w:t>
      </w:r>
      <w:r w:rsidRPr="004A5029">
        <w:rPr>
          <w:rStyle w:val="Nessuno"/>
          <w:rFonts w:ascii="Times New Roman" w:hAnsi="Times New Roman" w:cs="Times New Roman"/>
          <w:bCs/>
          <w:color w:val="000000" w:themeColor="text1"/>
        </w:rPr>
        <w:t>L'iscrizione all'Albo degli arbitri e all'elenco dei periti ha validità triennale e può essere nuovamente ottenuta decorsi due anni dalla scadenza del triennio.  Sono fatti salvi i casi di ricusazione di cui all'articolo 815 del codice di procedura civile. L'ulteriore disciplina relativa all’Albo degli arbitri, all’elenco dei periti e all’elenco dei segretari è disposta dall’allegato V.1.</w:t>
      </w:r>
    </w:p>
    <w:p w14:paraId="5A1EA135" w14:textId="77777777" w:rsidR="0083753D" w:rsidRPr="004A5029" w:rsidRDefault="0083753D" w:rsidP="0083753D">
      <w:pPr>
        <w:jc w:val="both"/>
        <w:rPr>
          <w:rStyle w:val="Nessuno"/>
          <w:rFonts w:ascii="Times New Roman" w:eastAsia="Times New Roman" w:hAnsi="Times New Roman" w:cs="Times New Roman"/>
          <w:color w:val="000000" w:themeColor="text1"/>
        </w:rPr>
      </w:pPr>
    </w:p>
    <w:p w14:paraId="730B8FC8"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215.</w:t>
      </w:r>
    </w:p>
    <w:p w14:paraId="283C4D45"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Collegio consultivo tecnico</w:t>
      </w:r>
      <w:r w:rsidRPr="004A5029">
        <w:rPr>
          <w:rFonts w:ascii="Times New Roman" w:eastAsia="Times New Roman" w:hAnsi="Times New Roman" w:cs="Times New Roman"/>
          <w:i/>
          <w:iCs/>
          <w:color w:val="000000" w:themeColor="text1"/>
        </w:rPr>
        <w:t>.</w:t>
      </w:r>
    </w:p>
    <w:p w14:paraId="46672D17" w14:textId="042D3011" w:rsidR="0083753D" w:rsidRPr="004A5029" w:rsidRDefault="0083753D" w:rsidP="0083753D">
      <w:pPr>
        <w:pStyle w:val="Paragrafoelenco"/>
        <w:tabs>
          <w:tab w:val="left" w:pos="820"/>
        </w:tabs>
        <w:ind w:left="0"/>
        <w:jc w:val="both"/>
        <w:rPr>
          <w:rStyle w:val="Hyperlink0"/>
          <w:rFonts w:ascii="Times New Roman" w:hAnsi="Times New Roman" w:cs="Times New Roman"/>
          <w:bCs/>
          <w:color w:val="000000" w:themeColor="text1"/>
        </w:rPr>
      </w:pPr>
      <w:r w:rsidRPr="004A5029">
        <w:rPr>
          <w:rStyle w:val="Hyperlink0"/>
          <w:rFonts w:ascii="Times New Roman" w:hAnsi="Times New Roman" w:cs="Times New Roman"/>
          <w:bCs/>
          <w:color w:val="000000" w:themeColor="text1"/>
        </w:rPr>
        <w:t xml:space="preserve">1. Per prevenire le controversie o consentire la rapida risoluzione delle stesse o delle dispute tecniche di ogni natura che possano insorgere nell'esecuzione dei contratti, ciascuna parte può chiedere la costituzione </w:t>
      </w:r>
      <w:r w:rsidRPr="004A5029">
        <w:rPr>
          <w:rStyle w:val="Hyperlink0"/>
          <w:rFonts w:ascii="Times New Roman" w:hAnsi="Times New Roman" w:cs="Times New Roman"/>
          <w:b/>
          <w:strike/>
          <w:color w:val="000000" w:themeColor="text1"/>
        </w:rPr>
        <w:t>del</w:t>
      </w:r>
      <w:r w:rsidRPr="004A5029">
        <w:rPr>
          <w:rStyle w:val="Hyperlink0"/>
          <w:rFonts w:ascii="Times New Roman" w:hAnsi="Times New Roman" w:cs="Times New Roman"/>
          <w:bCs/>
          <w:strike/>
          <w:color w:val="000000" w:themeColor="text1"/>
        </w:rPr>
        <w:t xml:space="preserve"> </w:t>
      </w:r>
      <w:r w:rsidRPr="004A5029">
        <w:rPr>
          <w:rStyle w:val="Hyperlink0"/>
          <w:rFonts w:ascii="Times New Roman" w:hAnsi="Times New Roman" w:cs="Times New Roman"/>
          <w:b/>
          <w:strike/>
          <w:color w:val="000000" w:themeColor="text1"/>
        </w:rPr>
        <w:t>Collegio</w:t>
      </w:r>
      <w:r w:rsidRPr="004A5029">
        <w:rPr>
          <w:rStyle w:val="Hyperlink0"/>
          <w:rFonts w:ascii="Times New Roman" w:hAnsi="Times New Roman" w:cs="Times New Roman"/>
          <w:b/>
          <w:color w:val="000000" w:themeColor="text1"/>
        </w:rPr>
        <w:t xml:space="preserve"> </w:t>
      </w:r>
      <w:r w:rsidR="007525CF" w:rsidRPr="004A5029">
        <w:rPr>
          <w:rStyle w:val="Hyperlink0"/>
          <w:rFonts w:ascii="Times New Roman" w:hAnsi="Times New Roman" w:cs="Times New Roman"/>
          <w:b/>
          <w:color w:val="000000" w:themeColor="text1"/>
        </w:rPr>
        <w:t>di un collegio</w:t>
      </w:r>
      <w:r w:rsidR="007525CF" w:rsidRPr="004A5029">
        <w:rPr>
          <w:rStyle w:val="Hyperlink0"/>
          <w:rFonts w:ascii="Times New Roman" w:hAnsi="Times New Roman" w:cs="Times New Roman"/>
          <w:bCs/>
          <w:color w:val="000000" w:themeColor="text1"/>
        </w:rPr>
        <w:t xml:space="preserve"> </w:t>
      </w:r>
      <w:r w:rsidRPr="004A5029">
        <w:rPr>
          <w:rStyle w:val="Hyperlink0"/>
          <w:rFonts w:ascii="Times New Roman" w:hAnsi="Times New Roman" w:cs="Times New Roman"/>
          <w:bCs/>
          <w:color w:val="000000" w:themeColor="text1"/>
        </w:rPr>
        <w:t xml:space="preserve">consultivo tecnico </w:t>
      </w:r>
      <w:r w:rsidRPr="004A5029">
        <w:rPr>
          <w:rStyle w:val="Hyperlink0"/>
          <w:rFonts w:ascii="Times New Roman" w:hAnsi="Times New Roman" w:cs="Times New Roman"/>
          <w:b/>
          <w:strike/>
          <w:color w:val="000000" w:themeColor="text1"/>
        </w:rPr>
        <w:t>(CCT)</w:t>
      </w:r>
      <w:r w:rsidRPr="004A5029">
        <w:rPr>
          <w:rStyle w:val="Hyperlink0"/>
          <w:rFonts w:ascii="Times New Roman" w:hAnsi="Times New Roman" w:cs="Times New Roman"/>
          <w:bCs/>
          <w:color w:val="000000" w:themeColor="text1"/>
        </w:rPr>
        <w:t xml:space="preserve">, formato secondo le modalità di cui all’allegato V.2. Per i lavori diretti alla realizzazione delle opere pubbliche di importo pari o superiore alle soglie di rilevanza europea e di forniture e servizi di importo pari o superiore a </w:t>
      </w:r>
      <w:r w:rsidR="00C353A3" w:rsidRPr="004A5029">
        <w:rPr>
          <w:rStyle w:val="Hyperlink0"/>
          <w:rFonts w:ascii="Times New Roman" w:hAnsi="Times New Roman" w:cs="Times New Roman"/>
          <w:bCs/>
          <w:color w:val="000000" w:themeColor="text1"/>
        </w:rPr>
        <w:t>1</w:t>
      </w:r>
      <w:r w:rsidRPr="004A5029">
        <w:rPr>
          <w:rStyle w:val="Hyperlink0"/>
          <w:rFonts w:ascii="Times New Roman" w:hAnsi="Times New Roman" w:cs="Times New Roman"/>
          <w:bCs/>
          <w:color w:val="000000" w:themeColor="text1"/>
        </w:rPr>
        <w:t xml:space="preserve"> milione di euro, la costituzione del collegio è obbligatoria.</w:t>
      </w:r>
      <w:r w:rsidRPr="004A5029">
        <w:rPr>
          <w:rFonts w:ascii="Times New Roman" w:hAnsi="Times New Roman" w:cs="Times New Roman"/>
          <w:color w:val="000000" w:themeColor="text1"/>
        </w:rPr>
        <w:t xml:space="preserve"> In sede di prima applicazione del codice, l’allegato V.2 è abrogato a decorrere dalla data di entrata in vigore di un corrispondente regolamento </w:t>
      </w:r>
      <w:r w:rsidR="00364325" w:rsidRPr="004A5029">
        <w:rPr>
          <w:rFonts w:ascii="Times New Roman" w:hAnsi="Times New Roman" w:cs="Times New Roman"/>
          <w:color w:val="000000" w:themeColor="text1"/>
        </w:rPr>
        <w:t>adottato</w:t>
      </w:r>
      <w:r w:rsidRPr="004A5029">
        <w:rPr>
          <w:rFonts w:ascii="Times New Roman" w:hAnsi="Times New Roman" w:cs="Times New Roman"/>
          <w:color w:val="000000" w:themeColor="text1"/>
        </w:rPr>
        <w:t xml:space="preserve"> ai sensi dell’articolo 17, comma 3, della legge 23 agosto 1988, n. 400, </w:t>
      </w:r>
      <w:r w:rsidRPr="004A5029">
        <w:rPr>
          <w:rStyle w:val="Hyperlink0"/>
          <w:rFonts w:ascii="Times New Roman" w:hAnsi="Times New Roman" w:cs="Times New Roman"/>
          <w:bCs/>
          <w:color w:val="000000" w:themeColor="text1"/>
        </w:rPr>
        <w:t>con decreto del Ministro delle infrastrutture e dei trasporti, sentito il Consiglio superiore dei lavori pubblici</w:t>
      </w:r>
      <w:r w:rsidRPr="004A5029">
        <w:rPr>
          <w:rFonts w:ascii="Times New Roman" w:hAnsi="Times New Roman" w:cs="Times New Roman"/>
          <w:color w:val="000000" w:themeColor="text1"/>
        </w:rPr>
        <w:t>, che lo sostituisce integralmente anche in qualità di allegato al codice.</w:t>
      </w:r>
      <w:r w:rsidRPr="004A5029">
        <w:rPr>
          <w:rStyle w:val="Hyperlink0"/>
          <w:rFonts w:ascii="Times New Roman" w:hAnsi="Times New Roman" w:cs="Times New Roman"/>
          <w:bCs/>
          <w:color w:val="000000" w:themeColor="text1"/>
        </w:rPr>
        <w:t xml:space="preserve"> </w:t>
      </w:r>
    </w:p>
    <w:p w14:paraId="6436B5AD" w14:textId="5499B32C" w:rsidR="0083753D" w:rsidRPr="004A5029" w:rsidRDefault="0083753D" w:rsidP="0083753D">
      <w:pPr>
        <w:pStyle w:val="Paragrafoelenco"/>
        <w:ind w:left="0"/>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2. Il </w:t>
      </w:r>
      <w:r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esprime pareri o, in assenza di una espressa volontà contraria, adotta determinazioni aventi natura di lodo contrattuale ai sensi dell'articolo 808-</w:t>
      </w:r>
      <w:r w:rsidRPr="004A5029">
        <w:rPr>
          <w:rStyle w:val="Hyperlink0"/>
          <w:rFonts w:ascii="Times New Roman" w:hAnsi="Times New Roman" w:cs="Times New Roman"/>
          <w:i/>
          <w:iCs/>
          <w:color w:val="000000" w:themeColor="text1"/>
        </w:rPr>
        <w:t>ter</w:t>
      </w:r>
      <w:r w:rsidRPr="004A5029">
        <w:rPr>
          <w:rStyle w:val="Hyperlink0"/>
          <w:rFonts w:ascii="Times New Roman" w:hAnsi="Times New Roman" w:cs="Times New Roman"/>
          <w:color w:val="000000" w:themeColor="text1"/>
        </w:rPr>
        <w:t xml:space="preserve"> del codice di procedura civile. Se la pronuncia assume valore di lodo contrattuale, l’attività di mediazione e conciliazione è comunque finalizzata alla scelta della migliore soluzione per la celere esecuzione dell’opera a regola d’arte.</w:t>
      </w:r>
    </w:p>
    <w:p w14:paraId="3F1D869D" w14:textId="3C1F26D0" w:rsidR="0083753D" w:rsidRPr="004A5029" w:rsidRDefault="0083753D" w:rsidP="0083753D">
      <w:pPr>
        <w:pStyle w:val="Paragrafoelenco"/>
        <w:tabs>
          <w:tab w:val="left" w:pos="820"/>
        </w:tabs>
        <w:ind w:left="0"/>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3. L'inosservanza dei pareri o delle determinazioni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 xml:space="preserve">ollegio consultivo tecnico è valutata ai fini della responsabilità del soggetto agente per danno erariale e costituisce, salvo prova contraria, grave inadempimento degli obblighi contrattuali. L’osservanza delle determinazioni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è causa di esclusione della responsabilità per danno erariale, salva l’ipotesi di condotta dolosa.</w:t>
      </w:r>
    </w:p>
    <w:p w14:paraId="58717D39" w14:textId="77777777" w:rsidR="0083753D" w:rsidRPr="004A5029" w:rsidRDefault="0083753D" w:rsidP="0083753D">
      <w:pPr>
        <w:jc w:val="both"/>
        <w:rPr>
          <w:rFonts w:ascii="Times New Roman" w:hAnsi="Times New Roman" w:cs="Times New Roman"/>
          <w:color w:val="000000" w:themeColor="text1"/>
        </w:rPr>
      </w:pPr>
    </w:p>
    <w:p w14:paraId="48CF7407"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216.</w:t>
      </w:r>
    </w:p>
    <w:p w14:paraId="26723688" w14:textId="77777777"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i/>
          <w:color w:val="000000" w:themeColor="text1"/>
        </w:rPr>
        <w:t>Pareri obbligatori</w:t>
      </w:r>
      <w:r w:rsidRPr="004A5029">
        <w:rPr>
          <w:rFonts w:ascii="Times New Roman" w:eastAsia="Times New Roman" w:hAnsi="Times New Roman" w:cs="Times New Roman"/>
          <w:i/>
          <w:iCs/>
          <w:color w:val="000000" w:themeColor="text1"/>
        </w:rPr>
        <w:t>.</w:t>
      </w:r>
    </w:p>
    <w:p w14:paraId="38CCB725" w14:textId="120454F4" w:rsidR="0083753D" w:rsidRPr="004A5029" w:rsidRDefault="0083753D" w:rsidP="0083753D">
      <w:pPr>
        <w:pStyle w:val="Paragrafoelenco"/>
        <w:ind w:left="0"/>
        <w:jc w:val="both"/>
        <w:rPr>
          <w:rStyle w:val="Rimandonotaapidipagina"/>
          <w:rFonts w:ascii="Times New Roman" w:hAnsi="Times New Roman" w:cs="Times New Roman"/>
          <w:bCs/>
          <w:color w:val="000000" w:themeColor="text1"/>
        </w:rPr>
      </w:pPr>
      <w:r w:rsidRPr="004A5029">
        <w:rPr>
          <w:rStyle w:val="Hyperlink0"/>
          <w:rFonts w:ascii="Times New Roman" w:hAnsi="Times New Roman" w:cs="Times New Roman"/>
          <w:bCs/>
          <w:color w:val="000000" w:themeColor="text1"/>
        </w:rPr>
        <w:t xml:space="preserve">1. L’acquisizione del parere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bCs/>
          <w:color w:val="000000" w:themeColor="text1"/>
        </w:rPr>
        <w:t xml:space="preserve">ollegio consultivo tecnico è obbligatoria nei casi di sospensione, volontaria o coattiva, dell'esecuzione di lavori diretti alla realizzazione delle opere pubbliche di importo pari o superiore alle soglie di rilevanza europea </w:t>
      </w:r>
      <w:r w:rsidR="000364DE" w:rsidRPr="004A5029">
        <w:rPr>
          <w:rStyle w:val="Hyperlink0"/>
          <w:rFonts w:ascii="Times New Roman" w:hAnsi="Times New Roman" w:cs="Times New Roman"/>
          <w:bCs/>
          <w:color w:val="000000" w:themeColor="text1"/>
        </w:rPr>
        <w:t xml:space="preserve">di </w:t>
      </w:r>
      <w:r w:rsidRPr="004A5029">
        <w:rPr>
          <w:rStyle w:val="Hyperlink0"/>
          <w:rFonts w:ascii="Times New Roman" w:hAnsi="Times New Roman" w:cs="Times New Roman"/>
          <w:bCs/>
          <w:color w:val="000000" w:themeColor="text1"/>
        </w:rPr>
        <w:t>cui all'articolo 14, nonché nei casi dei contratti relativi a servizi e forniture di cui all’articolo 121, comma 11, secondo periodo.</w:t>
      </w:r>
    </w:p>
    <w:p w14:paraId="60ABD844" w14:textId="4FFD329F" w:rsidR="0083753D" w:rsidRPr="004A5029" w:rsidRDefault="0083753D" w:rsidP="0083753D">
      <w:pPr>
        <w:pStyle w:val="Paragrafoelenco"/>
        <w:tabs>
          <w:tab w:val="left" w:pos="820"/>
        </w:tabs>
        <w:ind w:left="0"/>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2. Se, per qualsiasi motivo, i lavori non possono procedere con il soggetto designato, prima di risolvere il contratto la stazione appaltante acquisisce il parere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anche in ordine alla possibilità che gravi motivi tecnici ed economici rendano preferibile la prosecuzione con il medesimo soggetto.</w:t>
      </w:r>
    </w:p>
    <w:p w14:paraId="24BFF37B" w14:textId="731FFD83" w:rsidR="0083753D" w:rsidRPr="004A5029" w:rsidRDefault="0083753D" w:rsidP="0083753D">
      <w:pPr>
        <w:tabs>
          <w:tab w:val="left" w:pos="820"/>
        </w:tabs>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3. Nel parere il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valuta anche la possibilità di decidere:</w:t>
      </w:r>
    </w:p>
    <w:p w14:paraId="2CA1FC06" w14:textId="77777777" w:rsidR="0083753D" w:rsidRPr="004A5029" w:rsidRDefault="0083753D" w:rsidP="0083753D">
      <w:pPr>
        <w:tabs>
          <w:tab w:val="left" w:pos="820"/>
        </w:tabs>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a) se procedere all'esecuzione in via diretta dei lavori, anche avvalendosi, nei casi consentiti dalla legge, previa convenzione, di altri enti o società pubbliche nell'ambito del quadro economico dell'opera; </w:t>
      </w:r>
    </w:p>
    <w:p w14:paraId="061CD2CB" w14:textId="77777777" w:rsidR="0083753D" w:rsidRPr="004A5029" w:rsidRDefault="0083753D" w:rsidP="0083753D">
      <w:pPr>
        <w:tabs>
          <w:tab w:val="left" w:pos="820"/>
        </w:tabs>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b) se interpellare progressivamente i soggetti che hanno partecipato alla originaria procedura di gara come risultanti dalla relativa graduatoria, per stipulare un nuovo contratto per l'affidamento del completamento dei lavori, se tecnicamente ed economicamente possibile e alle condizioni proposte dall'operatore economico interpellato; </w:t>
      </w:r>
    </w:p>
    <w:p w14:paraId="31D126E6" w14:textId="77777777" w:rsidR="0083753D" w:rsidRPr="004A5029" w:rsidRDefault="0083753D" w:rsidP="0083753D">
      <w:pPr>
        <w:tabs>
          <w:tab w:val="left" w:pos="820"/>
        </w:tabs>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c) se indire una nuova procedura per l'affidamento del completamento dell'opera;</w:t>
      </w:r>
    </w:p>
    <w:p w14:paraId="05403F9B" w14:textId="52327587" w:rsidR="0083753D" w:rsidRPr="004A5029" w:rsidRDefault="0083753D" w:rsidP="0083753D">
      <w:pPr>
        <w:jc w:val="both"/>
        <w:rPr>
          <w:rStyle w:val="Hyperlink0"/>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d) se proporre alle autorità governative la nomina di un commissario straordinario per lo svolgimento delle attività necessarie al completamento dell'opera ai sensi dell'articolo 4 del decreto-legge </w:t>
      </w:r>
      <w:hyperlink r:id="rId39" w:history="1">
        <w:r w:rsidRPr="004A5029">
          <w:rPr>
            <w:rStyle w:val="Hyperlink0"/>
            <w:rFonts w:ascii="Times New Roman" w:hAnsi="Times New Roman" w:cs="Times New Roman"/>
            <w:color w:val="000000" w:themeColor="text1"/>
          </w:rPr>
          <w:t>18 aprile 2019, n. 32</w:t>
        </w:r>
      </w:hyperlink>
      <w:r w:rsidRPr="004A5029">
        <w:rPr>
          <w:rStyle w:val="Hyperlink0"/>
          <w:rFonts w:ascii="Times New Roman" w:hAnsi="Times New Roman" w:cs="Times New Roman"/>
          <w:color w:val="000000" w:themeColor="text1"/>
        </w:rPr>
        <w:t xml:space="preserve">, convertito, con modificazioni, dalla </w:t>
      </w:r>
      <w:hyperlink r:id="rId40" w:history="1">
        <w:r w:rsidRPr="004A5029">
          <w:rPr>
            <w:rStyle w:val="Hyperlink0"/>
            <w:rFonts w:ascii="Times New Roman" w:hAnsi="Times New Roman" w:cs="Times New Roman"/>
            <w:color w:val="000000" w:themeColor="text1"/>
          </w:rPr>
          <w:t>legge 14</w:t>
        </w:r>
      </w:hyperlink>
      <w:r w:rsidRPr="004A5029">
        <w:rPr>
          <w:rStyle w:val="Hyperlink0"/>
          <w:rFonts w:ascii="Times New Roman" w:hAnsi="Times New Roman" w:cs="Times New Roman"/>
          <w:color w:val="000000" w:themeColor="text1"/>
        </w:rPr>
        <w:t xml:space="preserve"> giugno 2019, n. 55.</w:t>
      </w:r>
    </w:p>
    <w:p w14:paraId="4F271D2B" w14:textId="0F6E468D" w:rsidR="0083753D" w:rsidRPr="004A5029" w:rsidRDefault="0083753D" w:rsidP="0083753D">
      <w:pPr>
        <w:tabs>
          <w:tab w:val="left" w:pos="820"/>
        </w:tabs>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4. Quando la sospensione è imposta da gravi ragioni di ordine tecnico, idonee a incidere sulla realizzazione a regola d'arte dell'opera, in relazione alle modalità di superamento delle quali non vi è accordo tra le parti, entro </w:t>
      </w:r>
      <w:r w:rsidRPr="004A5029">
        <w:rPr>
          <w:rStyle w:val="Hyperlink0"/>
          <w:rFonts w:ascii="Times New Roman" w:hAnsi="Times New Roman" w:cs="Times New Roman"/>
          <w:b/>
          <w:bCs/>
          <w:strike/>
          <w:color w:val="000000" w:themeColor="text1"/>
        </w:rPr>
        <w:t>15</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quindici </w:t>
      </w:r>
      <w:r w:rsidRPr="004A5029">
        <w:rPr>
          <w:rStyle w:val="Hyperlink0"/>
          <w:rFonts w:ascii="Times New Roman" w:hAnsi="Times New Roman" w:cs="Times New Roman"/>
          <w:color w:val="000000" w:themeColor="text1"/>
        </w:rPr>
        <w:t xml:space="preserve">giorni dalla comunicazione della sospensione dei lavori oppure della causa che potrebbe determinarla, il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accerta l'esistenza di una causa tecnica di legittima sospensione dei lavori e indica le modalità, tra quelle di cui ai commi 2 e 3, con cui proseguire i lavori e le eventuali modifiche necessarie da apportare per la realizzazione dell'opera a regola d'arte. In tal caso la pronuncia assume l’efficacia di lodo contrattuale solo se tale possibilità non sia stata espressamente esclusa ai sensi di quanto disposto dall’articolo 217.</w:t>
      </w:r>
    </w:p>
    <w:p w14:paraId="5338A720" w14:textId="77777777" w:rsidR="0083753D" w:rsidRPr="004A5029" w:rsidRDefault="0083753D" w:rsidP="0083753D">
      <w:pPr>
        <w:jc w:val="both"/>
        <w:rPr>
          <w:rFonts w:ascii="Times New Roman" w:hAnsi="Times New Roman" w:cs="Times New Roman"/>
          <w:color w:val="000000" w:themeColor="text1"/>
        </w:rPr>
      </w:pPr>
    </w:p>
    <w:p w14:paraId="2B9266CB"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217.</w:t>
      </w:r>
    </w:p>
    <w:p w14:paraId="2914EC01" w14:textId="77777777" w:rsidR="0083753D" w:rsidRPr="004A5029" w:rsidRDefault="0083753D" w:rsidP="0083753D">
      <w:pPr>
        <w:jc w:val="both"/>
        <w:rPr>
          <w:rFonts w:ascii="Times New Roman" w:eastAsia="Times New Roman" w:hAnsi="Times New Roman" w:cs="Times New Roman"/>
          <w:i/>
          <w:color w:val="000000" w:themeColor="text1"/>
        </w:rPr>
      </w:pPr>
      <w:r w:rsidRPr="004A5029">
        <w:rPr>
          <w:rFonts w:ascii="Times New Roman" w:eastAsia="Times New Roman" w:hAnsi="Times New Roman" w:cs="Times New Roman"/>
          <w:i/>
          <w:color w:val="000000" w:themeColor="text1"/>
        </w:rPr>
        <w:t>Determinazioni</w:t>
      </w:r>
      <w:r w:rsidRPr="004A5029">
        <w:rPr>
          <w:rFonts w:ascii="Times New Roman" w:eastAsia="Times New Roman" w:hAnsi="Times New Roman" w:cs="Times New Roman"/>
          <w:i/>
          <w:iCs/>
          <w:color w:val="000000" w:themeColor="text1"/>
        </w:rPr>
        <w:t>.</w:t>
      </w:r>
    </w:p>
    <w:p w14:paraId="62D82794" w14:textId="4FB89283" w:rsidR="0083753D" w:rsidRPr="004A5029" w:rsidRDefault="0083753D" w:rsidP="0083753D">
      <w:pPr>
        <w:pStyle w:val="Paragrafoelenco"/>
        <w:ind w:left="0"/>
        <w:jc w:val="both"/>
        <w:rPr>
          <w:rFonts w:ascii="Times New Roman" w:hAnsi="Times New Roman" w:cs="Times New Roman"/>
          <w:bCs/>
          <w:color w:val="000000" w:themeColor="text1"/>
        </w:rPr>
      </w:pPr>
      <w:r w:rsidRPr="004A5029">
        <w:rPr>
          <w:rStyle w:val="Hyperlink0"/>
          <w:rFonts w:ascii="Times New Roman" w:hAnsi="Times New Roman" w:cs="Times New Roman"/>
          <w:bCs/>
          <w:color w:val="000000" w:themeColor="text1"/>
        </w:rPr>
        <w:t xml:space="preserve">1. Quando l’acquisizione del parere non è obbligatoria, le determinazioni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bCs/>
          <w:color w:val="000000" w:themeColor="text1"/>
        </w:rPr>
        <w:t>ollegio consultivo tecnico assumono natura di lodo contrattuale ai sensi</w:t>
      </w:r>
      <w:r w:rsidRPr="004A5029">
        <w:rPr>
          <w:rStyle w:val="Hyperlink0"/>
          <w:rFonts w:ascii="Times New Roman" w:hAnsi="Times New Roman" w:cs="Times New Roman"/>
          <w:bCs/>
          <w:i/>
          <w:iCs/>
          <w:color w:val="000000" w:themeColor="text1"/>
        </w:rPr>
        <w:t xml:space="preserve"> </w:t>
      </w:r>
      <w:r w:rsidRPr="004A5029">
        <w:rPr>
          <w:rStyle w:val="Hyperlink0"/>
          <w:rFonts w:ascii="Times New Roman" w:hAnsi="Times New Roman" w:cs="Times New Roman"/>
          <w:bCs/>
          <w:color w:val="000000" w:themeColor="text1"/>
        </w:rPr>
        <w:t>dell’articolo 808-</w:t>
      </w:r>
      <w:r w:rsidRPr="004A5029">
        <w:rPr>
          <w:rStyle w:val="Hyperlink0"/>
          <w:rFonts w:ascii="Times New Roman" w:hAnsi="Times New Roman" w:cs="Times New Roman"/>
          <w:bCs/>
          <w:i/>
          <w:iCs/>
          <w:color w:val="000000" w:themeColor="text1"/>
        </w:rPr>
        <w:t xml:space="preserve">ter </w:t>
      </w:r>
      <w:r w:rsidRPr="004A5029">
        <w:rPr>
          <w:rStyle w:val="Hyperlink0"/>
          <w:rFonts w:ascii="Times New Roman" w:hAnsi="Times New Roman" w:cs="Times New Roman"/>
          <w:bCs/>
          <w:color w:val="000000" w:themeColor="text1"/>
        </w:rPr>
        <w:t xml:space="preserve">del codice di procedura civile se le parti, successivamente alla nomina del Presidente e non oltre il momento dell’insediamento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bCs/>
          <w:color w:val="000000" w:themeColor="text1"/>
        </w:rPr>
        <w:t xml:space="preserve">ollegio, non abbiano diversamente disposto. La possibilità che la pronuncia del </w:t>
      </w:r>
      <w:r w:rsidRPr="004A5029">
        <w:rPr>
          <w:rStyle w:val="Hyperlink0"/>
          <w:rFonts w:ascii="Times New Roman" w:hAnsi="Times New Roman" w:cs="Times New Roman"/>
          <w:b/>
          <w:strike/>
          <w:color w:val="000000" w:themeColor="text1"/>
        </w:rPr>
        <w:t>CCT</w:t>
      </w:r>
      <w:r w:rsidRPr="004A5029">
        <w:rPr>
          <w:rStyle w:val="Hyperlink0"/>
          <w:rFonts w:ascii="Times New Roman" w:hAnsi="Times New Roman" w:cs="Times New Roman"/>
          <w:b/>
          <w:color w:val="000000" w:themeColor="text1"/>
        </w:rPr>
        <w:t xml:space="preserve"> </w:t>
      </w:r>
      <w:r w:rsidR="007525CF" w:rsidRPr="004A5029">
        <w:rPr>
          <w:rStyle w:val="Hyperlink0"/>
          <w:rFonts w:ascii="Times New Roman" w:hAnsi="Times New Roman" w:cs="Times New Roman"/>
          <w:b/>
          <w:color w:val="000000" w:themeColor="text1"/>
        </w:rPr>
        <w:t>collegio consultivo tecnico</w:t>
      </w:r>
      <w:r w:rsidR="007525CF" w:rsidRPr="004A5029">
        <w:rPr>
          <w:rStyle w:val="Hyperlink0"/>
          <w:rFonts w:ascii="Times New Roman" w:hAnsi="Times New Roman" w:cs="Times New Roman"/>
          <w:bCs/>
          <w:color w:val="000000" w:themeColor="text1"/>
        </w:rPr>
        <w:t xml:space="preserve"> </w:t>
      </w:r>
      <w:r w:rsidRPr="004A5029">
        <w:rPr>
          <w:rStyle w:val="Hyperlink0"/>
          <w:rFonts w:ascii="Times New Roman" w:hAnsi="Times New Roman" w:cs="Times New Roman"/>
          <w:bCs/>
          <w:color w:val="000000" w:themeColor="text1"/>
        </w:rPr>
        <w:t>assuma natura di lodo contrattuale è esclusa nei casi in cui è richiesto il parere sulla sospensione coattiva e sulle modalità di prosecuzione dei lavori. Il parere obbligatorio può essere sostituito dalla determinazione avente natura di lodo contrattuale nell’ipotesi di sospensione imposta da gravi ragioni di ordine tecnico ai sensi del comma 4 dell’articolo 216.</w:t>
      </w:r>
    </w:p>
    <w:p w14:paraId="13F2DB44" w14:textId="77777777" w:rsidR="0083753D" w:rsidRPr="004A5029" w:rsidRDefault="0083753D" w:rsidP="0083753D">
      <w:pPr>
        <w:pStyle w:val="Paragrafoelenco"/>
        <w:ind w:left="0"/>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2. Se le parti, ai sensi di quanto disposto dal comma 1, escludono che la pronuncia possa valere come lodo contrattuale, il parere, anche se facoltativo, produce comunque gli effetti di cui al</w:t>
      </w:r>
      <w:r w:rsidRPr="004A5029">
        <w:rPr>
          <w:rFonts w:ascii="Times New Roman" w:hAnsi="Times New Roman" w:cs="Times New Roman"/>
          <w:color w:val="000000" w:themeColor="text1"/>
        </w:rPr>
        <w:t xml:space="preserve"> </w:t>
      </w:r>
      <w:r w:rsidRPr="004A5029">
        <w:rPr>
          <w:rStyle w:val="Hyperlink0"/>
          <w:rFonts w:ascii="Times New Roman" w:hAnsi="Times New Roman" w:cs="Times New Roman"/>
          <w:color w:val="000000" w:themeColor="text1"/>
        </w:rPr>
        <w:t>comma 3 dell’articolo 215.</w:t>
      </w:r>
    </w:p>
    <w:p w14:paraId="397FDEA8" w14:textId="7E422DB2" w:rsidR="0083753D" w:rsidRPr="004A5029" w:rsidRDefault="0083753D" w:rsidP="0083753D">
      <w:pPr>
        <w:pStyle w:val="Paragrafoelenco"/>
        <w:ind w:left="0"/>
        <w:jc w:val="both"/>
        <w:rPr>
          <w:rStyle w:val="Hyperlink0"/>
          <w:rFonts w:ascii="Times New Roman" w:hAnsi="Times New Roman" w:cs="Times New Roman"/>
          <w:bCs/>
          <w:color w:val="000000" w:themeColor="text1"/>
        </w:rPr>
      </w:pPr>
      <w:r w:rsidRPr="004A5029">
        <w:rPr>
          <w:rStyle w:val="Hyperlink0"/>
          <w:rFonts w:ascii="Times New Roman" w:hAnsi="Times New Roman" w:cs="Times New Roman"/>
          <w:bCs/>
          <w:color w:val="000000" w:themeColor="text1"/>
        </w:rPr>
        <w:t xml:space="preserve">3. Le determinazioni aventi natura di lodo contrattuale sono impugnabili nei casi e nei modi indicati dall’articolo </w:t>
      </w:r>
      <w:r w:rsidRPr="004A5029">
        <w:rPr>
          <w:rStyle w:val="Hyperlink0"/>
          <w:rFonts w:ascii="Times New Roman" w:hAnsi="Times New Roman" w:cs="Times New Roman"/>
          <w:b/>
          <w:strike/>
          <w:color w:val="000000" w:themeColor="text1"/>
        </w:rPr>
        <w:t>803-</w:t>
      </w:r>
      <w:r w:rsidRPr="004A5029">
        <w:rPr>
          <w:rStyle w:val="Hyperlink0"/>
          <w:rFonts w:ascii="Times New Roman" w:hAnsi="Times New Roman" w:cs="Times New Roman"/>
          <w:b/>
          <w:i/>
          <w:iCs/>
          <w:strike/>
          <w:color w:val="000000" w:themeColor="text1"/>
        </w:rPr>
        <w:t>ter</w:t>
      </w:r>
      <w:r w:rsidR="007F5018" w:rsidRPr="004A5029">
        <w:rPr>
          <w:rStyle w:val="Hyperlink0"/>
          <w:rFonts w:ascii="Times New Roman" w:hAnsi="Times New Roman" w:cs="Times New Roman"/>
          <w:b/>
          <w:i/>
          <w:iCs/>
          <w:color w:val="000000" w:themeColor="text1"/>
        </w:rPr>
        <w:t xml:space="preserve"> </w:t>
      </w:r>
      <w:r w:rsidR="007F5018" w:rsidRPr="004A5029">
        <w:rPr>
          <w:rStyle w:val="Hyperlink0"/>
          <w:rFonts w:ascii="Times New Roman" w:hAnsi="Times New Roman" w:cs="Times New Roman"/>
          <w:b/>
          <w:color w:val="000000" w:themeColor="text1"/>
        </w:rPr>
        <w:t>808-</w:t>
      </w:r>
      <w:r w:rsidR="007F5018" w:rsidRPr="004A5029">
        <w:rPr>
          <w:rStyle w:val="Hyperlink0"/>
          <w:rFonts w:ascii="Times New Roman" w:hAnsi="Times New Roman" w:cs="Times New Roman"/>
          <w:b/>
          <w:i/>
          <w:iCs/>
          <w:color w:val="000000" w:themeColor="text1"/>
        </w:rPr>
        <w:t>ter</w:t>
      </w:r>
      <w:r w:rsidRPr="004A5029">
        <w:rPr>
          <w:rStyle w:val="Hyperlink0"/>
          <w:rFonts w:ascii="Times New Roman" w:hAnsi="Times New Roman" w:cs="Times New Roman"/>
          <w:bCs/>
          <w:color w:val="000000" w:themeColor="text1"/>
        </w:rPr>
        <w:t>, secondo comma, del codice di procedura civile.</w:t>
      </w:r>
    </w:p>
    <w:p w14:paraId="61DAA4D5" w14:textId="77777777" w:rsidR="0083753D" w:rsidRPr="004A5029" w:rsidRDefault="0083753D" w:rsidP="0083753D">
      <w:pPr>
        <w:pStyle w:val="Paragrafoelenco"/>
        <w:ind w:left="0"/>
        <w:jc w:val="both"/>
        <w:rPr>
          <w:rStyle w:val="Hyperlink0"/>
          <w:rFonts w:ascii="Times New Roman" w:hAnsi="Times New Roman" w:cs="Times New Roman"/>
          <w:color w:val="000000" w:themeColor="text1"/>
        </w:rPr>
      </w:pPr>
    </w:p>
    <w:p w14:paraId="437260EA"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218.</w:t>
      </w:r>
    </w:p>
    <w:p w14:paraId="5BC2BFC7" w14:textId="266DEB68" w:rsidR="0083753D" w:rsidRPr="004A5029" w:rsidRDefault="0083753D" w:rsidP="0083753D">
      <w:pPr>
        <w:jc w:val="both"/>
        <w:rPr>
          <w:rFonts w:ascii="Times New Roman" w:eastAsia="Times New Roman" w:hAnsi="Times New Roman" w:cs="Times New Roman"/>
          <w:i/>
          <w:color w:val="000000" w:themeColor="text1"/>
        </w:rPr>
      </w:pPr>
      <w:r w:rsidRPr="004A5029">
        <w:rPr>
          <w:rStyle w:val="Hyperlink0"/>
          <w:rFonts w:ascii="Times New Roman" w:hAnsi="Times New Roman" w:cs="Times New Roman"/>
          <w:i/>
          <w:iCs/>
          <w:color w:val="000000" w:themeColor="text1"/>
        </w:rPr>
        <w:t xml:space="preserve">Costituzione facoltativa del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i/>
          <w:iCs/>
          <w:color w:val="000000" w:themeColor="text1"/>
        </w:rPr>
        <w:t>c</w:t>
      </w:r>
      <w:r w:rsidRPr="004A5029">
        <w:rPr>
          <w:rStyle w:val="Hyperlink0"/>
          <w:rFonts w:ascii="Times New Roman" w:hAnsi="Times New Roman" w:cs="Times New Roman"/>
          <w:i/>
          <w:iCs/>
          <w:color w:val="000000" w:themeColor="text1"/>
        </w:rPr>
        <w:t>ollegio consultivo tecnico</w:t>
      </w:r>
      <w:r w:rsidRPr="004A5029">
        <w:rPr>
          <w:rFonts w:ascii="Times New Roman" w:eastAsia="Times New Roman" w:hAnsi="Times New Roman" w:cs="Times New Roman"/>
          <w:i/>
          <w:iCs/>
          <w:color w:val="000000" w:themeColor="text1"/>
        </w:rPr>
        <w:t>.</w:t>
      </w:r>
    </w:p>
    <w:p w14:paraId="0C61C432" w14:textId="793B6240" w:rsidR="0083753D" w:rsidRPr="004A5029" w:rsidRDefault="0083753D" w:rsidP="0083753D">
      <w:pPr>
        <w:jc w:val="both"/>
        <w:rPr>
          <w:rFonts w:ascii="Times New Roman" w:hAnsi="Times New Roman" w:cs="Times New Roman"/>
          <w:color w:val="000000" w:themeColor="text1"/>
        </w:rPr>
      </w:pPr>
      <w:r w:rsidRPr="004A5029">
        <w:rPr>
          <w:rFonts w:ascii="Times New Roman" w:eastAsia="Times New Roman" w:hAnsi="Times New Roman" w:cs="Times New Roman"/>
          <w:color w:val="000000" w:themeColor="text1"/>
        </w:rPr>
        <w:t>1. Le stazioni appaltanti e gli enti concedenti, tramite il RUP, possono costituire</w:t>
      </w:r>
      <w:r w:rsidR="000364DE"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color w:val="000000" w:themeColor="text1"/>
        </w:rPr>
        <w:t xml:space="preserve"> secondo le modalità di cui all’allegato V.2</w:t>
      </w:r>
      <w:r w:rsidR="000364DE"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color w:val="000000" w:themeColor="text1"/>
        </w:rPr>
        <w:t xml:space="preserve"> un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Fonts w:ascii="Times New Roman" w:eastAsia="Times New Roman" w:hAnsi="Times New Roman" w:cs="Times New Roman"/>
          <w:color w:val="000000" w:themeColor="text1"/>
        </w:rPr>
        <w:t>ollegio consultivo tecnico</w:t>
      </w:r>
      <w:r w:rsidR="0081782D"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color w:val="000000" w:themeColor="text1"/>
        </w:rPr>
        <w:t xml:space="preserve"> formato da tre componenti</w:t>
      </w:r>
      <w:r w:rsidR="0081782D" w:rsidRPr="004A5029">
        <w:rPr>
          <w:rFonts w:ascii="Times New Roman" w:eastAsia="Times New Roman" w:hAnsi="Times New Roman" w:cs="Times New Roman"/>
          <w:color w:val="000000" w:themeColor="text1"/>
        </w:rPr>
        <w:t>,</w:t>
      </w:r>
      <w:r w:rsidRPr="004A5029">
        <w:rPr>
          <w:rFonts w:ascii="Times New Roman" w:eastAsia="Times New Roman" w:hAnsi="Times New Roman" w:cs="Times New Roman"/>
          <w:color w:val="000000" w:themeColor="text1"/>
        </w:rPr>
        <w:t xml:space="preserve"> per risolvere problemi tecnici o giuridici di ogni natura suscettibili di insorgere anche nella fase antecedente alla esecuzione del contratto, ivi comprese le determinazioni delle caratteristiche delle opere e le altre clausole e condizioni del bando o dell'invito, nonché la verifica del possesso dei requisiti di partecipazione e dei criteri di selezione e di aggiudicazione.</w:t>
      </w:r>
      <w:r w:rsidRPr="004A5029">
        <w:rPr>
          <w:rStyle w:val="Nessuno"/>
          <w:rFonts w:ascii="Times New Roman" w:hAnsi="Times New Roman" w:cs="Times New Roman"/>
          <w:color w:val="000000" w:themeColor="text1"/>
        </w:rPr>
        <w:t xml:space="preserve"> </w:t>
      </w:r>
    </w:p>
    <w:p w14:paraId="2AEAF47F" w14:textId="77777777" w:rsidR="0083753D" w:rsidRPr="004A5029" w:rsidRDefault="0083753D" w:rsidP="0083753D">
      <w:pPr>
        <w:jc w:val="both"/>
        <w:rPr>
          <w:rStyle w:val="Nessuno"/>
          <w:rFonts w:ascii="Times New Roman" w:eastAsia="Times New Roman" w:hAnsi="Times New Roman" w:cs="Times New Roman"/>
          <w:color w:val="000000" w:themeColor="text1"/>
        </w:rPr>
      </w:pPr>
    </w:p>
    <w:p w14:paraId="3576E6AB"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219.</w:t>
      </w:r>
    </w:p>
    <w:p w14:paraId="70B2CC93" w14:textId="0ED22EBB" w:rsidR="0083753D" w:rsidRPr="004A5029" w:rsidRDefault="0083753D" w:rsidP="0083753D">
      <w:pPr>
        <w:jc w:val="both"/>
        <w:rPr>
          <w:rFonts w:ascii="Times New Roman" w:eastAsia="Times New Roman" w:hAnsi="Times New Roman" w:cs="Times New Roman"/>
          <w:b/>
          <w:bCs/>
          <w:i/>
          <w:color w:val="000000" w:themeColor="text1"/>
        </w:rPr>
      </w:pPr>
      <w:r w:rsidRPr="004A5029">
        <w:rPr>
          <w:rStyle w:val="Hyperlink0"/>
          <w:rFonts w:ascii="Times New Roman" w:hAnsi="Times New Roman" w:cs="Times New Roman"/>
          <w:i/>
          <w:color w:val="000000" w:themeColor="text1"/>
        </w:rPr>
        <w:t>Scioglimento</w:t>
      </w:r>
      <w:r w:rsidR="007525CF" w:rsidRPr="004A5029">
        <w:rPr>
          <w:rStyle w:val="Hyperlink0"/>
          <w:rFonts w:ascii="Times New Roman" w:hAnsi="Times New Roman" w:cs="Times New Roman"/>
          <w:i/>
          <w:color w:val="000000" w:themeColor="text1"/>
        </w:rPr>
        <w:t xml:space="preserve"> </w:t>
      </w:r>
      <w:r w:rsidR="007525CF" w:rsidRPr="004A5029">
        <w:rPr>
          <w:rStyle w:val="Hyperlink0"/>
          <w:rFonts w:ascii="Times New Roman" w:hAnsi="Times New Roman" w:cs="Times New Roman"/>
          <w:b/>
          <w:bCs/>
          <w:i/>
          <w:color w:val="000000" w:themeColor="text1"/>
        </w:rPr>
        <w:t>del collegio consultivo tecnico</w:t>
      </w:r>
      <w:r w:rsidRPr="004A5029">
        <w:rPr>
          <w:rFonts w:ascii="Times New Roman" w:eastAsia="Times New Roman" w:hAnsi="Times New Roman" w:cs="Times New Roman"/>
          <w:b/>
          <w:bCs/>
          <w:i/>
          <w:iCs/>
          <w:color w:val="000000" w:themeColor="text1"/>
        </w:rPr>
        <w:t>.</w:t>
      </w:r>
    </w:p>
    <w:p w14:paraId="6654EF70" w14:textId="6E922519" w:rsidR="0083753D" w:rsidRPr="004A5029" w:rsidRDefault="0083753D" w:rsidP="0083753D">
      <w:pPr>
        <w:tabs>
          <w:tab w:val="left" w:pos="820"/>
        </w:tabs>
        <w:jc w:val="both"/>
        <w:rPr>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1. Il </w:t>
      </w:r>
      <w:r w:rsidR="007525CF" w:rsidRPr="004A5029">
        <w:rPr>
          <w:rStyle w:val="Hyperlink0"/>
          <w:rFonts w:ascii="Times New Roman" w:hAnsi="Times New Roman" w:cs="Times New Roman"/>
          <w:b/>
          <w:bCs/>
          <w:strike/>
          <w:color w:val="000000" w:themeColor="text1"/>
        </w:rPr>
        <w:t>C</w:t>
      </w:r>
      <w:r w:rsidR="007525CF" w:rsidRPr="004A5029">
        <w:rPr>
          <w:rStyle w:val="Hyperlink0"/>
          <w:rFonts w:ascii="Times New Roman" w:hAnsi="Times New Roman" w:cs="Times New Roman"/>
          <w:b/>
          <w:bCs/>
          <w:color w:val="000000" w:themeColor="text1"/>
        </w:rPr>
        <w:t>c</w:t>
      </w:r>
      <w:r w:rsidRPr="004A5029">
        <w:rPr>
          <w:rStyle w:val="Hyperlink0"/>
          <w:rFonts w:ascii="Times New Roman" w:hAnsi="Times New Roman" w:cs="Times New Roman"/>
          <w:color w:val="000000" w:themeColor="text1"/>
        </w:rPr>
        <w:t>ollegio consultivo tecnico è sciolto al termine dell'esecuzione del contratto oppure, nelle ipotesi in cui non ne è obbligatoria la costituzione, anche in un momento anteriore su accordo delle parti.</w:t>
      </w:r>
    </w:p>
    <w:p w14:paraId="281B37BA" w14:textId="77777777" w:rsidR="0083753D" w:rsidRPr="004A5029" w:rsidRDefault="0083753D" w:rsidP="0083753D">
      <w:pPr>
        <w:jc w:val="both"/>
        <w:rPr>
          <w:rStyle w:val="Nessuno"/>
          <w:rFonts w:ascii="Times New Roman" w:eastAsia="Times New Roman" w:hAnsi="Times New Roman" w:cs="Times New Roman"/>
          <w:color w:val="000000" w:themeColor="text1"/>
        </w:rPr>
      </w:pPr>
    </w:p>
    <w:p w14:paraId="7341E3D4"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220.</w:t>
      </w:r>
    </w:p>
    <w:p w14:paraId="623C4889" w14:textId="6F876D92" w:rsidR="0083753D" w:rsidRPr="004A5029" w:rsidRDefault="61A39B59" w:rsidP="6E003A1F">
      <w:pPr>
        <w:jc w:val="both"/>
        <w:rPr>
          <w:rFonts w:ascii="Times New Roman" w:eastAsia="Times New Roman" w:hAnsi="Times New Roman" w:cs="Times New Roman"/>
          <w:i/>
          <w:iCs/>
          <w:color w:val="000000" w:themeColor="text1"/>
        </w:rPr>
      </w:pPr>
      <w:r w:rsidRPr="004A5029">
        <w:rPr>
          <w:rFonts w:ascii="Times New Roman" w:eastAsia="Times New Roman" w:hAnsi="Times New Roman" w:cs="Times New Roman"/>
          <w:i/>
          <w:iCs/>
          <w:color w:val="000000" w:themeColor="text1"/>
        </w:rPr>
        <w:t>Pareri di precontenzioso e legittimazione ad agire dell’ANAC</w:t>
      </w:r>
      <w:r w:rsidR="0083753D" w:rsidRPr="004A5029">
        <w:rPr>
          <w:rFonts w:ascii="Times New Roman" w:eastAsia="Times New Roman" w:hAnsi="Times New Roman" w:cs="Times New Roman"/>
          <w:i/>
          <w:iCs/>
          <w:color w:val="000000" w:themeColor="text1"/>
        </w:rPr>
        <w:t>.</w:t>
      </w:r>
    </w:p>
    <w:p w14:paraId="0F7C7345" w14:textId="6BE5AC3E"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rPr>
        <w:t xml:space="preserve">1. Su iniziativa della stazione appaltante, dell’ente concedente o di una o più delle altre parti, l'ANAC esprime parere, previo contraddittorio, su questioni insorte durante lo svolgimento delle procedure di gara, entro </w:t>
      </w:r>
      <w:r w:rsidRPr="004A5029">
        <w:rPr>
          <w:rStyle w:val="Nessuno"/>
          <w:rFonts w:ascii="Times New Roman" w:hAnsi="Times New Roman" w:cs="Times New Roman"/>
          <w:b/>
          <w:bCs/>
          <w:strike/>
          <w:color w:val="000000" w:themeColor="text1"/>
        </w:rPr>
        <w:t>30</w:t>
      </w:r>
      <w:r w:rsidRPr="004A5029">
        <w:rPr>
          <w:rStyle w:val="Nessuno"/>
          <w:rFonts w:ascii="Times New Roman" w:hAnsi="Times New Roman" w:cs="Times New Roman"/>
          <w:b/>
          <w:bCs/>
          <w:color w:val="000000" w:themeColor="text1"/>
        </w:rPr>
        <w:t xml:space="preserve"> </w:t>
      </w:r>
      <w:r w:rsidR="004E4B92" w:rsidRPr="004A5029">
        <w:rPr>
          <w:rStyle w:val="Nessuno"/>
          <w:rFonts w:ascii="Times New Roman" w:hAnsi="Times New Roman" w:cs="Times New Roman"/>
          <w:b/>
          <w:bCs/>
          <w:color w:val="000000" w:themeColor="text1"/>
        </w:rPr>
        <w:t xml:space="preserve">trenta </w:t>
      </w:r>
      <w:r w:rsidRPr="004A5029">
        <w:rPr>
          <w:rStyle w:val="Nessuno"/>
          <w:rFonts w:ascii="Times New Roman" w:hAnsi="Times New Roman" w:cs="Times New Roman"/>
          <w:color w:val="000000" w:themeColor="text1"/>
        </w:rPr>
        <w:t xml:space="preserve">giorni dalla ricezione della richiesta. L’operatore economico che abbia richiesto il parere o vi abbia aderito lo può impugnare esclusivamente per violazione delle regole di diritto relative al merito della controversia. La stazione appaltante o l’ente concedente che non intenda conformarsi al parere comunica, con provvedimento da adottare entro </w:t>
      </w:r>
      <w:r w:rsidRPr="004A5029">
        <w:rPr>
          <w:rStyle w:val="Nessuno"/>
          <w:rFonts w:ascii="Times New Roman" w:hAnsi="Times New Roman" w:cs="Times New Roman"/>
          <w:b/>
          <w:bCs/>
          <w:strike/>
          <w:color w:val="000000" w:themeColor="text1"/>
        </w:rPr>
        <w:t>15</w:t>
      </w:r>
      <w:r w:rsidRPr="004A5029">
        <w:rPr>
          <w:rStyle w:val="Nessuno"/>
          <w:rFonts w:ascii="Times New Roman" w:hAnsi="Times New Roman" w:cs="Times New Roman"/>
          <w:b/>
          <w:bCs/>
          <w:color w:val="000000" w:themeColor="text1"/>
        </w:rPr>
        <w:t xml:space="preserve"> </w:t>
      </w:r>
      <w:r w:rsidR="004E4B92" w:rsidRPr="004A5029">
        <w:rPr>
          <w:rStyle w:val="Nessuno"/>
          <w:rFonts w:ascii="Times New Roman" w:hAnsi="Times New Roman" w:cs="Times New Roman"/>
          <w:b/>
          <w:bCs/>
          <w:color w:val="000000" w:themeColor="text1"/>
        </w:rPr>
        <w:t xml:space="preserve">quindici </w:t>
      </w:r>
      <w:r w:rsidRPr="004A5029">
        <w:rPr>
          <w:rStyle w:val="Nessuno"/>
          <w:rFonts w:ascii="Times New Roman" w:hAnsi="Times New Roman" w:cs="Times New Roman"/>
          <w:color w:val="000000" w:themeColor="text1"/>
        </w:rPr>
        <w:t xml:space="preserve">giorni, le relative motivazioni alle parti interessate e all’ANAC, che può proporre il ricorso di cui al comma 3. </w:t>
      </w:r>
    </w:p>
    <w:p w14:paraId="096289CA" w14:textId="77777777" w:rsidR="0083753D" w:rsidRPr="004A5029" w:rsidRDefault="0083753D" w:rsidP="0083753D">
      <w:pPr>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rPr>
        <w:t>2. L'ANAC è legittimata ad agire in giudizio per l'impugnazione dei bandi, degli altri atti generali e dei provvedimenti relativi a contratti di rilevante impatto, emessi da qualsiasi stazione appaltante, qualora ritenga che essi violino le norme in materia di contratti pubblici relativi a lavori, servizi e forniture.</w:t>
      </w:r>
    </w:p>
    <w:p w14:paraId="255CD8EC" w14:textId="73A66260" w:rsidR="0083753D" w:rsidRPr="004A5029" w:rsidRDefault="0083753D" w:rsidP="0083753D">
      <w:pPr>
        <w:jc w:val="both"/>
        <w:rPr>
          <w:rStyle w:val="Nessuno"/>
          <w:rFonts w:ascii="Times New Roman" w:hAnsi="Times New Roman" w:cs="Times New Roman"/>
          <w:color w:val="000000" w:themeColor="text1"/>
          <w:shd w:val="clear" w:color="auto" w:fill="FFFF00"/>
        </w:rPr>
      </w:pPr>
      <w:r w:rsidRPr="004A5029">
        <w:rPr>
          <w:rStyle w:val="Nessuno"/>
          <w:rFonts w:ascii="Times New Roman" w:hAnsi="Times New Roman" w:cs="Times New Roman"/>
          <w:color w:val="000000" w:themeColor="text1"/>
        </w:rPr>
        <w:t xml:space="preserve">3. Se ritiene che una stazione appaltante abbia adottato un provvedimento viziato da gravi violazioni del codice l'ANAC emette, entro </w:t>
      </w:r>
      <w:r w:rsidRPr="004A5029">
        <w:rPr>
          <w:rStyle w:val="Nessuno"/>
          <w:rFonts w:ascii="Times New Roman" w:hAnsi="Times New Roman" w:cs="Times New Roman"/>
          <w:b/>
          <w:bCs/>
          <w:strike/>
          <w:color w:val="000000" w:themeColor="text1"/>
        </w:rPr>
        <w:t>60</w:t>
      </w:r>
      <w:r w:rsidRPr="004A5029">
        <w:rPr>
          <w:rStyle w:val="Nessuno"/>
          <w:rFonts w:ascii="Times New Roman" w:hAnsi="Times New Roman" w:cs="Times New Roman"/>
          <w:b/>
          <w:bCs/>
          <w:color w:val="000000" w:themeColor="text1"/>
        </w:rPr>
        <w:t xml:space="preserve"> </w:t>
      </w:r>
      <w:r w:rsidR="004E4B92" w:rsidRPr="004A5029">
        <w:rPr>
          <w:rStyle w:val="Nessuno"/>
          <w:rFonts w:ascii="Times New Roman" w:hAnsi="Times New Roman" w:cs="Times New Roman"/>
          <w:b/>
          <w:bCs/>
          <w:color w:val="000000" w:themeColor="text1"/>
        </w:rPr>
        <w:t xml:space="preserve">sessanta </w:t>
      </w:r>
      <w:r w:rsidRPr="004A5029">
        <w:rPr>
          <w:rStyle w:val="Nessuno"/>
          <w:rFonts w:ascii="Times New Roman" w:hAnsi="Times New Roman" w:cs="Times New Roman"/>
          <w:color w:val="000000" w:themeColor="text1"/>
        </w:rPr>
        <w:t>giorni</w:t>
      </w:r>
      <w:r w:rsidRPr="004A5029">
        <w:rPr>
          <w:rFonts w:ascii="Times New Roman" w:hAnsi="Times New Roman" w:cs="Times New Roman"/>
          <w:color w:val="000000" w:themeColor="text1"/>
        </w:rPr>
        <w:t xml:space="preserve"> </w:t>
      </w:r>
      <w:r w:rsidRPr="004A5029">
        <w:rPr>
          <w:rStyle w:val="Nessuno"/>
          <w:rFonts w:ascii="Times New Roman" w:hAnsi="Times New Roman" w:cs="Times New Roman"/>
          <w:color w:val="000000" w:themeColor="text1"/>
        </w:rPr>
        <w:t>dalla notizia della violazione, un parere motivato nel quale indica specificamente i vizi di legittimità riscontrati.</w:t>
      </w:r>
      <w:r w:rsidRPr="004A5029">
        <w:rPr>
          <w:rFonts w:ascii="Times New Roman" w:hAnsi="Times New Roman" w:cs="Times New Roman"/>
          <w:color w:val="000000" w:themeColor="text1"/>
        </w:rPr>
        <w:t xml:space="preserve"> </w:t>
      </w:r>
      <w:r w:rsidRPr="004A5029">
        <w:rPr>
          <w:rStyle w:val="Nessuno"/>
          <w:rFonts w:ascii="Times New Roman" w:hAnsi="Times New Roman" w:cs="Times New Roman"/>
          <w:color w:val="000000" w:themeColor="text1"/>
        </w:rPr>
        <w:t xml:space="preserve">Con il regolamento di cui al comma 4, l’Autorità individua un termine massimo, che decorre dall’adozione o dalla pubblicazione dell’atto contenente la violazione, entro il quale il parere può essere emesso. Il parere è trasmesso alla stazione appaltante. Se la stazione appaltante non vi si conforma entro il termine assegnato dall'ANAC, comunque non superiore a </w:t>
      </w:r>
      <w:r w:rsidR="004E4B92" w:rsidRPr="004A5029">
        <w:rPr>
          <w:rStyle w:val="Nessuno"/>
          <w:rFonts w:ascii="Times New Roman" w:hAnsi="Times New Roman" w:cs="Times New Roman"/>
          <w:b/>
          <w:bCs/>
          <w:strike/>
          <w:color w:val="000000" w:themeColor="text1"/>
        </w:rPr>
        <w:t>30</w:t>
      </w:r>
      <w:r w:rsidR="004E4B92" w:rsidRPr="004A5029">
        <w:rPr>
          <w:rStyle w:val="Nessuno"/>
          <w:rFonts w:ascii="Times New Roman" w:hAnsi="Times New Roman" w:cs="Times New Roman"/>
          <w:b/>
          <w:bCs/>
          <w:color w:val="000000" w:themeColor="text1"/>
        </w:rPr>
        <w:t xml:space="preserve"> trenta</w:t>
      </w:r>
      <w:r w:rsidRPr="004A5029">
        <w:rPr>
          <w:rStyle w:val="Nessuno"/>
          <w:rFonts w:ascii="Times New Roman" w:hAnsi="Times New Roman" w:cs="Times New Roman"/>
          <w:color w:val="000000" w:themeColor="text1"/>
        </w:rPr>
        <w:t xml:space="preserve"> giorni dalla trasmissione, l'Autorità può presentare ricorso, entro i successivi </w:t>
      </w:r>
      <w:r w:rsidR="004E4B92" w:rsidRPr="004A5029">
        <w:rPr>
          <w:rStyle w:val="Nessuno"/>
          <w:rFonts w:ascii="Times New Roman" w:hAnsi="Times New Roman" w:cs="Times New Roman"/>
          <w:b/>
          <w:bCs/>
          <w:strike/>
          <w:color w:val="000000" w:themeColor="text1"/>
        </w:rPr>
        <w:t>30</w:t>
      </w:r>
      <w:r w:rsidR="004E4B92" w:rsidRPr="004A5029">
        <w:rPr>
          <w:rStyle w:val="Nessuno"/>
          <w:rFonts w:ascii="Times New Roman" w:hAnsi="Times New Roman" w:cs="Times New Roman"/>
          <w:b/>
          <w:bCs/>
          <w:color w:val="000000" w:themeColor="text1"/>
        </w:rPr>
        <w:t xml:space="preserve"> trenta</w:t>
      </w:r>
      <w:r w:rsidRPr="004A5029">
        <w:rPr>
          <w:rStyle w:val="Nessuno"/>
          <w:rFonts w:ascii="Times New Roman" w:hAnsi="Times New Roman" w:cs="Times New Roman"/>
          <w:color w:val="000000" w:themeColor="text1"/>
        </w:rPr>
        <w:t xml:space="preserve"> giorni, innanzi al giudice amministrativo, ai sensi dell'articolo 120 del codice del processo amministrativo</w:t>
      </w:r>
      <w:r w:rsidR="00422AFC" w:rsidRPr="004A5029">
        <w:rPr>
          <w:rStyle w:val="Nessuno"/>
          <w:rFonts w:ascii="Times New Roman" w:hAnsi="Times New Roman" w:cs="Times New Roman"/>
          <w:b/>
          <w:bCs/>
          <w:color w:val="000000" w:themeColor="text1"/>
        </w:rPr>
        <w:t>,</w:t>
      </w:r>
      <w:r w:rsidR="00BD4B50" w:rsidRPr="004A5029">
        <w:rPr>
          <w:rStyle w:val="Nessuno"/>
          <w:rFonts w:ascii="Times New Roman" w:hAnsi="Times New Roman" w:cs="Times New Roman"/>
          <w:b/>
          <w:bCs/>
          <w:color w:val="000000" w:themeColor="text1"/>
        </w:rPr>
        <w:t xml:space="preserve"> </w:t>
      </w:r>
      <w:r w:rsidR="00BD4B50" w:rsidRPr="004A5029">
        <w:rPr>
          <w:rFonts w:ascii="Times New Roman" w:hAnsi="Times New Roman" w:cs="Times New Roman"/>
          <w:b/>
          <w:bCs/>
          <w:color w:val="000000" w:themeColor="text1"/>
        </w:rPr>
        <w:t>di cui all'allegato 1 al decreto legislativo 2 luglio 2010, n. 104</w:t>
      </w:r>
      <w:r w:rsidRPr="004A5029">
        <w:rPr>
          <w:rStyle w:val="Hyperlink4"/>
          <w:rFonts w:eastAsia="Arial Unicode MS"/>
          <w:b/>
          <w:bCs/>
          <w:color w:val="000000" w:themeColor="text1"/>
        </w:rPr>
        <w:t>.</w:t>
      </w:r>
    </w:p>
    <w:p w14:paraId="69725F08" w14:textId="77777777" w:rsidR="0083753D" w:rsidRPr="004A5029" w:rsidRDefault="0083753D" w:rsidP="0083753D">
      <w:pPr>
        <w:jc w:val="both"/>
        <w:rPr>
          <w:rStyle w:val="Nessuno"/>
          <w:rFonts w:ascii="Times New Roman" w:hAnsi="Times New Roman" w:cs="Times New Roman"/>
          <w:color w:val="000000" w:themeColor="text1"/>
          <w:shd w:val="clear" w:color="auto" w:fill="FFFF00"/>
        </w:rPr>
      </w:pPr>
      <w:r w:rsidRPr="004A5029">
        <w:rPr>
          <w:rStyle w:val="Hyperlink4"/>
          <w:rFonts w:eastAsia="Arial Unicode MS"/>
          <w:color w:val="000000" w:themeColor="text1"/>
        </w:rPr>
        <w:t>4. L'ANAC, con proprio regolamento,</w:t>
      </w:r>
      <w:r w:rsidRPr="004A5029">
        <w:rPr>
          <w:rFonts w:ascii="Times New Roman" w:hAnsi="Times New Roman" w:cs="Times New Roman"/>
          <w:color w:val="000000" w:themeColor="text1"/>
        </w:rPr>
        <w:t xml:space="preserve"> </w:t>
      </w:r>
      <w:r w:rsidRPr="004A5029">
        <w:rPr>
          <w:rStyle w:val="Hyperlink4"/>
          <w:rFonts w:eastAsia="Arial Unicode MS"/>
          <w:color w:val="000000" w:themeColor="text1"/>
        </w:rPr>
        <w:t>può individuare i casi o le tipologie di provvedimenti, anche relativi alla fase esecutiva, con riferimento ai quali esercita i poteri di cui ai commi precedenti.</w:t>
      </w:r>
    </w:p>
    <w:p w14:paraId="2E500C74" w14:textId="77777777" w:rsidR="0083753D" w:rsidRPr="004A5029" w:rsidRDefault="0083753D" w:rsidP="0083753D">
      <w:pPr>
        <w:rPr>
          <w:rStyle w:val="Nessuno"/>
          <w:rFonts w:ascii="Times New Roman" w:eastAsia="Times New Roman" w:hAnsi="Times New Roman" w:cs="Times New Roman"/>
          <w:color w:val="000000" w:themeColor="text1"/>
        </w:rPr>
      </w:pPr>
    </w:p>
    <w:p w14:paraId="74CD1D1F" w14:textId="77777777" w:rsidR="0083753D" w:rsidRPr="004A5029" w:rsidRDefault="0083753D" w:rsidP="0083753D">
      <w:pPr>
        <w:jc w:val="both"/>
        <w:rPr>
          <w:rStyle w:val="Nessuno"/>
          <w:rFonts w:ascii="Times New Roman" w:hAnsi="Times New Roman" w:cs="Times New Roman"/>
          <w:b/>
          <w:bCs/>
          <w:color w:val="000000" w:themeColor="text1"/>
        </w:rPr>
      </w:pPr>
      <w:bookmarkStart w:id="72" w:name="LX0000895843ART87"/>
      <w:bookmarkEnd w:id="72"/>
      <w:r w:rsidRPr="004A5029">
        <w:rPr>
          <w:rStyle w:val="Nessuno"/>
          <w:rFonts w:ascii="Times New Roman" w:hAnsi="Times New Roman" w:cs="Times New Roman"/>
          <w:b/>
          <w:bCs/>
          <w:color w:val="000000" w:themeColor="text1"/>
        </w:rPr>
        <w:br w:type="page"/>
      </w:r>
    </w:p>
    <w:p w14:paraId="706487EC" w14:textId="77777777" w:rsidR="0083753D" w:rsidRPr="004A5029" w:rsidRDefault="0083753D" w:rsidP="0083753D">
      <w:pPr>
        <w:jc w:val="center"/>
        <w:outlineLvl w:val="1"/>
        <w:rPr>
          <w:rStyle w:val="Nessuno"/>
          <w:rFonts w:ascii="Times New Roman" w:hAnsi="Times New Roman" w:cs="Times New Roman"/>
          <w:b/>
          <w:bCs/>
          <w:color w:val="000000" w:themeColor="text1"/>
        </w:rPr>
      </w:pPr>
      <w:r w:rsidRPr="004A5029">
        <w:rPr>
          <w:rStyle w:val="Nessuno"/>
          <w:rFonts w:ascii="Times New Roman" w:hAnsi="Times New Roman" w:cs="Times New Roman"/>
          <w:b/>
          <w:bCs/>
          <w:color w:val="000000" w:themeColor="text1"/>
        </w:rPr>
        <w:t>PARTE II</w:t>
      </w:r>
    </w:p>
    <w:p w14:paraId="3FDB9219" w14:textId="77777777" w:rsidR="0083753D" w:rsidRPr="004A5029" w:rsidRDefault="0083753D" w:rsidP="0083753D">
      <w:pPr>
        <w:jc w:val="center"/>
        <w:outlineLvl w:val="1"/>
        <w:rPr>
          <w:rStyle w:val="Nessuno"/>
          <w:rFonts w:ascii="Times New Roman" w:eastAsia="Times New Roman" w:hAnsi="Times New Roman" w:cs="Times New Roman"/>
          <w:b/>
          <w:bCs/>
          <w:color w:val="000000" w:themeColor="text1"/>
        </w:rPr>
      </w:pPr>
      <w:r w:rsidRPr="004A5029">
        <w:rPr>
          <w:rStyle w:val="Nessuno"/>
          <w:rFonts w:ascii="Times New Roman" w:hAnsi="Times New Roman" w:cs="Times New Roman"/>
          <w:b/>
          <w:bCs/>
          <w:color w:val="000000" w:themeColor="text1"/>
        </w:rPr>
        <w:t xml:space="preserve">DELLA </w:t>
      </w:r>
      <w:r w:rsidRPr="004A5029">
        <w:rPr>
          <w:rStyle w:val="Nessuno"/>
          <w:rFonts w:ascii="Times New Roman" w:hAnsi="Times New Roman" w:cs="Times New Roman"/>
          <w:b/>
          <w:bCs/>
          <w:i/>
          <w:color w:val="000000" w:themeColor="text1"/>
        </w:rPr>
        <w:t>GOVERNANCE</w:t>
      </w:r>
    </w:p>
    <w:p w14:paraId="1C5BEDD8" w14:textId="77777777" w:rsidR="0083753D" w:rsidRPr="004A5029" w:rsidRDefault="0083753D" w:rsidP="0083753D">
      <w:pPr>
        <w:jc w:val="center"/>
        <w:outlineLvl w:val="1"/>
        <w:rPr>
          <w:rStyle w:val="Nessuno"/>
          <w:rFonts w:ascii="Times New Roman" w:eastAsia="Times New Roman" w:hAnsi="Times New Roman" w:cs="Times New Roman"/>
          <w:b/>
          <w:bCs/>
          <w:color w:val="000000" w:themeColor="text1"/>
        </w:rPr>
      </w:pPr>
    </w:p>
    <w:p w14:paraId="67098922"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221.</w:t>
      </w:r>
    </w:p>
    <w:p w14:paraId="0FF69CC2" w14:textId="24DB5863" w:rsidR="0083753D" w:rsidRPr="004A5029" w:rsidRDefault="0083753D" w:rsidP="0083753D">
      <w:pPr>
        <w:jc w:val="both"/>
        <w:rPr>
          <w:rFonts w:ascii="Times New Roman" w:eastAsia="Times New Roman" w:hAnsi="Times New Roman" w:cs="Times New Roman"/>
          <w:i/>
          <w:iCs/>
          <w:color w:val="000000" w:themeColor="text1"/>
        </w:rPr>
      </w:pPr>
      <w:r w:rsidRPr="004A5029">
        <w:rPr>
          <w:rStyle w:val="Hyperlink0"/>
          <w:rFonts w:ascii="Times New Roman" w:hAnsi="Times New Roman" w:cs="Times New Roman"/>
          <w:i/>
          <w:iCs/>
          <w:color w:val="000000" w:themeColor="text1"/>
        </w:rPr>
        <w:t>Indirizzo, coordinamento</w:t>
      </w:r>
      <w:r w:rsidRPr="004A5029">
        <w:rPr>
          <w:rFonts w:ascii="Times New Roman" w:eastAsia="Times New Roman" w:hAnsi="Times New Roman" w:cs="Times New Roman"/>
          <w:i/>
          <w:iCs/>
          <w:color w:val="000000" w:themeColor="text1"/>
        </w:rPr>
        <w:t xml:space="preserve"> e monitoraggio presso la </w:t>
      </w:r>
      <w:r w:rsidR="000364DE" w:rsidRPr="004A5029">
        <w:rPr>
          <w:rFonts w:ascii="Times New Roman" w:eastAsia="Times New Roman" w:hAnsi="Times New Roman" w:cs="Times New Roman"/>
          <w:i/>
          <w:iCs/>
          <w:color w:val="000000" w:themeColor="text1"/>
        </w:rPr>
        <w:t>C</w:t>
      </w:r>
      <w:r w:rsidRPr="004A5029">
        <w:rPr>
          <w:rFonts w:ascii="Times New Roman" w:eastAsia="Times New Roman" w:hAnsi="Times New Roman" w:cs="Times New Roman"/>
          <w:i/>
          <w:iCs/>
          <w:color w:val="000000" w:themeColor="text1"/>
        </w:rPr>
        <w:t xml:space="preserve">abina di regia. </w:t>
      </w:r>
      <w:r w:rsidRPr="004A5029">
        <w:rPr>
          <w:rFonts w:ascii="Times New Roman" w:eastAsia="Times New Roman" w:hAnsi="Times New Roman" w:cs="Times New Roman"/>
          <w:color w:val="000000" w:themeColor="text1"/>
        </w:rPr>
        <w:t xml:space="preserve">Governance </w:t>
      </w:r>
      <w:r w:rsidRPr="004A5029">
        <w:rPr>
          <w:rFonts w:ascii="Times New Roman" w:eastAsia="Times New Roman" w:hAnsi="Times New Roman" w:cs="Times New Roman"/>
          <w:i/>
          <w:iCs/>
          <w:color w:val="000000" w:themeColor="text1"/>
        </w:rPr>
        <w:t>dei servizi</w:t>
      </w:r>
    </w:p>
    <w:p w14:paraId="28ED41B4" w14:textId="529AEE57" w:rsidR="0083753D" w:rsidRPr="004A5029" w:rsidRDefault="0083753D" w:rsidP="0083753D">
      <w:pPr>
        <w:spacing w:line="252" w:lineRule="auto"/>
        <w:jc w:val="both"/>
        <w:rPr>
          <w:rFonts w:ascii="Times New Roman" w:eastAsia="Times New Roman" w:hAnsi="Times New Roman" w:cs="Times New Roman"/>
          <w:color w:val="000000" w:themeColor="text1"/>
        </w:rPr>
      </w:pPr>
      <w:r w:rsidRPr="004A5029">
        <w:rPr>
          <w:rFonts w:ascii="Times New Roman" w:hAnsi="Times New Roman" w:cs="Times New Roman"/>
          <w:color w:val="000000" w:themeColor="text1"/>
        </w:rPr>
        <w:t xml:space="preserve">1. La </w:t>
      </w:r>
      <w:r w:rsidR="000364DE" w:rsidRPr="004A5029">
        <w:rPr>
          <w:rFonts w:ascii="Times New Roman" w:hAnsi="Times New Roman" w:cs="Times New Roman"/>
          <w:color w:val="000000" w:themeColor="text1"/>
        </w:rPr>
        <w:t>C</w:t>
      </w:r>
      <w:r w:rsidRPr="004A5029">
        <w:rPr>
          <w:rFonts w:ascii="Times New Roman" w:hAnsi="Times New Roman" w:cs="Times New Roman"/>
          <w:color w:val="000000" w:themeColor="text1"/>
        </w:rPr>
        <w:t xml:space="preserve">abina di regia per il codice dei contratti pubblici è istituita presso la Presidenza del Consiglio dei </w:t>
      </w:r>
      <w:r w:rsidR="004520DA" w:rsidRPr="004A5029">
        <w:rPr>
          <w:rFonts w:ascii="Times New Roman" w:hAnsi="Times New Roman" w:cs="Times New Roman"/>
          <w:b/>
          <w:strike/>
          <w:color w:val="000000" w:themeColor="text1"/>
        </w:rPr>
        <w:t>M</w:t>
      </w:r>
      <w:r w:rsidR="004520DA" w:rsidRPr="004A5029">
        <w:rPr>
          <w:rFonts w:ascii="Times New Roman" w:hAnsi="Times New Roman" w:cs="Times New Roman"/>
          <w:b/>
          <w:color w:val="000000" w:themeColor="text1"/>
        </w:rPr>
        <w:t>m</w:t>
      </w:r>
      <w:r w:rsidR="004520DA" w:rsidRPr="004A5029">
        <w:rPr>
          <w:rFonts w:ascii="Times New Roman" w:hAnsi="Times New Roman" w:cs="Times New Roman"/>
          <w:bCs/>
          <w:color w:val="000000" w:themeColor="text1"/>
        </w:rPr>
        <w:t>inistri</w:t>
      </w:r>
      <w:r w:rsidRPr="004A5029">
        <w:rPr>
          <w:rFonts w:ascii="Times New Roman" w:hAnsi="Times New Roman" w:cs="Times New Roman"/>
          <w:color w:val="000000" w:themeColor="text1"/>
        </w:rPr>
        <w:t xml:space="preserve">. La sua composizione e le modalità di funzionamento sono disciplinate dall’allegato V.3. </w:t>
      </w:r>
      <w:r w:rsidRPr="004A5029">
        <w:rPr>
          <w:rFonts w:ascii="Times New Roman" w:eastAsia="Times New Roman" w:hAnsi="Times New Roman" w:cs="Times New Roman"/>
          <w:color w:val="000000" w:themeColor="text1"/>
        </w:rPr>
        <w:t xml:space="preserve">In sede di prima applicazione del codice, l’allegato </w:t>
      </w:r>
      <w:r w:rsidR="001E712C" w:rsidRPr="004A5029">
        <w:rPr>
          <w:rFonts w:ascii="Times New Roman" w:hAnsi="Times New Roman" w:cs="Times New Roman"/>
          <w:b/>
          <w:bCs/>
          <w:color w:val="000000" w:themeColor="text1"/>
        </w:rPr>
        <w:t>V.3</w:t>
      </w:r>
      <w:r w:rsidR="001E712C" w:rsidRPr="004A5029">
        <w:rPr>
          <w:rFonts w:ascii="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 xml:space="preserve">è abrogato a decorrere dalla data di entrata in vigore di un corrispondente regolamento </w:t>
      </w:r>
      <w:r w:rsidR="00364325" w:rsidRPr="004A5029">
        <w:rPr>
          <w:rFonts w:ascii="Times New Roman" w:eastAsia="Times New Roman" w:hAnsi="Times New Roman" w:cs="Times New Roman"/>
          <w:color w:val="000000" w:themeColor="text1"/>
        </w:rPr>
        <w:t>adottato</w:t>
      </w:r>
      <w:r w:rsidRPr="004A5029">
        <w:rPr>
          <w:rFonts w:ascii="Times New Roman" w:eastAsia="Times New Roman" w:hAnsi="Times New Roman" w:cs="Times New Roman"/>
          <w:color w:val="000000" w:themeColor="text1"/>
        </w:rPr>
        <w:t xml:space="preserve"> ai sensi dell’articolo 17, comma 3, della legge 23 agosto 1988, n. 400, con decre</w:t>
      </w:r>
      <w:r w:rsidRPr="004A5029">
        <w:rPr>
          <w:rFonts w:ascii="Times New Roman" w:hAnsi="Times New Roman" w:cs="Times New Roman"/>
          <w:color w:val="000000" w:themeColor="text1"/>
        </w:rPr>
        <w:t>to del Presidente del Consiglio dei ministri</w:t>
      </w:r>
      <w:r w:rsidR="00B62864" w:rsidRPr="004A5029">
        <w:rPr>
          <w:rFonts w:ascii="Times New Roman" w:hAnsi="Times New Roman" w:cs="Times New Roman"/>
          <w:b/>
          <w:bCs/>
          <w:color w:val="000000" w:themeColor="text1"/>
        </w:rPr>
        <w:t>,</w:t>
      </w:r>
      <w:r w:rsidRPr="004A5029">
        <w:rPr>
          <w:rFonts w:ascii="Times New Roman" w:hAnsi="Times New Roman" w:cs="Times New Roman"/>
          <w:color w:val="000000" w:themeColor="text1"/>
        </w:rPr>
        <w:t xml:space="preserve"> di concerto con il Ministro delle infrastrutture e dei trasporti, sentita l’ANAC e la </w:t>
      </w:r>
      <w:r w:rsidRPr="004A5029">
        <w:rPr>
          <w:rFonts w:ascii="Times New Roman" w:hAnsi="Times New Roman" w:cs="Times New Roman"/>
          <w:b/>
          <w:strike/>
          <w:color w:val="000000" w:themeColor="text1"/>
        </w:rPr>
        <w:t>c</w:t>
      </w:r>
      <w:r w:rsidR="00887626" w:rsidRPr="004A5029">
        <w:rPr>
          <w:rFonts w:ascii="Times New Roman" w:hAnsi="Times New Roman" w:cs="Times New Roman"/>
          <w:b/>
          <w:color w:val="000000" w:themeColor="text1"/>
        </w:rPr>
        <w:t>C</w:t>
      </w:r>
      <w:r w:rsidRPr="004A5029">
        <w:rPr>
          <w:rFonts w:ascii="Times New Roman" w:hAnsi="Times New Roman" w:cs="Times New Roman"/>
          <w:color w:val="000000" w:themeColor="text1"/>
        </w:rPr>
        <w:t>onferenza unificata, c</w:t>
      </w:r>
      <w:r w:rsidRPr="004A5029">
        <w:rPr>
          <w:rFonts w:ascii="Times New Roman" w:eastAsia="Times New Roman" w:hAnsi="Times New Roman" w:cs="Times New Roman"/>
          <w:color w:val="000000" w:themeColor="text1"/>
        </w:rPr>
        <w:t>he lo sostituisce integralmente anche in qualità di allegato al codice.</w:t>
      </w:r>
    </w:p>
    <w:p w14:paraId="1BA71CE1" w14:textId="682E9964" w:rsidR="0083753D" w:rsidRPr="004A5029" w:rsidRDefault="0083753D" w:rsidP="0083753D">
      <w:pPr>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2. La </w:t>
      </w:r>
      <w:r w:rsidR="000364DE" w:rsidRPr="004A5029">
        <w:rPr>
          <w:rFonts w:ascii="Times New Roman" w:hAnsi="Times New Roman" w:cs="Times New Roman"/>
          <w:color w:val="000000" w:themeColor="text1"/>
        </w:rPr>
        <w:t>C</w:t>
      </w:r>
      <w:r w:rsidRPr="004A5029">
        <w:rPr>
          <w:rFonts w:ascii="Times New Roman" w:hAnsi="Times New Roman" w:cs="Times New Roman"/>
          <w:color w:val="000000" w:themeColor="text1"/>
        </w:rPr>
        <w:t>abina di regia è la sede istituzionale per il coordinamento nell’attuazione del codice, per l’analisi delle proposte di modifica legislativa e regolamentare, per l’indirizzo delle stazioni appaltanti, per la condivisione delle informazioni</w:t>
      </w:r>
      <w:r w:rsidRPr="004A5029">
        <w:rPr>
          <w:rFonts w:ascii="Times New Roman" w:hAnsi="Times New Roman" w:cs="Times New Roman"/>
          <w:b/>
          <w:bCs/>
          <w:strike/>
          <w:color w:val="000000" w:themeColor="text1"/>
        </w:rPr>
        <w:t>,</w:t>
      </w:r>
      <w:r w:rsidRPr="004A5029">
        <w:rPr>
          <w:rFonts w:ascii="Times New Roman" w:hAnsi="Times New Roman" w:cs="Times New Roman"/>
          <w:b/>
          <w:bCs/>
          <w:color w:val="000000" w:themeColor="text1"/>
        </w:rPr>
        <w:t xml:space="preserve"> </w:t>
      </w:r>
      <w:r w:rsidR="001E712C" w:rsidRPr="004A5029">
        <w:rPr>
          <w:rFonts w:ascii="Times New Roman" w:hAnsi="Times New Roman" w:cs="Times New Roman"/>
          <w:b/>
          <w:bCs/>
          <w:color w:val="000000" w:themeColor="text1"/>
        </w:rPr>
        <w:t xml:space="preserve">e </w:t>
      </w:r>
      <w:r w:rsidRPr="004A5029">
        <w:rPr>
          <w:rFonts w:ascii="Times New Roman" w:hAnsi="Times New Roman" w:cs="Times New Roman"/>
          <w:color w:val="000000" w:themeColor="text1"/>
        </w:rPr>
        <w:t>per la diffusione della conoscenza delle migliori e delle peggiori pratiche</w:t>
      </w:r>
      <w:r w:rsidR="003C1558" w:rsidRPr="004A5029">
        <w:rPr>
          <w:rFonts w:ascii="Times New Roman" w:hAnsi="Times New Roman" w:cs="Times New Roman"/>
          <w:color w:val="000000" w:themeColor="text1"/>
        </w:rPr>
        <w:t>.</w:t>
      </w:r>
    </w:p>
    <w:p w14:paraId="0D0D83DE" w14:textId="524F52F7" w:rsidR="0083753D" w:rsidRPr="004A5029" w:rsidRDefault="0083753D" w:rsidP="0083753D">
      <w:pPr>
        <w:spacing w:line="257" w:lineRule="auto"/>
        <w:jc w:val="both"/>
        <w:rPr>
          <w:rFonts w:ascii="Times New Roman" w:eastAsia="Calibri" w:hAnsi="Times New Roman" w:cs="Times New Roman"/>
          <w:bCs/>
          <w:color w:val="000000" w:themeColor="text1"/>
        </w:rPr>
      </w:pPr>
      <w:r w:rsidRPr="004A5029">
        <w:rPr>
          <w:rFonts w:ascii="Times New Roman" w:eastAsia="Calibri" w:hAnsi="Times New Roman" w:cs="Times New Roman"/>
          <w:bCs/>
          <w:color w:val="000000" w:themeColor="text1"/>
        </w:rPr>
        <w:t xml:space="preserve">3. Ciascuna amministrazione coinvolta nell’applicazione del codice trae dall’azione della </w:t>
      </w:r>
      <w:r w:rsidR="000364DE" w:rsidRPr="004A5029">
        <w:rPr>
          <w:rFonts w:ascii="Times New Roman" w:eastAsia="Calibri" w:hAnsi="Times New Roman" w:cs="Times New Roman"/>
          <w:bCs/>
          <w:color w:val="000000" w:themeColor="text1"/>
        </w:rPr>
        <w:t>C</w:t>
      </w:r>
      <w:r w:rsidRPr="004A5029">
        <w:rPr>
          <w:rFonts w:ascii="Times New Roman" w:eastAsia="Calibri" w:hAnsi="Times New Roman" w:cs="Times New Roman"/>
          <w:bCs/>
          <w:color w:val="000000" w:themeColor="text1"/>
        </w:rPr>
        <w:t xml:space="preserve">abina di regia indicazioni e spunti per la propria attività. A </w:t>
      </w:r>
      <w:r w:rsidRPr="004A5029">
        <w:rPr>
          <w:rFonts w:ascii="Times New Roman" w:eastAsia="Calibri" w:hAnsi="Times New Roman" w:cs="Times New Roman"/>
          <w:b/>
          <w:strike/>
          <w:color w:val="000000" w:themeColor="text1"/>
        </w:rPr>
        <w:t>questo</w:t>
      </w:r>
      <w:r w:rsidRPr="004A5029">
        <w:rPr>
          <w:rFonts w:ascii="Times New Roman" w:eastAsia="Calibri" w:hAnsi="Times New Roman" w:cs="Times New Roman"/>
          <w:b/>
          <w:color w:val="000000" w:themeColor="text1"/>
        </w:rPr>
        <w:t xml:space="preserve"> </w:t>
      </w:r>
      <w:r w:rsidR="0062385C" w:rsidRPr="004A5029">
        <w:rPr>
          <w:rFonts w:ascii="Times New Roman" w:eastAsia="Calibri" w:hAnsi="Times New Roman" w:cs="Times New Roman"/>
          <w:b/>
          <w:color w:val="000000" w:themeColor="text1"/>
        </w:rPr>
        <w:t xml:space="preserve">tal </w:t>
      </w:r>
      <w:r w:rsidRPr="004A5029">
        <w:rPr>
          <w:rFonts w:ascii="Times New Roman" w:eastAsia="Calibri" w:hAnsi="Times New Roman" w:cs="Times New Roman"/>
          <w:bCs/>
          <w:color w:val="000000" w:themeColor="text1"/>
        </w:rPr>
        <w:t xml:space="preserve">fine, per i primi due semestri a </w:t>
      </w:r>
      <w:r w:rsidRPr="004A5029">
        <w:rPr>
          <w:rFonts w:ascii="Times New Roman" w:eastAsia="Times New Roman" w:hAnsi="Times New Roman" w:cs="Times New Roman"/>
          <w:color w:val="000000" w:themeColor="text1"/>
        </w:rPr>
        <w:t>decorrere dalla data in cui il codice acquista efficacia</w:t>
      </w:r>
      <w:r w:rsidRPr="004A5029">
        <w:rPr>
          <w:rFonts w:ascii="Times New Roman" w:eastAsia="Calibri" w:hAnsi="Times New Roman" w:cs="Times New Roman"/>
          <w:bCs/>
          <w:color w:val="000000" w:themeColor="text1"/>
        </w:rPr>
        <w:t xml:space="preserve">, la </w:t>
      </w:r>
      <w:r w:rsidR="000364DE" w:rsidRPr="004A5029">
        <w:rPr>
          <w:rFonts w:ascii="Times New Roman" w:eastAsia="Calibri" w:hAnsi="Times New Roman" w:cs="Times New Roman"/>
          <w:bCs/>
          <w:color w:val="000000" w:themeColor="text1"/>
        </w:rPr>
        <w:t>C</w:t>
      </w:r>
      <w:r w:rsidRPr="004A5029">
        <w:rPr>
          <w:rFonts w:ascii="Times New Roman" w:eastAsia="Calibri" w:hAnsi="Times New Roman" w:cs="Times New Roman"/>
          <w:bCs/>
          <w:color w:val="000000" w:themeColor="text1"/>
        </w:rPr>
        <w:t>abina di regia istituisce uno “sportello unico di supporto tecnico” (</w:t>
      </w:r>
      <w:r w:rsidRPr="004A5029">
        <w:rPr>
          <w:rFonts w:ascii="Times New Roman" w:eastAsia="Calibri" w:hAnsi="Times New Roman" w:cs="Times New Roman"/>
          <w:bCs/>
          <w:i/>
          <w:iCs/>
          <w:color w:val="000000" w:themeColor="text1"/>
        </w:rPr>
        <w:t>help desk</w:t>
      </w:r>
      <w:r w:rsidRPr="004A5029">
        <w:rPr>
          <w:rFonts w:ascii="Times New Roman" w:eastAsia="Calibri" w:hAnsi="Times New Roman" w:cs="Times New Roman"/>
          <w:bCs/>
          <w:color w:val="000000" w:themeColor="text1"/>
        </w:rPr>
        <w:t xml:space="preserve">) dedicato presso la sua segreteria, in collaborazione con le strutture del Ministero delle infrastrutture </w:t>
      </w:r>
      <w:r w:rsidR="001E712C" w:rsidRPr="004A5029">
        <w:rPr>
          <w:rFonts w:ascii="Times New Roman" w:eastAsia="Calibri" w:hAnsi="Times New Roman" w:cs="Times New Roman"/>
          <w:b/>
          <w:color w:val="000000" w:themeColor="text1"/>
        </w:rPr>
        <w:t>e dei trasporti</w:t>
      </w:r>
      <w:r w:rsidR="001E712C" w:rsidRPr="004A5029">
        <w:rPr>
          <w:rFonts w:ascii="Times New Roman" w:eastAsia="Calibri" w:hAnsi="Times New Roman" w:cs="Times New Roman"/>
          <w:bCs/>
          <w:color w:val="000000" w:themeColor="text1"/>
        </w:rPr>
        <w:t xml:space="preserve"> </w:t>
      </w:r>
      <w:r w:rsidRPr="004A5029">
        <w:rPr>
          <w:rFonts w:ascii="Times New Roman" w:eastAsia="Calibri" w:hAnsi="Times New Roman" w:cs="Times New Roman"/>
          <w:bCs/>
          <w:color w:val="000000" w:themeColor="text1"/>
        </w:rPr>
        <w:t>e dell’ANAC, anche condividendo i relativi dati e le relative informazioni. L’</w:t>
      </w:r>
      <w:r w:rsidRPr="004A5029">
        <w:rPr>
          <w:rFonts w:ascii="Times New Roman" w:eastAsia="Calibri" w:hAnsi="Times New Roman" w:cs="Times New Roman"/>
          <w:bCs/>
          <w:i/>
          <w:iCs/>
          <w:color w:val="000000" w:themeColor="text1"/>
        </w:rPr>
        <w:t>help desk</w:t>
      </w:r>
      <w:r w:rsidRPr="004A5029">
        <w:rPr>
          <w:rFonts w:ascii="Times New Roman" w:eastAsia="Calibri" w:hAnsi="Times New Roman" w:cs="Times New Roman"/>
          <w:bCs/>
          <w:color w:val="000000" w:themeColor="text1"/>
        </w:rPr>
        <w:t xml:space="preserve"> effettua un’attività di monitoraggio dell’attuazione delle misure contenute nel codice, sostenendone l’attuazione e individuandone eventuali criticità. Entro il settimo e il tredicesimo mese a </w:t>
      </w:r>
      <w:r w:rsidRPr="004A5029">
        <w:rPr>
          <w:rFonts w:ascii="Times New Roman" w:eastAsia="Times New Roman" w:hAnsi="Times New Roman" w:cs="Times New Roman"/>
          <w:color w:val="000000" w:themeColor="text1"/>
        </w:rPr>
        <w:t>decorrere dalla data in cui il codice acquista efficacia</w:t>
      </w:r>
      <w:r w:rsidRPr="004A5029">
        <w:rPr>
          <w:rFonts w:ascii="Times New Roman" w:eastAsia="Calibri" w:hAnsi="Times New Roman" w:cs="Times New Roman"/>
          <w:bCs/>
          <w:color w:val="000000" w:themeColor="text1"/>
        </w:rPr>
        <w:t xml:space="preserve"> la </w:t>
      </w:r>
      <w:r w:rsidR="000364DE" w:rsidRPr="004A5029">
        <w:rPr>
          <w:rFonts w:ascii="Times New Roman" w:eastAsia="Calibri" w:hAnsi="Times New Roman" w:cs="Times New Roman"/>
          <w:bCs/>
          <w:color w:val="000000" w:themeColor="text1"/>
        </w:rPr>
        <w:t>C</w:t>
      </w:r>
      <w:r w:rsidRPr="004A5029">
        <w:rPr>
          <w:rFonts w:ascii="Times New Roman" w:eastAsia="Calibri" w:hAnsi="Times New Roman" w:cs="Times New Roman"/>
          <w:bCs/>
          <w:color w:val="000000" w:themeColor="text1"/>
        </w:rPr>
        <w:t>abina di regia presenta al Governo una relazione sulle attività dell’</w:t>
      </w:r>
      <w:r w:rsidRPr="004A5029">
        <w:rPr>
          <w:rFonts w:ascii="Times New Roman" w:eastAsia="Calibri" w:hAnsi="Times New Roman" w:cs="Times New Roman"/>
          <w:bCs/>
          <w:i/>
          <w:iCs/>
          <w:color w:val="000000" w:themeColor="text1"/>
        </w:rPr>
        <w:t>help desk</w:t>
      </w:r>
      <w:r w:rsidRPr="004A5029">
        <w:rPr>
          <w:rFonts w:ascii="Times New Roman" w:eastAsia="Calibri" w:hAnsi="Times New Roman" w:cs="Times New Roman"/>
          <w:bCs/>
          <w:color w:val="000000" w:themeColor="text1"/>
        </w:rPr>
        <w:t>, suggerendo se del caso interventi correttivi sul piano normativo e amministrativo e raccomandando le migliori pratiche organizzative e attuative.</w:t>
      </w:r>
    </w:p>
    <w:p w14:paraId="73E0931F" w14:textId="39E653E9" w:rsidR="0083753D" w:rsidRPr="004A5029" w:rsidRDefault="0083753D" w:rsidP="0083753D">
      <w:pPr>
        <w:spacing w:line="257"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 xml:space="preserve">4. La </w:t>
      </w:r>
      <w:r w:rsidR="000364DE" w:rsidRPr="004A5029">
        <w:rPr>
          <w:rFonts w:ascii="Times New Roman" w:eastAsia="Times New Roman" w:hAnsi="Times New Roman" w:cs="Times New Roman"/>
          <w:bCs/>
          <w:color w:val="000000" w:themeColor="text1"/>
        </w:rPr>
        <w:t>C</w:t>
      </w:r>
      <w:r w:rsidRPr="004A5029">
        <w:rPr>
          <w:rFonts w:ascii="Times New Roman" w:eastAsia="Times New Roman" w:hAnsi="Times New Roman" w:cs="Times New Roman"/>
          <w:bCs/>
          <w:color w:val="000000" w:themeColor="text1"/>
        </w:rPr>
        <w:t xml:space="preserve">abina di regia </w:t>
      </w:r>
      <w:r w:rsidRPr="004A5029">
        <w:rPr>
          <w:rFonts w:ascii="Times New Roman" w:eastAsia="Times New Roman" w:hAnsi="Times New Roman" w:cs="Times New Roman"/>
          <w:color w:val="000000" w:themeColor="text1"/>
        </w:rPr>
        <w:t xml:space="preserve">ha </w:t>
      </w:r>
      <w:r w:rsidRPr="004A5029">
        <w:rPr>
          <w:rFonts w:ascii="Times New Roman" w:eastAsia="Times New Roman" w:hAnsi="Times New Roman" w:cs="Times New Roman"/>
          <w:bCs/>
          <w:color w:val="000000" w:themeColor="text1"/>
        </w:rPr>
        <w:t>tra l’altro</w:t>
      </w:r>
      <w:r w:rsidRPr="004A5029">
        <w:rPr>
          <w:rFonts w:ascii="Times New Roman" w:eastAsia="Times New Roman" w:hAnsi="Times New Roman" w:cs="Times New Roman"/>
          <w:color w:val="000000" w:themeColor="text1"/>
        </w:rPr>
        <w:t xml:space="preserve"> il compito di: </w:t>
      </w:r>
    </w:p>
    <w:p w14:paraId="59BE36D0" w14:textId="0511C39A"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a) effettuare una ricognizione sullo stato di attuazione del codice e sulle difficoltà riscontrate dalle stazioni appaltanti nella fase di applicazione</w:t>
      </w:r>
      <w:r w:rsidR="001E712C" w:rsidRPr="004A5029">
        <w:rPr>
          <w:rFonts w:ascii="Times New Roman" w:eastAsia="Times New Roman" w:hAnsi="Times New Roman" w:cs="Times New Roman"/>
          <w:b/>
          <w:bCs/>
          <w:color w:val="000000" w:themeColor="text1"/>
        </w:rPr>
        <w:t>,</w:t>
      </w:r>
      <w:r w:rsidRPr="004A5029">
        <w:rPr>
          <w:rFonts w:ascii="Times New Roman" w:eastAsia="Times New Roman" w:hAnsi="Times New Roman" w:cs="Times New Roman"/>
          <w:color w:val="000000" w:themeColor="text1"/>
        </w:rPr>
        <w:t xml:space="preserve"> anche al fine di proporre eventuali soluzioni correttive e di miglioramento; </w:t>
      </w:r>
    </w:p>
    <w:p w14:paraId="3594C16A" w14:textId="7774861F"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b) curare, se del caso con apposito piano di azione, la fase di attuazione del presente codice coordinando l'adozione, da parte dei soggetti competenti, di </w:t>
      </w:r>
      <w:r w:rsidRPr="004A5029">
        <w:rPr>
          <w:rFonts w:ascii="Times New Roman" w:eastAsia="Times New Roman" w:hAnsi="Times New Roman" w:cs="Times New Roman"/>
          <w:bCs/>
          <w:color w:val="000000" w:themeColor="text1"/>
        </w:rPr>
        <w:t>regolamenti attuativi</w:t>
      </w:r>
      <w:r w:rsidRPr="004A5029">
        <w:rPr>
          <w:rFonts w:ascii="Times New Roman" w:eastAsia="Times New Roman" w:hAnsi="Times New Roman" w:cs="Times New Roman"/>
          <w:color w:val="000000" w:themeColor="text1"/>
        </w:rPr>
        <w:t xml:space="preserve"> e </w:t>
      </w:r>
      <w:r w:rsidRPr="004A5029">
        <w:rPr>
          <w:rFonts w:ascii="Times New Roman" w:eastAsia="Times New Roman" w:hAnsi="Times New Roman" w:cs="Times New Roman"/>
          <w:bCs/>
          <w:color w:val="000000" w:themeColor="text1"/>
        </w:rPr>
        <w:t>atti di indirizzo</w:t>
      </w:r>
      <w:r w:rsidRPr="004A5029">
        <w:rPr>
          <w:rFonts w:ascii="Times New Roman" w:eastAsia="Times New Roman" w:hAnsi="Times New Roman" w:cs="Times New Roman"/>
          <w:color w:val="000000" w:themeColor="text1"/>
        </w:rPr>
        <w:t xml:space="preserve">, </w:t>
      </w:r>
      <w:r w:rsidR="00733A87" w:rsidRPr="004A5029">
        <w:rPr>
          <w:rFonts w:ascii="Times New Roman" w:eastAsia="Times New Roman" w:hAnsi="Times New Roman" w:cs="Times New Roman"/>
          <w:color w:val="000000" w:themeColor="text1"/>
        </w:rPr>
        <w:t>nonché</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bCs/>
          <w:color w:val="000000" w:themeColor="text1"/>
        </w:rPr>
        <w:t>il loro ulteriore riordino</w:t>
      </w:r>
      <w:r w:rsidRPr="004A5029">
        <w:rPr>
          <w:rFonts w:ascii="Times New Roman" w:eastAsia="Times New Roman" w:hAnsi="Times New Roman" w:cs="Times New Roman"/>
          <w:color w:val="000000" w:themeColor="text1"/>
        </w:rPr>
        <w:t xml:space="preserve"> </w:t>
      </w:r>
      <w:r w:rsidRPr="004A5029">
        <w:rPr>
          <w:rFonts w:ascii="Times New Roman" w:eastAsia="Times New Roman" w:hAnsi="Times New Roman" w:cs="Times New Roman"/>
          <w:bCs/>
          <w:color w:val="000000" w:themeColor="text1"/>
        </w:rPr>
        <w:t>in allegato al codice, anche</w:t>
      </w:r>
      <w:r w:rsidRPr="004A5029">
        <w:rPr>
          <w:rFonts w:ascii="Times New Roman" w:eastAsia="Times New Roman" w:hAnsi="Times New Roman" w:cs="Times New Roman"/>
          <w:color w:val="000000" w:themeColor="text1"/>
        </w:rPr>
        <w:t xml:space="preserve"> al fine di assicurarne la </w:t>
      </w:r>
      <w:r w:rsidR="00837063" w:rsidRPr="004A5029">
        <w:rPr>
          <w:rFonts w:ascii="Times New Roman" w:eastAsia="Times New Roman" w:hAnsi="Times New Roman" w:cs="Times New Roman"/>
          <w:color w:val="000000" w:themeColor="text1"/>
        </w:rPr>
        <w:t>tempestività</w:t>
      </w:r>
      <w:r w:rsidRPr="004A5029">
        <w:rPr>
          <w:rFonts w:ascii="Times New Roman" w:eastAsia="Times New Roman" w:hAnsi="Times New Roman" w:cs="Times New Roman"/>
          <w:color w:val="000000" w:themeColor="text1"/>
        </w:rPr>
        <w:t xml:space="preserve"> e la coerenza reciproca; </w:t>
      </w:r>
    </w:p>
    <w:p w14:paraId="1B0AA6AE" w14:textId="6A115C30"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c) esaminare le proposte di modifiche normative nella materia disciplinata dal codice per valutarne l'impatto sulla legislazione vigente</w:t>
      </w:r>
      <w:r w:rsidRPr="004A5029">
        <w:rPr>
          <w:rFonts w:ascii="Times New Roman" w:eastAsia="Times New Roman" w:hAnsi="Times New Roman" w:cs="Times New Roman"/>
          <w:b/>
          <w:bCs/>
          <w:strike/>
          <w:color w:val="000000" w:themeColor="text1"/>
        </w:rPr>
        <w:t>,</w:t>
      </w:r>
      <w:r w:rsidR="001E712C" w:rsidRPr="004A5029">
        <w:rPr>
          <w:rFonts w:ascii="Times New Roman" w:eastAsia="Times New Roman" w:hAnsi="Times New Roman" w:cs="Times New Roman"/>
          <w:b/>
          <w:bCs/>
          <w:color w:val="000000" w:themeColor="text1"/>
        </w:rPr>
        <w:t xml:space="preserve"> e </w:t>
      </w:r>
      <w:r w:rsidRPr="004A5029">
        <w:rPr>
          <w:rFonts w:ascii="Times New Roman" w:eastAsia="Times New Roman" w:hAnsi="Times New Roman" w:cs="Times New Roman"/>
          <w:color w:val="000000" w:themeColor="text1"/>
        </w:rPr>
        <w:t xml:space="preserve">garantire </w:t>
      </w:r>
      <w:r w:rsidR="00837063" w:rsidRPr="004A5029">
        <w:rPr>
          <w:rFonts w:ascii="Times New Roman" w:eastAsia="Times New Roman" w:hAnsi="Times New Roman" w:cs="Times New Roman"/>
          <w:color w:val="000000" w:themeColor="text1"/>
        </w:rPr>
        <w:t>omogeneità</w:t>
      </w:r>
      <w:r w:rsidRPr="004A5029">
        <w:rPr>
          <w:rFonts w:ascii="Times New Roman" w:eastAsia="Times New Roman" w:hAnsi="Times New Roman" w:cs="Times New Roman"/>
          <w:color w:val="000000" w:themeColor="text1"/>
        </w:rPr>
        <w:t xml:space="preserve"> e certezza giuridica, supportando la competente struttura della Presidenza del Consiglio dei ministri nel coordinamento dei vari interventi regolatori nel settore </w:t>
      </w:r>
      <w:r w:rsidRPr="004A5029">
        <w:rPr>
          <w:rFonts w:ascii="Times New Roman" w:eastAsia="Times New Roman" w:hAnsi="Times New Roman" w:cs="Times New Roman"/>
          <w:bCs/>
          <w:color w:val="000000" w:themeColor="text1"/>
        </w:rPr>
        <w:t>e contribuendo all’effettuazione delle analisi e verifiche di impatto dei relativi provvedimenti</w:t>
      </w:r>
      <w:r w:rsidRPr="004A5029">
        <w:rPr>
          <w:rFonts w:ascii="Times New Roman" w:eastAsia="Times New Roman" w:hAnsi="Times New Roman" w:cs="Times New Roman"/>
          <w:color w:val="000000" w:themeColor="text1"/>
        </w:rPr>
        <w:t xml:space="preserve">; </w:t>
      </w:r>
    </w:p>
    <w:p w14:paraId="511A401F" w14:textId="764560C4" w:rsidR="0083753D" w:rsidRPr="004A5029" w:rsidRDefault="0083753D" w:rsidP="0083753D">
      <w:pPr>
        <w:jc w:val="both"/>
        <w:rPr>
          <w:rFonts w:ascii="Times New Roman" w:eastAsia="Times New Roman" w:hAnsi="Times New Roman" w:cs="Times New Roman"/>
          <w:bCs/>
          <w:color w:val="000000" w:themeColor="text1"/>
        </w:rPr>
      </w:pPr>
      <w:r w:rsidRPr="004A5029">
        <w:rPr>
          <w:rFonts w:ascii="Times New Roman" w:eastAsia="Times New Roman" w:hAnsi="Times New Roman" w:cs="Times New Roman"/>
          <w:bCs/>
          <w:color w:val="000000" w:themeColor="text1"/>
        </w:rPr>
        <w:t>d) sovrintendere alla digitalizzazione del sistema dei contratti pubblici, fermo restando l’esercizio delle funzioni, da parte dell’ANAC, di cui all’art</w:t>
      </w:r>
      <w:r w:rsidR="00C3506D" w:rsidRPr="004A5029">
        <w:rPr>
          <w:rFonts w:ascii="Times New Roman" w:eastAsia="Times New Roman" w:hAnsi="Times New Roman" w:cs="Times New Roman"/>
          <w:bCs/>
          <w:color w:val="000000" w:themeColor="text1"/>
        </w:rPr>
        <w:t>icolo</w:t>
      </w:r>
      <w:r w:rsidRPr="004A5029">
        <w:rPr>
          <w:rFonts w:ascii="Times New Roman" w:eastAsia="Times New Roman" w:hAnsi="Times New Roman" w:cs="Times New Roman"/>
          <w:bCs/>
          <w:color w:val="000000" w:themeColor="text1"/>
        </w:rPr>
        <w:t xml:space="preserve"> 23; </w:t>
      </w:r>
    </w:p>
    <w:p w14:paraId="2DC1D23A" w14:textId="58CEA1C0"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e) promuovere accordi, protocolli di intesa, convenzioni, anche con associazioni private per agevolare la </w:t>
      </w:r>
      <w:r w:rsidR="00837063" w:rsidRPr="004A5029">
        <w:rPr>
          <w:rFonts w:ascii="Times New Roman" w:eastAsia="Times New Roman" w:hAnsi="Times New Roman" w:cs="Times New Roman"/>
          <w:color w:val="000000" w:themeColor="text1"/>
        </w:rPr>
        <w:t xml:space="preserve">bancabilità </w:t>
      </w:r>
      <w:r w:rsidRPr="004A5029">
        <w:rPr>
          <w:rFonts w:ascii="Times New Roman" w:eastAsia="Times New Roman" w:hAnsi="Times New Roman" w:cs="Times New Roman"/>
          <w:color w:val="000000" w:themeColor="text1"/>
        </w:rPr>
        <w:t>delle opere pubbliche;</w:t>
      </w:r>
    </w:p>
    <w:p w14:paraId="78212095" w14:textId="5CF5FC4C" w:rsidR="0083753D" w:rsidRPr="004A5029" w:rsidRDefault="0083753D" w:rsidP="6E003A1F">
      <w:pPr>
        <w:spacing w:line="257"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f) in relazione al </w:t>
      </w:r>
      <w:r w:rsidR="000364DE" w:rsidRPr="004A5029">
        <w:rPr>
          <w:rFonts w:ascii="Times New Roman" w:eastAsia="Times New Roman" w:hAnsi="Times New Roman" w:cs="Times New Roman"/>
          <w:color w:val="000000" w:themeColor="text1"/>
        </w:rPr>
        <w:t>p</w:t>
      </w:r>
      <w:r w:rsidR="608A9D05" w:rsidRPr="004A5029">
        <w:rPr>
          <w:rFonts w:ascii="Times New Roman" w:eastAsia="Times New Roman" w:hAnsi="Times New Roman" w:cs="Times New Roman"/>
          <w:color w:val="000000" w:themeColor="text1"/>
        </w:rPr>
        <w:t>artenariato pubblico privato</w:t>
      </w:r>
      <w:r w:rsidRPr="004A5029">
        <w:rPr>
          <w:rFonts w:ascii="Times New Roman" w:eastAsia="Times New Roman" w:hAnsi="Times New Roman" w:cs="Times New Roman"/>
          <w:color w:val="000000" w:themeColor="text1"/>
        </w:rPr>
        <w:t xml:space="preserve">, in coordinamento con il </w:t>
      </w:r>
      <w:r w:rsidR="46410C10" w:rsidRPr="004A5029">
        <w:rPr>
          <w:rFonts w:ascii="Times New Roman" w:eastAsia="Times New Roman" w:hAnsi="Times New Roman" w:cs="Times New Roman"/>
          <w:color w:val="000000" w:themeColor="text1"/>
        </w:rPr>
        <w:t>Dipartimento per la programmazione e il coordinamento della politica economica</w:t>
      </w:r>
      <w:r w:rsidRPr="004A5029">
        <w:rPr>
          <w:rFonts w:ascii="Times New Roman" w:eastAsia="Times New Roman" w:hAnsi="Times New Roman" w:cs="Times New Roman"/>
          <w:color w:val="000000" w:themeColor="text1"/>
        </w:rPr>
        <w:t>, promuovere la conoscenza delle nuove procedure e agevolarne l’utilizzo tra i potenziali partecipanti, ivi comprese imprese, banche e altre società finanziarie; favorire il coordinamento e lo scambio di informazioni tra le parti; individuare e divulgare le soluzioni più appropriate a eventuali problemi applicativi e promuovere la raccolta e la diffusione dei dati che confluiscono nella banca dati su</w:t>
      </w:r>
      <w:r w:rsidR="00820C3D" w:rsidRPr="004A5029">
        <w:rPr>
          <w:rFonts w:ascii="Times New Roman" w:eastAsia="Times New Roman" w:hAnsi="Times New Roman" w:cs="Times New Roman"/>
          <w:color w:val="000000" w:themeColor="text1"/>
        </w:rPr>
        <w:t>l</w:t>
      </w:r>
      <w:r w:rsidRPr="004A5029">
        <w:rPr>
          <w:rFonts w:ascii="Times New Roman" w:eastAsia="Times New Roman" w:hAnsi="Times New Roman" w:cs="Times New Roman"/>
          <w:color w:val="000000" w:themeColor="text1"/>
        </w:rPr>
        <w:t xml:space="preserve"> </w:t>
      </w:r>
      <w:r w:rsidR="000364DE" w:rsidRPr="004A5029">
        <w:rPr>
          <w:rFonts w:ascii="Times New Roman" w:eastAsia="Times New Roman" w:hAnsi="Times New Roman" w:cs="Times New Roman"/>
          <w:color w:val="000000" w:themeColor="text1"/>
        </w:rPr>
        <w:t>p</w:t>
      </w:r>
      <w:r w:rsidR="54B06B09" w:rsidRPr="004A5029">
        <w:rPr>
          <w:rFonts w:ascii="Times New Roman" w:eastAsia="Times New Roman" w:hAnsi="Times New Roman" w:cs="Times New Roman"/>
          <w:color w:val="000000" w:themeColor="text1"/>
        </w:rPr>
        <w:t>artenariato pubblico privato</w:t>
      </w:r>
      <w:r w:rsidRPr="004A5029">
        <w:rPr>
          <w:rFonts w:ascii="Times New Roman" w:eastAsia="Times New Roman" w:hAnsi="Times New Roman" w:cs="Times New Roman"/>
          <w:color w:val="000000" w:themeColor="text1"/>
        </w:rPr>
        <w:t xml:space="preserve"> ai sensi dell’articolo 175, comma 7.</w:t>
      </w:r>
    </w:p>
    <w:p w14:paraId="0E42EE36"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5.</w:t>
      </w:r>
      <w:r w:rsidRPr="004A5029">
        <w:rPr>
          <w:rFonts w:ascii="Times New Roman" w:eastAsia="Times New Roman" w:hAnsi="Times New Roman" w:cs="Times New Roman"/>
          <w:color w:val="000000" w:themeColor="text1"/>
        </w:rPr>
        <w:t xml:space="preserve"> La Cabina di regia segnala, sulla base delle informazioni ricevute, eventuali specifiche violazioni o problemi sistemici all'ANAC per gli interventi di competenza.</w:t>
      </w:r>
    </w:p>
    <w:p w14:paraId="51844F39" w14:textId="3FEAC3FE"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6.</w:t>
      </w:r>
      <w:r w:rsidRPr="004A5029">
        <w:rPr>
          <w:rFonts w:ascii="Times New Roman" w:eastAsia="Times New Roman" w:hAnsi="Times New Roman" w:cs="Times New Roman"/>
          <w:color w:val="000000" w:themeColor="text1"/>
        </w:rPr>
        <w:t xml:space="preserve"> Ogni ann</w:t>
      </w:r>
      <w:r w:rsidRPr="004A5029">
        <w:rPr>
          <w:rFonts w:ascii="Times New Roman" w:eastAsia="Times New Roman" w:hAnsi="Times New Roman" w:cs="Times New Roman"/>
          <w:bCs/>
          <w:color w:val="000000" w:themeColor="text1"/>
        </w:rPr>
        <w:t>o</w:t>
      </w:r>
      <w:r w:rsidRPr="004A5029">
        <w:rPr>
          <w:rFonts w:ascii="Times New Roman" w:eastAsia="Times New Roman" w:hAnsi="Times New Roman" w:cs="Times New Roman"/>
          <w:color w:val="000000" w:themeColor="text1"/>
        </w:rPr>
        <w:t xml:space="preserve"> la Cabina di regia, anche avvalendosi dell’ANAC, presenta alla Commissione una relazione di controllo contenente, se del caso, informazioni sulle cause </w:t>
      </w:r>
      <w:r w:rsidR="00906AB2" w:rsidRPr="004A5029">
        <w:rPr>
          <w:rFonts w:ascii="Times New Roman" w:eastAsia="Times New Roman" w:hAnsi="Times New Roman" w:cs="Times New Roman"/>
          <w:color w:val="000000" w:themeColor="text1"/>
        </w:rPr>
        <w:t>più</w:t>
      </w:r>
      <w:r w:rsidRPr="004A5029">
        <w:rPr>
          <w:rFonts w:ascii="Times New Roman" w:eastAsia="Times New Roman" w:hAnsi="Times New Roman" w:cs="Times New Roman"/>
          <w:color w:val="000000" w:themeColor="text1"/>
        </w:rPr>
        <w:t xml:space="preserve"> frequenti di non corretta applicazione o di incertezza giuridica, compresi possibili problemi strutturali o ricorrenti nell'applicazione delle norme, sul livello di partecipazione delle microimprese e delle piccole e medie imprese agli appalti pubblici e sulla prevenzione, l'accertamento e l'adeguata segnalazione di casi di frode, corruzione, conflitto di interessi e altre </w:t>
      </w:r>
      <w:r w:rsidR="00287F32" w:rsidRPr="004A5029">
        <w:rPr>
          <w:rFonts w:ascii="Times New Roman" w:eastAsia="Times New Roman" w:hAnsi="Times New Roman" w:cs="Times New Roman"/>
          <w:color w:val="000000" w:themeColor="text1"/>
        </w:rPr>
        <w:t>irregolarità</w:t>
      </w:r>
      <w:r w:rsidRPr="004A5029">
        <w:rPr>
          <w:rFonts w:ascii="Times New Roman" w:eastAsia="Times New Roman" w:hAnsi="Times New Roman" w:cs="Times New Roman"/>
          <w:color w:val="000000" w:themeColor="text1"/>
        </w:rPr>
        <w:t>̀ gravi in materia di appalti e di concessioni.</w:t>
      </w:r>
    </w:p>
    <w:p w14:paraId="6EFEB0D2"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bCs/>
          <w:color w:val="000000" w:themeColor="text1"/>
        </w:rPr>
        <w:t>7.</w:t>
      </w:r>
      <w:r w:rsidRPr="004A5029">
        <w:rPr>
          <w:rFonts w:ascii="Times New Roman" w:eastAsia="Times New Roman" w:hAnsi="Times New Roman" w:cs="Times New Roman"/>
          <w:color w:val="000000" w:themeColor="text1"/>
        </w:rPr>
        <w:t xml:space="preserve"> La Cabina di regia è la struttura nazionale di riferimento per la cooperazione con la Commissione europea per l'applicazione della normativa in materia di appalti pubblici e di concessioni e per l'adempimento degli obblighi di assistenza e cooperazione reciproca tra gli Stati membri, onde assicurare lo scambio di informazioni sull'applicazione delle norme contenute nel presente codice e sulla gestione delle relative procedure. </w:t>
      </w:r>
    </w:p>
    <w:p w14:paraId="3E83E3C8" w14:textId="63F3F9BB"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8. Il </w:t>
      </w:r>
      <w:r w:rsidR="331822A1" w:rsidRPr="004A5029">
        <w:rPr>
          <w:rFonts w:ascii="Times New Roman" w:eastAsia="Times New Roman" w:hAnsi="Times New Roman" w:cs="Times New Roman"/>
          <w:color w:val="000000" w:themeColor="text1"/>
        </w:rPr>
        <w:t>C</w:t>
      </w:r>
      <w:r w:rsidR="00776DDF" w:rsidRPr="004A5029">
        <w:rPr>
          <w:rFonts w:ascii="Times New Roman" w:eastAsia="Times New Roman" w:hAnsi="Times New Roman" w:cs="Times New Roman"/>
          <w:color w:val="000000" w:themeColor="text1"/>
        </w:rPr>
        <w:t xml:space="preserve">IPESS </w:t>
      </w:r>
      <w:r w:rsidRPr="004A5029">
        <w:rPr>
          <w:rFonts w:ascii="Times New Roman" w:eastAsia="Times New Roman" w:hAnsi="Times New Roman" w:cs="Times New Roman"/>
          <w:color w:val="000000" w:themeColor="text1"/>
        </w:rPr>
        <w:t>elabora specifiche politiche in materia di servizi e forniture, predisponendo un piano nazionale dei servizi strategici per il Paese, ad alto contenuto di innovazione e di investimento in tecnologia, anche attraverso consultazioni periodiche degli operatori economici.</w:t>
      </w:r>
    </w:p>
    <w:p w14:paraId="0EB4B219" w14:textId="77777777" w:rsidR="0083753D" w:rsidRPr="004A5029" w:rsidRDefault="0083753D" w:rsidP="0083753D">
      <w:pPr>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9. Il piano nazionale dei servizi deve indicare anche le modalità di attuazione delle previsioni ivi contenute, e include l’attuazione di progetti specifici, anche attraverso affidamento degli stessi a centrali di committenza.</w:t>
      </w:r>
    </w:p>
    <w:p w14:paraId="02915484" w14:textId="77777777" w:rsidR="0083753D" w:rsidRPr="004A5029" w:rsidRDefault="0083753D" w:rsidP="0083753D">
      <w:pPr>
        <w:jc w:val="both"/>
        <w:rPr>
          <w:rStyle w:val="Nessuno"/>
          <w:rFonts w:ascii="Times New Roman" w:eastAsia="Times New Roman" w:hAnsi="Times New Roman" w:cs="Times New Roman"/>
          <w:b/>
          <w:bCs/>
          <w:color w:val="000000" w:themeColor="text1"/>
        </w:rPr>
      </w:pPr>
    </w:p>
    <w:p w14:paraId="3F8E4F00" w14:textId="77777777"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222.</w:t>
      </w:r>
    </w:p>
    <w:p w14:paraId="0D8A371A" w14:textId="77777777" w:rsidR="0083753D" w:rsidRPr="004A5029" w:rsidRDefault="0083753D" w:rsidP="0083753D">
      <w:pPr>
        <w:jc w:val="both"/>
        <w:rPr>
          <w:rFonts w:ascii="Times New Roman" w:eastAsia="Times New Roman" w:hAnsi="Times New Roman" w:cs="Times New Roman"/>
          <w:i/>
          <w:iCs/>
          <w:color w:val="000000" w:themeColor="text1"/>
        </w:rPr>
      </w:pPr>
      <w:r w:rsidRPr="004A5029">
        <w:rPr>
          <w:rStyle w:val="Hyperlink0"/>
          <w:rFonts w:ascii="Times New Roman" w:hAnsi="Times New Roman" w:cs="Times New Roman"/>
          <w:i/>
          <w:iCs/>
          <w:color w:val="000000" w:themeColor="text1"/>
        </w:rPr>
        <w:t>Autorità nazionale anticorruzione (ANAC)</w:t>
      </w:r>
      <w:r w:rsidRPr="004A5029">
        <w:rPr>
          <w:rFonts w:ascii="Times New Roman" w:eastAsia="Times New Roman" w:hAnsi="Times New Roman" w:cs="Times New Roman"/>
          <w:i/>
          <w:iCs/>
          <w:color w:val="000000" w:themeColor="text1"/>
        </w:rPr>
        <w:t>.</w:t>
      </w:r>
    </w:p>
    <w:p w14:paraId="7180C18D" w14:textId="20B07DB9" w:rsidR="0083753D" w:rsidRPr="004A5029" w:rsidRDefault="0083753D" w:rsidP="0083753D">
      <w:pPr>
        <w:jc w:val="both"/>
        <w:rPr>
          <w:rFonts w:ascii="Times New Roman" w:hAnsi="Times New Roman" w:cs="Times New Roman"/>
          <w:color w:val="000000" w:themeColor="text1"/>
        </w:rPr>
      </w:pPr>
      <w:r w:rsidRPr="004A5029">
        <w:rPr>
          <w:rStyle w:val="Hyperlink0"/>
          <w:rFonts w:ascii="Times New Roman" w:hAnsi="Times New Roman" w:cs="Times New Roman"/>
          <w:color w:val="000000" w:themeColor="text1"/>
        </w:rPr>
        <w:t>1. La vigilanza e il controllo sui contratti pubblici sono attribuiti, nei limiti di quanto stabilito dal codice, all'Autorità nazionale anticorruzione (ANAC), che agisce anche al fine di prevenire e contrastare illegalità e corruzione.</w:t>
      </w:r>
    </w:p>
    <w:p w14:paraId="413C04E0" w14:textId="1BA0BAFB" w:rsidR="0083753D" w:rsidRPr="004A5029" w:rsidRDefault="0083753D" w:rsidP="0083753D">
      <w:pPr>
        <w:jc w:val="both"/>
        <w:rPr>
          <w:rStyle w:val="Nessuno"/>
          <w:rFonts w:ascii="Times New Roman" w:hAnsi="Times New Roman" w:cs="Times New Roman"/>
          <w:color w:val="000000" w:themeColor="text1"/>
          <w:shd w:val="clear" w:color="auto" w:fill="FFFFFF"/>
        </w:rPr>
      </w:pPr>
      <w:r w:rsidRPr="004A5029">
        <w:rPr>
          <w:rStyle w:val="Hyperlink0"/>
          <w:rFonts w:ascii="Times New Roman" w:hAnsi="Times New Roman" w:cs="Times New Roman"/>
          <w:color w:val="000000" w:themeColor="text1"/>
        </w:rPr>
        <w:t xml:space="preserve">2. L'ANAC, attraverso bandi-tipo, capitolati-tipo, contratti-tipo </w:t>
      </w:r>
      <w:r w:rsidRPr="004A5029">
        <w:rPr>
          <w:rStyle w:val="Nessuno"/>
          <w:rFonts w:ascii="Times New Roman" w:hAnsi="Times New Roman" w:cs="Times New Roman"/>
          <w:bCs/>
          <w:color w:val="000000" w:themeColor="text1"/>
        </w:rPr>
        <w:t>e</w:t>
      </w:r>
      <w:r w:rsidRPr="004A5029">
        <w:rPr>
          <w:rFonts w:ascii="Times New Roman" w:hAnsi="Times New Roman" w:cs="Times New Roman"/>
          <w:color w:val="000000" w:themeColor="text1"/>
        </w:rPr>
        <w:t xml:space="preserve"> </w:t>
      </w:r>
      <w:r w:rsidRPr="004A5029">
        <w:rPr>
          <w:rStyle w:val="Nessuno"/>
          <w:rFonts w:ascii="Times New Roman" w:hAnsi="Times New Roman" w:cs="Times New Roman"/>
          <w:bCs/>
          <w:color w:val="000000" w:themeColor="text1"/>
        </w:rPr>
        <w:t>altri atti amministrativi generali</w:t>
      </w:r>
      <w:r w:rsidRPr="004A5029">
        <w:rPr>
          <w:rStyle w:val="Hyperlink0"/>
          <w:rFonts w:ascii="Times New Roman" w:hAnsi="Times New Roman" w:cs="Times New Roman"/>
          <w:color w:val="000000" w:themeColor="text1"/>
        </w:rPr>
        <w:t>, garantisce la promozione dell'efficienza, della qualità dell'attività delle stazioni appaltanti, cui fornisce supporto anche facilitando lo scambio di informazioni e la omogeneità dei procedimenti amministrativi e favorisce lo sviluppo delle migliori pratiche. Trasmette alle Camere, immediatamente dopo la loro adozione, gli atti di cui al pr</w:t>
      </w:r>
      <w:r w:rsidR="000364DE" w:rsidRPr="004A5029">
        <w:rPr>
          <w:rStyle w:val="Hyperlink0"/>
          <w:rFonts w:ascii="Times New Roman" w:hAnsi="Times New Roman" w:cs="Times New Roman"/>
          <w:color w:val="000000" w:themeColor="text1"/>
        </w:rPr>
        <w:t>imo</w:t>
      </w:r>
      <w:r w:rsidRPr="004A5029">
        <w:rPr>
          <w:rStyle w:val="Hyperlink0"/>
          <w:rFonts w:ascii="Times New Roman" w:hAnsi="Times New Roman" w:cs="Times New Roman"/>
          <w:color w:val="000000" w:themeColor="text1"/>
        </w:rPr>
        <w:t xml:space="preserve"> periodo ritenuti maggiormente rilevanti in termini di impatto, per numero di operatori potenzialmente coinvolti, riconducibilità a fattispecie criminose, situazioni anomale o comunque sintomatiche di condotte illecite da parte delle stazioni appaltanti. Resta ferma l'impugnabilità delle decisioni e degli atti assunti dall'ANAC innanzi ai competenti organi di giustizia amministrativa. L'ANAC, </w:t>
      </w:r>
      <w:r w:rsidRPr="004A5029">
        <w:rPr>
          <w:rStyle w:val="Nessuno"/>
          <w:rFonts w:ascii="Times New Roman" w:hAnsi="Times New Roman" w:cs="Times New Roman"/>
          <w:bCs/>
          <w:color w:val="000000" w:themeColor="text1"/>
        </w:rPr>
        <w:t>per l'adozione dei</w:t>
      </w:r>
      <w:r w:rsidRPr="004A5029">
        <w:rPr>
          <w:rStyle w:val="Hyperlink0"/>
          <w:rFonts w:ascii="Times New Roman" w:hAnsi="Times New Roman" w:cs="Times New Roman"/>
          <w:color w:val="000000" w:themeColor="text1"/>
        </w:rPr>
        <w:t xml:space="preserve"> </w:t>
      </w:r>
      <w:r w:rsidRPr="004A5029">
        <w:rPr>
          <w:rStyle w:val="Nessuno"/>
          <w:rFonts w:ascii="Times New Roman" w:hAnsi="Times New Roman" w:cs="Times New Roman"/>
          <w:bCs/>
          <w:color w:val="000000" w:themeColor="text1"/>
        </w:rPr>
        <w:t>bandi-tipo, dei capitolati-tipo, dei contratti-tipo e degli atti amministrativi generali</w:t>
      </w:r>
      <w:r w:rsidRPr="004A5029">
        <w:rPr>
          <w:rStyle w:val="Hyperlink0"/>
          <w:rFonts w:ascii="Times New Roman" w:hAnsi="Times New Roman" w:cs="Times New Roman"/>
          <w:color w:val="000000" w:themeColor="text1"/>
        </w:rPr>
        <w:t>, si dota, nei modi previsti dal proprio ordinamento, di forme e metodi di consultazione, di analisi e di verifica dell'impatto della regolazione, di adeguata pubblicità, anche sulla Gazzetta Ufficiale</w:t>
      </w:r>
      <w:r w:rsidR="00165AF7" w:rsidRPr="004A5029">
        <w:rPr>
          <w:rStyle w:val="Hyperlink0"/>
          <w:rFonts w:ascii="Times New Roman" w:hAnsi="Times New Roman" w:cs="Times New Roman"/>
          <w:color w:val="000000" w:themeColor="text1"/>
        </w:rPr>
        <w:t xml:space="preserve"> </w:t>
      </w:r>
      <w:r w:rsidR="00165AF7" w:rsidRPr="004A5029">
        <w:rPr>
          <w:rStyle w:val="Hyperlink0"/>
          <w:rFonts w:ascii="Times New Roman" w:hAnsi="Times New Roman" w:cs="Times New Roman"/>
          <w:b/>
          <w:bCs/>
          <w:color w:val="000000" w:themeColor="text1"/>
        </w:rPr>
        <w:t>della Repubblica italiana</w:t>
      </w:r>
      <w:r w:rsidRPr="004A5029">
        <w:rPr>
          <w:rStyle w:val="Hyperlink0"/>
          <w:rFonts w:ascii="Times New Roman" w:hAnsi="Times New Roman" w:cs="Times New Roman"/>
          <w:color w:val="000000" w:themeColor="text1"/>
        </w:rPr>
        <w:t xml:space="preserve">, in modo che siano rispettati la qualità della regolazione e il divieto di introduzione o di mantenimento di livelli di regolazione superiori a quelli minimi richiesti </w:t>
      </w:r>
      <w:r w:rsidR="00995CDD" w:rsidRPr="004A5029">
        <w:rPr>
          <w:rStyle w:val="Hyperlink0"/>
          <w:rFonts w:ascii="Times New Roman" w:hAnsi="Times New Roman" w:cs="Times New Roman"/>
          <w:color w:val="000000" w:themeColor="text1"/>
        </w:rPr>
        <w:t xml:space="preserve">dalle direttive europee </w:t>
      </w:r>
      <w:r w:rsidRPr="004A5029">
        <w:rPr>
          <w:rStyle w:val="Hyperlink0"/>
          <w:rFonts w:ascii="Times New Roman" w:hAnsi="Times New Roman" w:cs="Times New Roman"/>
          <w:color w:val="000000" w:themeColor="text1"/>
        </w:rPr>
        <w:t xml:space="preserve">e dal codice. </w:t>
      </w:r>
      <w:r w:rsidRPr="004A5029">
        <w:rPr>
          <w:rStyle w:val="Nessuno"/>
          <w:rFonts w:ascii="Times New Roman" w:hAnsi="Times New Roman" w:cs="Times New Roman"/>
          <w:color w:val="000000" w:themeColor="text1"/>
        </w:rPr>
        <w:t>I</w:t>
      </w:r>
      <w:r w:rsidRPr="004A5029">
        <w:rPr>
          <w:rStyle w:val="Nessuno"/>
          <w:rFonts w:ascii="Times New Roman" w:hAnsi="Times New Roman" w:cs="Times New Roman"/>
          <w:bCs/>
          <w:color w:val="000000" w:themeColor="text1"/>
        </w:rPr>
        <w:t xml:space="preserve"> bandi-tipo, i capitolati-tipo e i contratti-tipo sono, altresì, pubblicati sul sito istituzionale dell’</w:t>
      </w:r>
      <w:r w:rsidR="00115361" w:rsidRPr="004A5029">
        <w:rPr>
          <w:rStyle w:val="Hyperlink0"/>
          <w:rFonts w:ascii="Times New Roman" w:hAnsi="Times New Roman" w:cs="Times New Roman"/>
          <w:b/>
          <w:bCs/>
          <w:strike/>
          <w:color w:val="000000" w:themeColor="text1"/>
        </w:rPr>
        <w:t xml:space="preserve"> Autorità </w:t>
      </w:r>
      <w:r w:rsidR="00115361" w:rsidRPr="004A5029">
        <w:rPr>
          <w:rStyle w:val="Hyperlink0"/>
          <w:rFonts w:ascii="Times New Roman" w:hAnsi="Times New Roman" w:cs="Times New Roman"/>
          <w:b/>
          <w:bCs/>
          <w:color w:val="000000" w:themeColor="text1"/>
        </w:rPr>
        <w:t>ANAC</w:t>
      </w:r>
      <w:r w:rsidRPr="004A5029">
        <w:rPr>
          <w:rStyle w:val="Nessuno"/>
          <w:rFonts w:ascii="Times New Roman" w:hAnsi="Times New Roman" w:cs="Times New Roman"/>
          <w:bCs/>
          <w:color w:val="000000" w:themeColor="text1"/>
        </w:rPr>
        <w:t xml:space="preserve"> e dallo stesso scaricabili con modalità tale da garantirne l’autenticità.</w:t>
      </w:r>
    </w:p>
    <w:p w14:paraId="5F33496B" w14:textId="08F5FAF0"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3. Nell'ambito dei poteri ad essa attribuiti, l'</w:t>
      </w:r>
      <w:r w:rsidRPr="004A5029">
        <w:rPr>
          <w:rStyle w:val="Hyperlink0"/>
          <w:rFonts w:ascii="Times New Roman" w:hAnsi="Times New Roman" w:cs="Times New Roman"/>
          <w:b/>
          <w:bCs/>
          <w:strike/>
          <w:color w:val="000000" w:themeColor="text1"/>
        </w:rPr>
        <w:t>Autorità</w:t>
      </w:r>
      <w:r w:rsidR="00115361" w:rsidRPr="004A5029">
        <w:rPr>
          <w:rStyle w:val="Hyperlink0"/>
          <w:rFonts w:ascii="Times New Roman" w:hAnsi="Times New Roman" w:cs="Times New Roman"/>
          <w:b/>
          <w:bCs/>
          <w:strike/>
          <w:color w:val="000000" w:themeColor="text1"/>
        </w:rPr>
        <w:t xml:space="preserve">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color w:val="000000" w:themeColor="text1"/>
        </w:rPr>
        <w:t>:</w:t>
      </w:r>
    </w:p>
    <w:p w14:paraId="0349359C" w14:textId="5BD327B8"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a) vigila sui contratti pubblici, anche di interesse regionale, di lavori, servizi e forniture nei settori ordinari e nei settori speciali e sui contratti secretati o che esigono particolari misure di sicurezza, nonché sui contratti esclusi dall'ambito di applicazione del codice</w:t>
      </w:r>
      <w:r w:rsidRPr="004A5029">
        <w:rPr>
          <w:rStyle w:val="Nessuno"/>
          <w:rFonts w:ascii="Times New Roman" w:hAnsi="Times New Roman" w:cs="Times New Roman"/>
          <w:color w:val="000000" w:themeColor="text1"/>
        </w:rPr>
        <w:t xml:space="preserve">; </w:t>
      </w:r>
      <w:r w:rsidRPr="004A5029">
        <w:rPr>
          <w:rFonts w:ascii="Times New Roman" w:eastAsia="Times New Roman" w:hAnsi="Times New Roman" w:cs="Times New Roman"/>
          <w:color w:val="000000" w:themeColor="text1"/>
        </w:rPr>
        <w:t>nell’ambito dell’attività di vigilanza nei settori di cui alle lettere b), f), l), m) e in tutti gli altri casi previsti dal codice può irrogare per le violazioni accertate,</w:t>
      </w:r>
      <w:r w:rsidRPr="004A5029">
        <w:rPr>
          <w:rStyle w:val="Nessuno"/>
          <w:rFonts w:ascii="Times New Roman" w:hAnsi="Times New Roman" w:cs="Times New Roman"/>
          <w:color w:val="000000" w:themeColor="text1"/>
        </w:rPr>
        <w:t xml:space="preserve"> nel rispetto dei principi di cui alla </w:t>
      </w:r>
      <w:r w:rsidRPr="004A5029">
        <w:rPr>
          <w:rStyle w:val="Hyperlink5"/>
          <w:rFonts w:eastAsia="Arial Unicode MS"/>
          <w:b w:val="0"/>
          <w:bCs w:val="0"/>
          <w:color w:val="000000" w:themeColor="text1"/>
        </w:rPr>
        <w:t>legge 24 novembre 1981, n. 689 e secondo il proprio regolamento, sanzioni amministrative pecuniarie entro il limite minimo di euro 500</w:t>
      </w:r>
      <w:r w:rsidRPr="004A5029">
        <w:rPr>
          <w:rStyle w:val="Hyperlink5"/>
          <w:rFonts w:eastAsia="Arial Unicode MS"/>
          <w:b w:val="0"/>
          <w:bCs w:val="0"/>
          <w:strike/>
          <w:color w:val="000000" w:themeColor="text1"/>
        </w:rPr>
        <w:t>,00</w:t>
      </w:r>
      <w:r w:rsidRPr="004A5029">
        <w:rPr>
          <w:rStyle w:val="Hyperlink5"/>
          <w:rFonts w:eastAsia="Arial Unicode MS"/>
          <w:b w:val="0"/>
          <w:bCs w:val="0"/>
          <w:color w:val="000000" w:themeColor="text1"/>
        </w:rPr>
        <w:t xml:space="preserve"> e il limite massimo di euro</w:t>
      </w:r>
      <w:r w:rsidR="00F3759C" w:rsidRPr="004A5029">
        <w:rPr>
          <w:rStyle w:val="Hyperlink5"/>
          <w:rFonts w:eastAsia="Arial Unicode MS"/>
          <w:b w:val="0"/>
          <w:bCs w:val="0"/>
          <w:color w:val="000000" w:themeColor="text1"/>
        </w:rPr>
        <w:t xml:space="preserve"> </w:t>
      </w:r>
      <w:r w:rsidR="00F3759C" w:rsidRPr="004A5029">
        <w:rPr>
          <w:rStyle w:val="Hyperlink5"/>
          <w:rFonts w:eastAsia="Arial Unicode MS"/>
          <w:color w:val="000000" w:themeColor="text1"/>
        </w:rPr>
        <w:t>5.000</w:t>
      </w:r>
      <w:r w:rsidRPr="004A5029">
        <w:rPr>
          <w:rStyle w:val="Hyperlink5"/>
          <w:rFonts w:eastAsia="Arial Unicode MS"/>
          <w:color w:val="000000" w:themeColor="text1"/>
        </w:rPr>
        <w:t xml:space="preserve"> </w:t>
      </w:r>
      <w:r w:rsidRPr="004A5029">
        <w:rPr>
          <w:rStyle w:val="Hyperlink5"/>
          <w:rFonts w:eastAsia="Arial Unicode MS"/>
          <w:strike/>
          <w:color w:val="000000" w:themeColor="text1"/>
        </w:rPr>
        <w:t>50.000</w:t>
      </w:r>
      <w:r w:rsidRPr="004A5029">
        <w:rPr>
          <w:rStyle w:val="Hyperlink5"/>
          <w:rFonts w:eastAsia="Arial Unicode MS"/>
          <w:b w:val="0"/>
          <w:bCs w:val="0"/>
          <w:strike/>
          <w:color w:val="000000" w:themeColor="text1"/>
        </w:rPr>
        <w:t>,00</w:t>
      </w:r>
      <w:r w:rsidRPr="004A5029">
        <w:rPr>
          <w:rStyle w:val="Hyperlink5"/>
          <w:rFonts w:eastAsia="Arial Unicode MS"/>
          <w:b w:val="0"/>
          <w:bCs w:val="0"/>
          <w:color w:val="000000" w:themeColor="text1"/>
        </w:rPr>
        <w:t>. La sottoposizione a sanzioni pecuniarie e l’eventuale recidiva sono valutate ai fini della qualificazione delle stazioni appaltanti ai sensi dell’articolo 63;</w:t>
      </w:r>
    </w:p>
    <w:p w14:paraId="0335E64B" w14:textId="77777777"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5"/>
          <w:rFonts w:eastAsia="Arial Unicode MS"/>
          <w:b w:val="0"/>
          <w:bCs w:val="0"/>
          <w:color w:val="000000" w:themeColor="text1"/>
        </w:rPr>
        <w:t>b) vigila sulla corretta esecuzione dei contratti pubblici</w:t>
      </w:r>
      <w:r w:rsidRPr="004A5029">
        <w:rPr>
          <w:rStyle w:val="Hyperlink0"/>
          <w:rFonts w:ascii="Times New Roman" w:hAnsi="Times New Roman" w:cs="Times New Roman"/>
          <w:color w:val="000000" w:themeColor="text1"/>
        </w:rPr>
        <w:t>;</w:t>
      </w:r>
    </w:p>
    <w:p w14:paraId="4D6B6884" w14:textId="77777777"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c) segnala al Governo e al Parlamento, con apposito atto, fenomeni particolarmente gravi di inosservanza o di applicazione distorta della normativa di settore;</w:t>
      </w:r>
    </w:p>
    <w:p w14:paraId="1EA9DACD" w14:textId="77777777"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d) formula al Governo proposte in ordine a modifiche occorrenti in relazione alla normativa vigente di settore;</w:t>
      </w:r>
    </w:p>
    <w:p w14:paraId="00C4AEE3" w14:textId="33713916" w:rsidR="0083753D" w:rsidRPr="004A5029" w:rsidRDefault="0083753D" w:rsidP="0083753D">
      <w:pPr>
        <w:pStyle w:val="Standard"/>
        <w:spacing w:after="160" w:line="259" w:lineRule="auto"/>
        <w:jc w:val="both"/>
        <w:rPr>
          <w:rStyle w:val="Hyperlink1"/>
          <w:rFonts w:ascii="Times New Roman" w:eastAsia="Times New Roman" w:hAnsi="Times New Roman" w:cs="Times New Roman"/>
          <w:i/>
          <w:iCs/>
          <w:color w:val="000000" w:themeColor="text1"/>
        </w:rPr>
      </w:pPr>
      <w:r w:rsidRPr="004A5029">
        <w:rPr>
          <w:rStyle w:val="Nessuno"/>
          <w:rFonts w:ascii="Times New Roman" w:hAnsi="Times New Roman" w:cs="Times New Roman"/>
          <w:color w:val="000000" w:themeColor="text1"/>
        </w:rPr>
        <w:t xml:space="preserve">e) predispone e invia al Governo e al Parlamento la relazione </w:t>
      </w:r>
      <w:r w:rsidRPr="004A5029">
        <w:rPr>
          <w:rFonts w:ascii="Times New Roman" w:eastAsia="Times New Roman" w:hAnsi="Times New Roman" w:cs="Times New Roman"/>
          <w:color w:val="000000" w:themeColor="text1"/>
        </w:rPr>
        <w:t>annuale sull'attività svolta,</w:t>
      </w:r>
      <w:r w:rsidRPr="004A5029">
        <w:rPr>
          <w:rFonts w:ascii="Times New Roman" w:hAnsi="Times New Roman" w:cs="Times New Roman"/>
          <w:color w:val="000000" w:themeColor="text1"/>
        </w:rPr>
        <w:t xml:space="preserve"> </w:t>
      </w:r>
      <w:r w:rsidRPr="004A5029">
        <w:rPr>
          <w:rStyle w:val="Nessuno"/>
          <w:rFonts w:ascii="Times New Roman" w:hAnsi="Times New Roman" w:cs="Times New Roman"/>
          <w:color w:val="000000" w:themeColor="text1"/>
        </w:rPr>
        <w:t xml:space="preserve">prevista dall'articolo </w:t>
      </w:r>
      <w:hyperlink r:id="rId41">
        <w:r w:rsidRPr="004A5029">
          <w:rPr>
            <w:rStyle w:val="Hyperlink6"/>
            <w:rFonts w:ascii="Times New Roman" w:hAnsi="Times New Roman" w:cs="Times New Roman"/>
            <w:color w:val="000000" w:themeColor="text1"/>
          </w:rPr>
          <w:t>1, comma 2</w:t>
        </w:r>
      </w:hyperlink>
      <w:r w:rsidRPr="004A5029">
        <w:rPr>
          <w:rStyle w:val="Hyperlink6"/>
          <w:rFonts w:ascii="Times New Roman" w:hAnsi="Times New Roman" w:cs="Times New Roman"/>
          <w:color w:val="000000" w:themeColor="text1"/>
        </w:rPr>
        <w:t>, della legge 6 novembre 2012, n. 190</w:t>
      </w:r>
      <w:r w:rsidRPr="004A5029">
        <w:rPr>
          <w:rFonts w:ascii="Times New Roman" w:eastAsia="Times New Roman" w:hAnsi="Times New Roman" w:cs="Times New Roman"/>
          <w:color w:val="000000" w:themeColor="text1"/>
        </w:rPr>
        <w:t xml:space="preserve">, </w:t>
      </w:r>
      <w:r w:rsidRPr="004A5029">
        <w:rPr>
          <w:rStyle w:val="Hyperlink6"/>
          <w:rFonts w:ascii="Times New Roman" w:hAnsi="Times New Roman" w:cs="Times New Roman"/>
          <w:color w:val="000000" w:themeColor="text1"/>
        </w:rPr>
        <w:t>evidenziando le disfunzioni riscontrate nell'esercizio delle proprie funzioni;</w:t>
      </w:r>
    </w:p>
    <w:p w14:paraId="6E21872A" w14:textId="77777777"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f) vigila sul sistema di qualificazione degli esecutori dei contratti pubblici di lavori ed esercita i correlati poteri sanzionatori;</w:t>
      </w:r>
    </w:p>
    <w:p w14:paraId="0A1ED8C7" w14:textId="19A7C8DA"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g) vigila sul divieto di affidamento dei contratti attraverso procedure diverse rispetto a quelle ordinarie e opera un controllo sulla corretta applicazione della specifica disciplina derogatoria prevista per i casi di somma urgenza e di protezione civile</w:t>
      </w:r>
      <w:r w:rsidRPr="004A5029">
        <w:rPr>
          <w:rFonts w:ascii="Times New Roman" w:hAnsi="Times New Roman" w:cs="Times New Roman"/>
          <w:color w:val="000000" w:themeColor="text1"/>
        </w:rPr>
        <w:t xml:space="preserve"> </w:t>
      </w:r>
      <w:r w:rsidRPr="004A5029">
        <w:rPr>
          <w:rStyle w:val="Hyperlink0"/>
          <w:rFonts w:ascii="Times New Roman" w:hAnsi="Times New Roman" w:cs="Times New Roman"/>
          <w:color w:val="000000" w:themeColor="text1"/>
        </w:rPr>
        <w:t xml:space="preserve">di cui all'articolo 140; </w:t>
      </w:r>
    </w:p>
    <w:p w14:paraId="3C58A9C5" w14:textId="6DF040E8" w:rsidR="0083753D" w:rsidRPr="004A5029" w:rsidRDefault="0083753D" w:rsidP="000A1F1C">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0"/>
          <w:rFonts w:ascii="Times New Roman" w:hAnsi="Times New Roman" w:cs="Times New Roman"/>
          <w:color w:val="000000" w:themeColor="text1"/>
        </w:rPr>
        <w:t>h) per affidamenti di particolare interesse, svolge attività di vigilanza collaborativa attuata previa stipula di protocolli di intesa con le stazioni appaltanti richiedenti, finalizzata a sostenere le medesime nella predisposizione degli atti</w:t>
      </w:r>
      <w:r w:rsidRPr="004A5029">
        <w:rPr>
          <w:rStyle w:val="Hyperlink5"/>
          <w:rFonts w:eastAsia="Arial Unicode MS"/>
          <w:b w:val="0"/>
          <w:bCs w:val="0"/>
          <w:color w:val="000000" w:themeColor="text1"/>
        </w:rPr>
        <w:t>,</w:t>
      </w:r>
      <w:r w:rsidRPr="004A5029">
        <w:rPr>
          <w:rStyle w:val="Hyperlink0"/>
          <w:rFonts w:ascii="Times New Roman" w:hAnsi="Times New Roman" w:cs="Times New Roman"/>
          <w:color w:val="000000" w:themeColor="text1"/>
        </w:rPr>
        <w:t xml:space="preserve"> nell'attività di gestione dell'intera procedura di gara </w:t>
      </w:r>
      <w:r w:rsidRPr="004A5029">
        <w:rPr>
          <w:rStyle w:val="Hyperlink5"/>
          <w:rFonts w:eastAsia="Arial Unicode MS"/>
          <w:b w:val="0"/>
          <w:bCs w:val="0"/>
          <w:color w:val="000000" w:themeColor="text1"/>
        </w:rPr>
        <w:t>e nella fase di esecuzione del contratto</w:t>
      </w:r>
      <w:r w:rsidRPr="004A5029">
        <w:rPr>
          <w:rStyle w:val="Hyperlink0"/>
          <w:rFonts w:ascii="Times New Roman" w:hAnsi="Times New Roman" w:cs="Times New Roman"/>
          <w:color w:val="000000" w:themeColor="text1"/>
        </w:rPr>
        <w:t>;</w:t>
      </w:r>
      <w:r w:rsidRPr="004A5029">
        <w:rPr>
          <w:rStyle w:val="Hyperlink5"/>
          <w:rFonts w:eastAsia="Arial Unicode MS"/>
          <w:b w:val="0"/>
          <w:bCs w:val="0"/>
          <w:color w:val="000000" w:themeColor="text1"/>
        </w:rPr>
        <w:t xml:space="preserve"> il persistente mancato rispetto, da parte delle stazioni appaltanti firmatarie dei protocolli di intesa, delle indicazioni dell’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5"/>
          <w:rFonts w:eastAsia="Arial Unicode MS"/>
          <w:b w:val="0"/>
          <w:bCs w:val="0"/>
          <w:color w:val="000000" w:themeColor="text1"/>
        </w:rPr>
        <w:t>, qualora non adeguatamente motivato, è valutato ai fini della qualificazione delle medesime stazioni appaltanti ai sensi dell’articolo 63</w:t>
      </w:r>
      <w:r w:rsidRPr="004A5029">
        <w:rPr>
          <w:rStyle w:val="Hyperlink0"/>
          <w:rFonts w:ascii="Times New Roman" w:hAnsi="Times New Roman" w:cs="Times New Roman"/>
          <w:color w:val="000000" w:themeColor="text1"/>
        </w:rPr>
        <w:t xml:space="preserve">; </w:t>
      </w:r>
    </w:p>
    <w:p w14:paraId="44A774AD" w14:textId="77777777" w:rsidR="0083753D" w:rsidRPr="004A5029" w:rsidRDefault="0083753D" w:rsidP="000A1F1C">
      <w:pPr>
        <w:pStyle w:val="Standard"/>
        <w:spacing w:after="160" w:line="259" w:lineRule="auto"/>
        <w:jc w:val="both"/>
        <w:rPr>
          <w:rStyle w:val="Hyperlink0"/>
          <w:rFonts w:ascii="Times New Roman" w:hAnsi="Times New Roman" w:cs="Times New Roman"/>
          <w:color w:val="000000" w:themeColor="text1"/>
        </w:rPr>
      </w:pPr>
      <w:r w:rsidRPr="004A5029">
        <w:rPr>
          <w:rStyle w:val="Hyperlink5"/>
          <w:rFonts w:eastAsia="Arial Unicode MS"/>
          <w:b w:val="0"/>
          <w:bCs w:val="0"/>
          <w:color w:val="000000" w:themeColor="text1"/>
        </w:rPr>
        <w:t>i</w:t>
      </w:r>
      <w:r w:rsidRPr="004A5029">
        <w:rPr>
          <w:rStyle w:val="Hyperlink0"/>
          <w:rFonts w:ascii="Times New Roman" w:hAnsi="Times New Roman" w:cs="Times New Roman"/>
          <w:color w:val="000000" w:themeColor="text1"/>
        </w:rPr>
        <w:t xml:space="preserve">) per favorire l'economicità dei contratti pubblici e la trasparenza delle condizioni di acquisto, elabora </w:t>
      </w:r>
      <w:r w:rsidRPr="004A5029">
        <w:rPr>
          <w:rStyle w:val="Hyperlink5"/>
          <w:rFonts w:eastAsia="Arial Unicode MS"/>
          <w:b w:val="0"/>
          <w:bCs w:val="0"/>
          <w:color w:val="000000" w:themeColor="text1"/>
        </w:rPr>
        <w:t>con appositi atti di indirizzo</w:t>
      </w:r>
      <w:r w:rsidRPr="004A5029">
        <w:rPr>
          <w:rStyle w:val="Hyperlink0"/>
          <w:rFonts w:ascii="Times New Roman" w:hAnsi="Times New Roman" w:cs="Times New Roman"/>
          <w:color w:val="000000" w:themeColor="text1"/>
        </w:rPr>
        <w:t>, fatte salve le normative di settore, costi standard dei lavori e prezzi di riferimento di beni e servizi, tra quelli di maggiore impatto in termini di costo a carico della pubblica amministrazione;  si avvale a tal fine, sulla base di apposite convenzioni, del supporto dell'ISTAT e degli altri enti del Sistema statistico nazionale, secondo le condizioni di maggiore efficienza, ed eventualmente anche delle informazioni contenute nelle banche dati esistenti presso altre amministrazioni pubbliche e altri soggetti operanti nel settore dei contratti pubblici;</w:t>
      </w:r>
    </w:p>
    <w:p w14:paraId="0EE1D43C" w14:textId="77777777"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Style w:val="Hyperlink1"/>
          <w:rFonts w:ascii="Times New Roman" w:eastAsia="Times New Roman" w:hAnsi="Times New Roman" w:cs="Times New Roman"/>
          <w:color w:val="000000" w:themeColor="text1"/>
        </w:rPr>
        <w:t>l) esercita le funzioni di cui all’articolo 63 in relazione alla qualificazione delle stazioni appaltanti;</w:t>
      </w:r>
    </w:p>
    <w:p w14:paraId="3DBDC04A" w14:textId="4B0F6E7A" w:rsidR="0083753D" w:rsidRPr="004A5029" w:rsidRDefault="0083753D" w:rsidP="0083753D">
      <w:pPr>
        <w:pStyle w:val="Standard"/>
        <w:spacing w:after="160" w:line="259" w:lineRule="auto"/>
        <w:jc w:val="both"/>
        <w:rPr>
          <w:rStyle w:val="Hyperlink1"/>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m) esercita le funzioni di cui all’articolo 23 </w:t>
      </w:r>
      <w:r w:rsidRPr="004A5029">
        <w:rPr>
          <w:rFonts w:ascii="Times New Roman" w:eastAsia="Times New Roman" w:hAnsi="Times New Roman" w:cs="Times New Roman"/>
          <w:bCs/>
          <w:color w:val="000000" w:themeColor="text1"/>
        </w:rPr>
        <w:t xml:space="preserve">e contribuisce al coordinamento della digitalizzazione del sistema dei contratti pubblici da parte della </w:t>
      </w:r>
      <w:r w:rsidR="000364DE" w:rsidRPr="004A5029">
        <w:rPr>
          <w:rFonts w:ascii="Times New Roman" w:eastAsia="Times New Roman" w:hAnsi="Times New Roman" w:cs="Times New Roman"/>
          <w:bCs/>
          <w:color w:val="000000" w:themeColor="text1"/>
        </w:rPr>
        <w:t>C</w:t>
      </w:r>
      <w:r w:rsidRPr="004A5029">
        <w:rPr>
          <w:rFonts w:ascii="Times New Roman" w:eastAsia="Times New Roman" w:hAnsi="Times New Roman" w:cs="Times New Roman"/>
          <w:bCs/>
          <w:color w:val="000000" w:themeColor="text1"/>
        </w:rPr>
        <w:t>abina di regia</w:t>
      </w:r>
      <w:r w:rsidRPr="004A5029">
        <w:rPr>
          <w:rFonts w:ascii="Times New Roman" w:eastAsia="Times New Roman" w:hAnsi="Times New Roman" w:cs="Times New Roman"/>
          <w:color w:val="000000" w:themeColor="text1"/>
        </w:rPr>
        <w:t>.</w:t>
      </w:r>
    </w:p>
    <w:p w14:paraId="53F970C2" w14:textId="616D2AB4"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4.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gestisce il sistema di qualificazione delle stazioni appaltanti e delle centrali di committenza.</w:t>
      </w:r>
    </w:p>
    <w:p w14:paraId="4E41BCDA" w14:textId="494B5DEF"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5. Nell'ambito dello svolgimento della propria attività,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 xml:space="preserve">può disporre ispezioni, anche su richiesta motivata di chiunque ne abbia interesse, avvalendosi eventualmente della collaborazione di altri organi dello Stato nonché dell'ausilio del Corpo della Guardia di </w:t>
      </w:r>
      <w:r w:rsidRPr="004A5029">
        <w:rPr>
          <w:rStyle w:val="Hyperlink0"/>
          <w:rFonts w:ascii="Times New Roman" w:hAnsi="Times New Roman" w:cs="Times New Roman"/>
          <w:b/>
          <w:bCs/>
          <w:strike/>
          <w:color w:val="000000" w:themeColor="text1"/>
        </w:rPr>
        <w:t>F</w:t>
      </w:r>
      <w:r w:rsidR="009E28D3" w:rsidRPr="004A5029">
        <w:rPr>
          <w:rStyle w:val="Hyperlink0"/>
          <w:rFonts w:ascii="Times New Roman" w:hAnsi="Times New Roman" w:cs="Times New Roman"/>
          <w:b/>
          <w:bCs/>
          <w:color w:val="000000" w:themeColor="text1"/>
        </w:rPr>
        <w:t>f</w:t>
      </w:r>
      <w:r w:rsidRPr="004A5029">
        <w:rPr>
          <w:rStyle w:val="Hyperlink0"/>
          <w:rFonts w:ascii="Times New Roman" w:hAnsi="Times New Roman" w:cs="Times New Roman"/>
          <w:color w:val="000000" w:themeColor="text1"/>
        </w:rPr>
        <w:t>inanza, che esegue le verifiche e gli accertamenti richiesti agendo con i poteri di indagine a esso attribuiti ai fini degli accertamenti relativi all'imposta sul valore aggiunto e alle imposte sui redditi.</w:t>
      </w:r>
    </w:p>
    <w:p w14:paraId="60D56B6E" w14:textId="7734073F" w:rsidR="0083753D" w:rsidRPr="004A5029" w:rsidRDefault="0083753D" w:rsidP="0083753D">
      <w:pPr>
        <w:pStyle w:val="Standard"/>
        <w:spacing w:after="160" w:line="259" w:lineRule="auto"/>
        <w:jc w:val="both"/>
        <w:rPr>
          <w:rStyle w:val="Nessuno"/>
          <w:rFonts w:ascii="Times New Roman" w:hAnsi="Times New Roman" w:cs="Times New Roman"/>
          <w:color w:val="000000" w:themeColor="text1"/>
          <w:u w:color="333333"/>
          <w:shd w:val="clear" w:color="auto" w:fill="FFFFFF"/>
        </w:rPr>
      </w:pPr>
      <w:r w:rsidRPr="004A5029">
        <w:rPr>
          <w:rStyle w:val="Nessuno"/>
          <w:rFonts w:ascii="Times New Roman" w:hAnsi="Times New Roman" w:cs="Times New Roman"/>
          <w:color w:val="000000" w:themeColor="text1"/>
        </w:rPr>
        <w:t>6. Qualora accerti l'esistenza di irregolarità,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Nessuno"/>
          <w:rFonts w:ascii="Times New Roman" w:hAnsi="Times New Roman" w:cs="Times New Roman"/>
          <w:b/>
          <w:bCs/>
          <w:color w:val="000000" w:themeColor="text1"/>
        </w:rPr>
        <w:t xml:space="preserve"> </w:t>
      </w:r>
      <w:r w:rsidRPr="004A5029">
        <w:rPr>
          <w:rStyle w:val="Nessuno"/>
          <w:rFonts w:ascii="Times New Roman" w:hAnsi="Times New Roman" w:cs="Times New Roman"/>
          <w:color w:val="000000" w:themeColor="text1"/>
        </w:rPr>
        <w:t>trasmette gli atti e i propri rilievi agli organi di controllo e, se le irregolarità hanno rilevanza penale, alle competenti Procure della Repubblica. Qualora accerti che dalla esecuzione dei contratti pubblici derivi pregiudizio per il pubblico erario, gli atti e i rilievi sono trasmessi anche ai soggetti interessati e alla Procura generale della Corte dei conti.</w:t>
      </w:r>
    </w:p>
    <w:p w14:paraId="12CFC435" w14:textId="70ECE637" w:rsidR="0083753D" w:rsidRPr="004A5029" w:rsidRDefault="0083753D" w:rsidP="0083753D">
      <w:pPr>
        <w:pStyle w:val="Standard"/>
        <w:spacing w:after="160" w:line="259" w:lineRule="auto"/>
        <w:jc w:val="both"/>
        <w:rPr>
          <w:rStyle w:val="Nessuno"/>
          <w:rFonts w:ascii="Times New Roman" w:hAnsi="Times New Roman" w:cs="Times New Roman"/>
          <w:color w:val="000000" w:themeColor="text1"/>
        </w:rPr>
      </w:pPr>
      <w:r w:rsidRPr="004A5029">
        <w:rPr>
          <w:rStyle w:val="Nessuno"/>
          <w:rFonts w:ascii="Times New Roman" w:hAnsi="Times New Roman" w:cs="Times New Roman"/>
          <w:color w:val="000000" w:themeColor="text1"/>
        </w:rPr>
        <w:t>7.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Nessuno"/>
          <w:rFonts w:ascii="Times New Roman" w:hAnsi="Times New Roman" w:cs="Times New Roman"/>
          <w:b/>
          <w:bCs/>
          <w:color w:val="000000" w:themeColor="text1"/>
        </w:rPr>
        <w:t xml:space="preserve"> </w:t>
      </w:r>
      <w:r w:rsidRPr="004A5029">
        <w:rPr>
          <w:rStyle w:val="Nessuno"/>
          <w:rFonts w:ascii="Times New Roman" w:hAnsi="Times New Roman" w:cs="Times New Roman"/>
          <w:color w:val="000000" w:themeColor="text1"/>
        </w:rPr>
        <w:t xml:space="preserve">collabora con l'Autorità </w:t>
      </w:r>
      <w:r w:rsidR="000364DE" w:rsidRPr="004A5029">
        <w:rPr>
          <w:rStyle w:val="Nessuno"/>
          <w:rFonts w:ascii="Times New Roman" w:hAnsi="Times New Roman" w:cs="Times New Roman"/>
          <w:color w:val="000000" w:themeColor="text1"/>
        </w:rPr>
        <w:t>g</w:t>
      </w:r>
      <w:r w:rsidRPr="004A5029">
        <w:rPr>
          <w:rStyle w:val="Nessuno"/>
          <w:rFonts w:ascii="Times New Roman" w:hAnsi="Times New Roman" w:cs="Times New Roman"/>
          <w:color w:val="000000" w:themeColor="text1"/>
        </w:rPr>
        <w:t xml:space="preserve">arante della </w:t>
      </w:r>
      <w:r w:rsidR="000364DE" w:rsidRPr="004A5029">
        <w:rPr>
          <w:rStyle w:val="Nessuno"/>
          <w:rFonts w:ascii="Times New Roman" w:hAnsi="Times New Roman" w:cs="Times New Roman"/>
          <w:color w:val="000000" w:themeColor="text1"/>
        </w:rPr>
        <w:t>c</w:t>
      </w:r>
      <w:r w:rsidRPr="004A5029">
        <w:rPr>
          <w:rStyle w:val="Nessuno"/>
          <w:rFonts w:ascii="Times New Roman" w:hAnsi="Times New Roman" w:cs="Times New Roman"/>
          <w:color w:val="000000" w:themeColor="text1"/>
        </w:rPr>
        <w:t xml:space="preserve">oncorrenza e del </w:t>
      </w:r>
      <w:r w:rsidR="000364DE" w:rsidRPr="004A5029">
        <w:rPr>
          <w:rStyle w:val="Nessuno"/>
          <w:rFonts w:ascii="Times New Roman" w:hAnsi="Times New Roman" w:cs="Times New Roman"/>
          <w:color w:val="000000" w:themeColor="text1"/>
        </w:rPr>
        <w:t>m</w:t>
      </w:r>
      <w:r w:rsidRPr="004A5029">
        <w:rPr>
          <w:rStyle w:val="Nessuno"/>
          <w:rFonts w:ascii="Times New Roman" w:hAnsi="Times New Roman" w:cs="Times New Roman"/>
          <w:color w:val="000000" w:themeColor="text1"/>
        </w:rPr>
        <w:t xml:space="preserve">ercato per la rilevazione di comportamenti aziendali meritevoli di valutazione al fine dell'attribuzione del </w:t>
      </w:r>
      <w:r w:rsidRPr="004A5029">
        <w:rPr>
          <w:rStyle w:val="Nessuno"/>
          <w:rFonts w:ascii="Times New Roman" w:hAnsi="Times New Roman" w:cs="Times New Roman"/>
          <w:b/>
          <w:bCs/>
          <w:strike/>
          <w:color w:val="000000" w:themeColor="text1"/>
        </w:rPr>
        <w:t>“Rating di legalità”</w:t>
      </w:r>
      <w:r w:rsidRPr="004A5029">
        <w:rPr>
          <w:rStyle w:val="Nessuno"/>
          <w:rFonts w:ascii="Times New Roman" w:hAnsi="Times New Roman" w:cs="Times New Roman"/>
          <w:b/>
          <w:bCs/>
          <w:color w:val="000000" w:themeColor="text1"/>
        </w:rPr>
        <w:t xml:space="preserve"> </w:t>
      </w:r>
      <w:r w:rsidR="00056B37" w:rsidRPr="004A5029">
        <w:rPr>
          <w:rStyle w:val="Nessuno"/>
          <w:rFonts w:ascii="Times New Roman" w:hAnsi="Times New Roman" w:cs="Times New Roman"/>
          <w:b/>
          <w:bCs/>
          <w:color w:val="000000" w:themeColor="text1"/>
        </w:rPr>
        <w:t>rating di legalità</w:t>
      </w:r>
      <w:r w:rsidR="00056B37" w:rsidRPr="004A5029">
        <w:rPr>
          <w:rStyle w:val="Nessuno"/>
          <w:rFonts w:ascii="Times New Roman" w:hAnsi="Times New Roman" w:cs="Times New Roman"/>
          <w:color w:val="000000" w:themeColor="text1"/>
        </w:rPr>
        <w:t xml:space="preserve"> </w:t>
      </w:r>
      <w:r w:rsidRPr="004A5029">
        <w:rPr>
          <w:rStyle w:val="Nessuno"/>
          <w:rFonts w:ascii="Times New Roman" w:hAnsi="Times New Roman" w:cs="Times New Roman"/>
          <w:color w:val="000000" w:themeColor="text1"/>
        </w:rPr>
        <w:t xml:space="preserve">delle imprese di cui all'articolo </w:t>
      </w:r>
      <w:hyperlink r:id="rId42">
        <w:r w:rsidRPr="004A5029">
          <w:rPr>
            <w:rStyle w:val="Hyperlink7"/>
            <w:rFonts w:ascii="Times New Roman" w:hAnsi="Times New Roman" w:cs="Times New Roman"/>
            <w:color w:val="000000" w:themeColor="text1"/>
          </w:rPr>
          <w:t>5-</w:t>
        </w:r>
        <w:r w:rsidRPr="004A5029">
          <w:rPr>
            <w:rStyle w:val="Hyperlink7"/>
            <w:rFonts w:ascii="Times New Roman" w:hAnsi="Times New Roman" w:cs="Times New Roman"/>
            <w:i/>
            <w:iCs/>
            <w:color w:val="000000" w:themeColor="text1"/>
          </w:rPr>
          <w:t>ter</w:t>
        </w:r>
      </w:hyperlink>
      <w:r w:rsidRPr="004A5029">
        <w:rPr>
          <w:rStyle w:val="Hyperlink7"/>
          <w:rFonts w:ascii="Times New Roman" w:hAnsi="Times New Roman" w:cs="Times New Roman"/>
          <w:color w:val="000000" w:themeColor="text1"/>
        </w:rPr>
        <w:t xml:space="preserve"> del decreto-legge 24 gennaio 2012, n. 1, convertito, con modificazioni, dalla </w:t>
      </w:r>
      <w:hyperlink r:id="rId43">
        <w:r w:rsidRPr="004A5029">
          <w:rPr>
            <w:rStyle w:val="Hyperlink7"/>
            <w:rFonts w:ascii="Times New Roman" w:hAnsi="Times New Roman" w:cs="Times New Roman"/>
            <w:color w:val="000000" w:themeColor="text1"/>
          </w:rPr>
          <w:t>legge 24 marzo 2012, n. 27</w:t>
        </w:r>
      </w:hyperlink>
      <w:r w:rsidRPr="004A5029">
        <w:rPr>
          <w:rStyle w:val="Hyperlink7"/>
          <w:rFonts w:ascii="Times New Roman" w:hAnsi="Times New Roman" w:cs="Times New Roman"/>
          <w:color w:val="000000" w:themeColor="text1"/>
        </w:rPr>
        <w:t xml:space="preserve">. Il </w:t>
      </w:r>
      <w:r w:rsidRPr="004A5029">
        <w:rPr>
          <w:rStyle w:val="Hyperlink7"/>
          <w:rFonts w:ascii="Times New Roman" w:hAnsi="Times New Roman" w:cs="Times New Roman"/>
          <w:b/>
          <w:bCs/>
          <w:strike/>
          <w:color w:val="000000" w:themeColor="text1"/>
        </w:rPr>
        <w:t>R</w:t>
      </w:r>
      <w:r w:rsidR="00056B37" w:rsidRPr="004A5029">
        <w:rPr>
          <w:rStyle w:val="Hyperlink7"/>
          <w:rFonts w:ascii="Times New Roman" w:hAnsi="Times New Roman" w:cs="Times New Roman"/>
          <w:b/>
          <w:bCs/>
          <w:color w:val="000000" w:themeColor="text1"/>
        </w:rPr>
        <w:t>r</w:t>
      </w:r>
      <w:r w:rsidRPr="004A5029">
        <w:rPr>
          <w:rStyle w:val="Hyperlink7"/>
          <w:rFonts w:ascii="Times New Roman" w:hAnsi="Times New Roman" w:cs="Times New Roman"/>
          <w:color w:val="000000" w:themeColor="text1"/>
        </w:rPr>
        <w:t>ating di legalità concorre anche alla determinazione della reputazione dell’impresa di cui all'</w:t>
      </w:r>
      <w:r w:rsidRPr="004A5029">
        <w:rPr>
          <w:rStyle w:val="Hyperlink7"/>
          <w:rFonts w:ascii="Times New Roman" w:hAnsi="Times New Roman" w:cs="Times New Roman"/>
          <w:bCs/>
          <w:color w:val="000000" w:themeColor="text1"/>
        </w:rPr>
        <w:t>articolo 109</w:t>
      </w:r>
      <w:r w:rsidRPr="004A5029">
        <w:rPr>
          <w:rStyle w:val="Hyperlink7"/>
          <w:rFonts w:ascii="Times New Roman" w:hAnsi="Times New Roman" w:cs="Times New Roman"/>
          <w:color w:val="000000" w:themeColor="text1"/>
        </w:rPr>
        <w:t>. </w:t>
      </w:r>
    </w:p>
    <w:p w14:paraId="341CD07E" w14:textId="65B8C905" w:rsidR="0083753D" w:rsidRPr="004A5029" w:rsidRDefault="0083753D" w:rsidP="0083753D">
      <w:pPr>
        <w:pStyle w:val="Standard"/>
        <w:spacing w:after="160" w:line="259" w:lineRule="auto"/>
        <w:jc w:val="both"/>
        <w:rPr>
          <w:rStyle w:val="Nessuno"/>
          <w:rFonts w:ascii="Times New Roman" w:hAnsi="Times New Roman" w:cs="Times New Roman"/>
          <w:color w:val="000000" w:themeColor="text1"/>
        </w:rPr>
      </w:pPr>
      <w:r w:rsidRPr="004A5029">
        <w:rPr>
          <w:rStyle w:val="Hyperlink0"/>
          <w:rFonts w:ascii="Times New Roman" w:hAnsi="Times New Roman" w:cs="Times New Roman"/>
          <w:color w:val="000000" w:themeColor="text1"/>
        </w:rPr>
        <w:t>8. Per le finalità di cui al comma 2,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utilizza la Banca dati nazionale dei contratti pubblici</w:t>
      </w:r>
      <w:r w:rsidRPr="004A5029">
        <w:rPr>
          <w:rStyle w:val="Hyperlink0"/>
          <w:rFonts w:ascii="Times New Roman" w:hAnsi="Times New Roman" w:cs="Times New Roman"/>
          <w:strike/>
          <w:color w:val="000000" w:themeColor="text1"/>
        </w:rPr>
        <w:t>,</w:t>
      </w:r>
      <w:r w:rsidRPr="004A5029">
        <w:rPr>
          <w:rStyle w:val="Hyperlink0"/>
          <w:rFonts w:ascii="Times New Roman" w:hAnsi="Times New Roman" w:cs="Times New Roman"/>
          <w:color w:val="000000" w:themeColor="text1"/>
        </w:rPr>
        <w:t xml:space="preserve"> di cui all’</w:t>
      </w:r>
      <w:r w:rsidRPr="004A5029">
        <w:rPr>
          <w:rStyle w:val="Hyperlink0"/>
          <w:rFonts w:ascii="Times New Roman" w:hAnsi="Times New Roman" w:cs="Times New Roman"/>
          <w:bCs/>
          <w:color w:val="000000" w:themeColor="text1"/>
        </w:rPr>
        <w:t>articolo 23</w:t>
      </w:r>
      <w:r w:rsidRPr="004A5029">
        <w:rPr>
          <w:rStyle w:val="Hyperlink0"/>
          <w:rFonts w:ascii="Times New Roman" w:hAnsi="Times New Roman" w:cs="Times New Roman"/>
          <w:color w:val="000000" w:themeColor="text1"/>
        </w:rPr>
        <w:t>.</w:t>
      </w:r>
    </w:p>
    <w:p w14:paraId="5FA64CBD" w14:textId="2A2F98C9"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 xml:space="preserve">9. Al fine di consentire l’adempimento degli obblighi di trasmissione previsti dagli articoli 23, comma 5, e 28, comma 1, la stazione appaltante o l’ente concedente invia senza indugio i dati, secondo le indicazioni fornite dall’ANAC con proprio provvedimento. </w:t>
      </w:r>
      <w:r w:rsidRPr="004A5029">
        <w:rPr>
          <w:rStyle w:val="Hyperlink0"/>
          <w:rFonts w:ascii="Times New Roman" w:hAnsi="Times New Roman" w:cs="Times New Roman"/>
          <w:b/>
          <w:bCs/>
          <w:strike/>
          <w:color w:val="000000" w:themeColor="text1"/>
        </w:rPr>
        <w:t xml:space="preserve">L’inadempimento dell’obbligo è sanzionato dall’ANAC con l’applicazione di una sanzione amministrativa pecuniaria da 500 </w:t>
      </w:r>
      <w:r w:rsidR="000364DE" w:rsidRPr="004A5029">
        <w:rPr>
          <w:rStyle w:val="Hyperlink0"/>
          <w:rFonts w:ascii="Times New Roman" w:hAnsi="Times New Roman" w:cs="Times New Roman"/>
          <w:b/>
          <w:bCs/>
          <w:strike/>
          <w:color w:val="000000" w:themeColor="text1"/>
        </w:rPr>
        <w:t xml:space="preserve">euro </w:t>
      </w:r>
      <w:r w:rsidRPr="004A5029">
        <w:rPr>
          <w:rStyle w:val="Hyperlink0"/>
          <w:rFonts w:ascii="Times New Roman" w:hAnsi="Times New Roman" w:cs="Times New Roman"/>
          <w:b/>
          <w:bCs/>
          <w:strike/>
          <w:color w:val="000000" w:themeColor="text1"/>
        </w:rPr>
        <w:t xml:space="preserve">a 10.000 euro, a carico del RUP, con l’applicazione della stessa in misura minima in caso di trasmissione della documentazione mancante entro 10 </w:t>
      </w:r>
      <w:r w:rsidR="004E4B92" w:rsidRPr="004A5029">
        <w:rPr>
          <w:rStyle w:val="Hyperlink0"/>
          <w:rFonts w:ascii="Times New Roman" w:hAnsi="Times New Roman" w:cs="Times New Roman"/>
          <w:b/>
          <w:bCs/>
          <w:strike/>
          <w:color w:val="000000" w:themeColor="text1"/>
        </w:rPr>
        <w:t xml:space="preserve">dieci </w:t>
      </w:r>
      <w:r w:rsidRPr="004A5029">
        <w:rPr>
          <w:rStyle w:val="Hyperlink0"/>
          <w:rFonts w:ascii="Times New Roman" w:hAnsi="Times New Roman" w:cs="Times New Roman"/>
          <w:b/>
          <w:bCs/>
          <w:strike/>
          <w:color w:val="000000" w:themeColor="text1"/>
        </w:rPr>
        <w:t xml:space="preserve">giorni dalla contestazione. La sanzione è ulteriormente ridotta alla metà se, oltre alla trasmissione della documentazione, il pagamento avviene entro 30 </w:t>
      </w:r>
      <w:r w:rsidR="004E4B92" w:rsidRPr="004A5029">
        <w:rPr>
          <w:rStyle w:val="Hyperlink0"/>
          <w:rFonts w:ascii="Times New Roman" w:hAnsi="Times New Roman" w:cs="Times New Roman"/>
          <w:b/>
          <w:bCs/>
          <w:strike/>
          <w:color w:val="000000" w:themeColor="text1"/>
        </w:rPr>
        <w:t xml:space="preserve">trenta </w:t>
      </w:r>
      <w:r w:rsidRPr="004A5029">
        <w:rPr>
          <w:rStyle w:val="Hyperlink0"/>
          <w:rFonts w:ascii="Times New Roman" w:hAnsi="Times New Roman" w:cs="Times New Roman"/>
          <w:b/>
          <w:bCs/>
          <w:strike/>
          <w:color w:val="000000" w:themeColor="text1"/>
        </w:rPr>
        <w:t xml:space="preserve">giorni dalla contestazione. L’inadempimento di cui al </w:t>
      </w:r>
      <w:r w:rsidR="000364DE" w:rsidRPr="004A5029">
        <w:rPr>
          <w:rStyle w:val="Hyperlink0"/>
          <w:rFonts w:ascii="Times New Roman" w:hAnsi="Times New Roman" w:cs="Times New Roman"/>
          <w:b/>
          <w:bCs/>
          <w:strike/>
          <w:color w:val="000000" w:themeColor="text1"/>
        </w:rPr>
        <w:t xml:space="preserve">primo </w:t>
      </w:r>
      <w:r w:rsidRPr="004A5029">
        <w:rPr>
          <w:rStyle w:val="Hyperlink0"/>
          <w:rFonts w:ascii="Times New Roman" w:hAnsi="Times New Roman" w:cs="Times New Roman"/>
          <w:b/>
          <w:bCs/>
          <w:strike/>
          <w:color w:val="000000" w:themeColor="text1"/>
        </w:rPr>
        <w:t>periodo è comunicato all’amministrazione di appartenenza ai fini della valutazione della responsabilità dirigenziale ai sensi e per gli effetti dell’articolo 21, comma 1, del decreto legislativo 30 marzo 2001, n. 165 e della valutazione delle prestazioni dei soggetti responsabili</w:t>
      </w:r>
      <w:r w:rsidRPr="004A5029">
        <w:rPr>
          <w:rStyle w:val="Hyperlink0"/>
          <w:rFonts w:ascii="Times New Roman" w:hAnsi="Times New Roman" w:cs="Times New Roman"/>
          <w:b/>
          <w:bCs/>
          <w:color w:val="000000" w:themeColor="text1"/>
        </w:rPr>
        <w:t>.</w:t>
      </w:r>
      <w:r w:rsidRPr="004A5029">
        <w:rPr>
          <w:rStyle w:val="Hyperlink0"/>
          <w:rFonts w:ascii="Times New Roman" w:hAnsi="Times New Roman" w:cs="Times New Roman"/>
          <w:color w:val="000000" w:themeColor="text1"/>
        </w:rPr>
        <w:t xml:space="preserve"> </w:t>
      </w:r>
      <w:r w:rsidR="00F3759C" w:rsidRPr="004A5029">
        <w:rPr>
          <w:rStyle w:val="Hyperlink0"/>
          <w:rFonts w:ascii="Times New Roman" w:hAnsi="Times New Roman" w:cs="Times New Roman"/>
          <w:b/>
          <w:bCs/>
          <w:color w:val="000000" w:themeColor="text1"/>
        </w:rPr>
        <w:t xml:space="preserve">L’inadempimento dell’obbligo è sanzionato ai sensi del comma 13. </w:t>
      </w:r>
      <w:r w:rsidRPr="004A5029">
        <w:rPr>
          <w:rStyle w:val="Hyperlink0"/>
          <w:rFonts w:ascii="Times New Roman" w:hAnsi="Times New Roman" w:cs="Times New Roman"/>
          <w:color w:val="000000" w:themeColor="text1"/>
        </w:rPr>
        <w:t xml:space="preserve">Per un periodo transitorio pari a un anno, decorrente </w:t>
      </w:r>
      <w:r w:rsidRPr="00BD54D8">
        <w:rPr>
          <w:rStyle w:val="Hyperlink0"/>
          <w:rFonts w:ascii="Times New Roman" w:hAnsi="Times New Roman" w:cs="Times New Roman"/>
          <w:color w:val="000000" w:themeColor="text1"/>
        </w:rPr>
        <w:t xml:space="preserve">dalla data </w:t>
      </w:r>
      <w:r w:rsidR="00103418" w:rsidRPr="00BD54D8">
        <w:rPr>
          <w:rStyle w:val="Hyperlink0"/>
          <w:rFonts w:ascii="Times New Roman" w:hAnsi="Times New Roman" w:cs="Times New Roman"/>
          <w:b/>
          <w:bCs/>
          <w:color w:val="000000" w:themeColor="text1"/>
        </w:rPr>
        <w:t>in cui il codice acquista efficac</w:t>
      </w:r>
      <w:r w:rsidR="009F04A1" w:rsidRPr="00BD54D8">
        <w:rPr>
          <w:rStyle w:val="Hyperlink0"/>
          <w:rFonts w:ascii="Times New Roman" w:hAnsi="Times New Roman" w:cs="Times New Roman"/>
          <w:b/>
          <w:bCs/>
          <w:color w:val="000000" w:themeColor="text1"/>
        </w:rPr>
        <w:t>ia,</w:t>
      </w:r>
      <w:r w:rsidR="00103418" w:rsidRPr="00BD54D8">
        <w:rPr>
          <w:rStyle w:val="Hyperlink0"/>
          <w:rFonts w:ascii="Times New Roman" w:hAnsi="Times New Roman" w:cs="Times New Roman"/>
          <w:color w:val="000000" w:themeColor="text1"/>
        </w:rPr>
        <w:t xml:space="preserve"> </w:t>
      </w:r>
      <w:r w:rsidRPr="00BD54D8">
        <w:rPr>
          <w:rStyle w:val="Hyperlink0"/>
          <w:rFonts w:ascii="Times New Roman" w:hAnsi="Times New Roman" w:cs="Times New Roman"/>
          <w:b/>
          <w:bCs/>
          <w:strike/>
          <w:color w:val="000000" w:themeColor="text1"/>
        </w:rPr>
        <w:t xml:space="preserve">di approvazione del </w:t>
      </w:r>
      <w:r w:rsidR="000364DE" w:rsidRPr="00BD54D8">
        <w:rPr>
          <w:rStyle w:val="Hyperlink0"/>
          <w:rFonts w:ascii="Times New Roman" w:hAnsi="Times New Roman" w:cs="Times New Roman"/>
          <w:b/>
          <w:bCs/>
          <w:strike/>
          <w:color w:val="000000" w:themeColor="text1"/>
        </w:rPr>
        <w:t>c</w:t>
      </w:r>
      <w:r w:rsidRPr="00BD54D8">
        <w:rPr>
          <w:rStyle w:val="Hyperlink0"/>
          <w:rFonts w:ascii="Times New Roman" w:hAnsi="Times New Roman" w:cs="Times New Roman"/>
          <w:b/>
          <w:bCs/>
          <w:strike/>
          <w:color w:val="000000" w:themeColor="text1"/>
        </w:rPr>
        <w:t>odice</w:t>
      </w:r>
      <w:r w:rsidRPr="00BD54D8">
        <w:rPr>
          <w:rStyle w:val="Hyperlink0"/>
          <w:rFonts w:ascii="Times New Roman" w:hAnsi="Times New Roman" w:cs="Times New Roman"/>
          <w:color w:val="000000" w:themeColor="text1"/>
        </w:rPr>
        <w:t>, il RUP non è soggetto alle sanzioni irrogabili per la violazione degli obblighi</w:t>
      </w:r>
      <w:r w:rsidRPr="004A5029">
        <w:rPr>
          <w:rStyle w:val="Hyperlink0"/>
          <w:rFonts w:ascii="Times New Roman" w:hAnsi="Times New Roman" w:cs="Times New Roman"/>
          <w:color w:val="000000" w:themeColor="text1"/>
        </w:rPr>
        <w:t xml:space="preserve"> informativi previsti nei confronti della Banca nazionale dei contratti pubblici nell’ipotesi in cui, entro </w:t>
      </w:r>
      <w:r w:rsidRPr="004A5029">
        <w:rPr>
          <w:rStyle w:val="Hyperlink0"/>
          <w:rFonts w:ascii="Times New Roman" w:hAnsi="Times New Roman" w:cs="Times New Roman"/>
          <w:b/>
          <w:bCs/>
          <w:strike/>
          <w:color w:val="000000" w:themeColor="text1"/>
        </w:rPr>
        <w:t>60</w:t>
      </w:r>
      <w:r w:rsidRPr="004A5029">
        <w:rPr>
          <w:rStyle w:val="Hyperlink0"/>
          <w:rFonts w:ascii="Times New Roman" w:hAnsi="Times New Roman" w:cs="Times New Roman"/>
          <w:b/>
          <w:bCs/>
          <w:color w:val="000000" w:themeColor="text1"/>
        </w:rPr>
        <w:t xml:space="preserve"> </w:t>
      </w:r>
      <w:r w:rsidR="004E4B92" w:rsidRPr="004A5029">
        <w:rPr>
          <w:rStyle w:val="Hyperlink0"/>
          <w:rFonts w:ascii="Times New Roman" w:hAnsi="Times New Roman" w:cs="Times New Roman"/>
          <w:b/>
          <w:bCs/>
          <w:color w:val="000000" w:themeColor="text1"/>
        </w:rPr>
        <w:t xml:space="preserve">sessanta </w:t>
      </w:r>
      <w:r w:rsidRPr="004A5029">
        <w:rPr>
          <w:rStyle w:val="Hyperlink0"/>
          <w:rFonts w:ascii="Times New Roman" w:hAnsi="Times New Roman" w:cs="Times New Roman"/>
          <w:color w:val="000000" w:themeColor="text1"/>
        </w:rPr>
        <w:t xml:space="preserve">giorni dalla comunicazione all’amministrazione di appartenenza, adempia a tutti gli oneri informativi con contestuale autocertificazione, ai sensi degli articoli 46 e 47 del </w:t>
      </w:r>
      <w:r w:rsidR="00471D28" w:rsidRPr="004A5029">
        <w:rPr>
          <w:rFonts w:ascii="Times New Roman" w:hAnsi="Times New Roman" w:cs="Times New Roman"/>
          <w:b/>
          <w:bCs/>
          <w:color w:val="000000" w:themeColor="text1"/>
        </w:rPr>
        <w:t>testo unico delle disposizioni legislative e regolamentari in materia di documentazione amministrativa</w:t>
      </w:r>
      <w:r w:rsidR="00422AFC" w:rsidRPr="004A5029">
        <w:rPr>
          <w:rFonts w:ascii="Times New Roman" w:hAnsi="Times New Roman" w:cs="Times New Roman"/>
          <w:b/>
          <w:bCs/>
          <w:color w:val="000000" w:themeColor="text1"/>
        </w:rPr>
        <w:t>,</w:t>
      </w:r>
      <w:r w:rsidR="00471D28" w:rsidRPr="004A5029">
        <w:rPr>
          <w:rFonts w:ascii="Times New Roman" w:hAnsi="Times New Roman" w:cs="Times New Roman"/>
          <w:b/>
          <w:bCs/>
          <w:color w:val="000000" w:themeColor="text1"/>
        </w:rPr>
        <w:t xml:space="preserve"> di cui al</w:t>
      </w:r>
      <w:r w:rsidR="00471D28" w:rsidRPr="004A5029">
        <w:rPr>
          <w:rFonts w:ascii="Times New Roman" w:hAnsi="Times New Roman" w:cs="Times New Roman"/>
          <w:color w:val="000000" w:themeColor="text1"/>
        </w:rPr>
        <w:t xml:space="preserve"> </w:t>
      </w:r>
      <w:r w:rsidRPr="004A5029">
        <w:rPr>
          <w:rStyle w:val="Hyperlink0"/>
          <w:rFonts w:ascii="Times New Roman" w:hAnsi="Times New Roman" w:cs="Times New Roman"/>
          <w:color w:val="000000" w:themeColor="text1"/>
        </w:rPr>
        <w:t>decreto del Presidente della Repubblica 28 dicembre 2000, n. 445, relativa all’adempimento degli stessi.</w:t>
      </w:r>
    </w:p>
    <w:p w14:paraId="61A1B8B2" w14:textId="1206D908" w:rsidR="0083753D" w:rsidRPr="004A5029" w:rsidRDefault="0083753D" w:rsidP="0083753D">
      <w:pPr>
        <w:pStyle w:val="Standard"/>
        <w:spacing w:after="160" w:line="259" w:lineRule="auto"/>
        <w:jc w:val="both"/>
        <w:rPr>
          <w:rStyle w:val="Nessuno"/>
          <w:rFonts w:ascii="Times New Roman" w:eastAsia="Times New Roman" w:hAnsi="Times New Roman" w:cs="Times New Roman"/>
          <w:color w:val="000000" w:themeColor="text1"/>
        </w:rPr>
      </w:pPr>
      <w:r w:rsidRPr="004A5029">
        <w:rPr>
          <w:rStyle w:val="Hyperlink0"/>
          <w:rFonts w:ascii="Times New Roman" w:eastAsia="Times New Roman" w:hAnsi="Times New Roman" w:cs="Times New Roman"/>
          <w:color w:val="000000" w:themeColor="text1"/>
        </w:rPr>
        <w:t>10. È istituito presso la Banca dati nazionale dei contratti pubblici il casellario informatico dei contratti pubblici di lavori, servizi e forniture. Nel casellario sono annotate, secondo le modalità individuate dall’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eastAsia="Times New Roman" w:hAnsi="Times New Roman" w:cs="Times New Roman"/>
          <w:b/>
          <w:bCs/>
          <w:color w:val="000000" w:themeColor="text1"/>
        </w:rPr>
        <w:t>,</w:t>
      </w:r>
      <w:r w:rsidRPr="004A5029">
        <w:rPr>
          <w:rStyle w:val="Hyperlink0"/>
          <w:rFonts w:ascii="Times New Roman" w:eastAsia="Times New Roman" w:hAnsi="Times New Roman" w:cs="Times New Roman"/>
          <w:color w:val="000000" w:themeColor="text1"/>
        </w:rPr>
        <w:t xml:space="preserve"> con proprio provvedimento, le notizie, le informazioni e i dati relativi agli operatori economici con riferimento alle iscrizioni previste dall’articolo 94.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eastAsia="Times New Roman" w:hAnsi="Times New Roman" w:cs="Times New Roman"/>
          <w:color w:val="000000" w:themeColor="text1"/>
        </w:rPr>
        <w:t xml:space="preserve">, nel medesimo provvedimento, individua le ulteriori informazioni da iscrivere nel casellario, ivi comprese quelle rilevanti per l’attribuzione della </w:t>
      </w:r>
      <w:r w:rsidRPr="004A5029">
        <w:rPr>
          <w:rStyle w:val="Hyperlink7"/>
          <w:rFonts w:ascii="Times New Roman" w:eastAsia="Times New Roman" w:hAnsi="Times New Roman" w:cs="Times New Roman"/>
          <w:color w:val="000000" w:themeColor="text1"/>
        </w:rPr>
        <w:t>reputazione dell’impresa di cui all'articolo 109,</w:t>
      </w:r>
      <w:r w:rsidRPr="004A5029">
        <w:rPr>
          <w:rStyle w:val="Hyperlink0"/>
          <w:rFonts w:ascii="Times New Roman" w:eastAsia="Times New Roman" w:hAnsi="Times New Roman" w:cs="Times New Roman"/>
          <w:color w:val="000000" w:themeColor="text1"/>
        </w:rPr>
        <w:t xml:space="preserve"> o per il conseguimento dell’attestazione di qualificazione di cui all’articolo 103, nonché la durata delle iscrizioni e la modalità di archiviazione delle stesse. Nel casellario l’ANAC iscrive direttamente i provvedimenti interdittivi adottati ai sensi dell’articolo 94, comma 5</w:t>
      </w:r>
      <w:r w:rsidR="000A1F1C" w:rsidRPr="004A5029">
        <w:rPr>
          <w:rStyle w:val="Hyperlink0"/>
          <w:rFonts w:ascii="Times New Roman" w:eastAsia="Times New Roman" w:hAnsi="Times New Roman" w:cs="Times New Roman"/>
          <w:b/>
          <w:bCs/>
          <w:color w:val="000000" w:themeColor="text1"/>
        </w:rPr>
        <w:t>,</w:t>
      </w:r>
      <w:r w:rsidRPr="004A5029">
        <w:rPr>
          <w:rStyle w:val="Hyperlink0"/>
          <w:rFonts w:ascii="Times New Roman" w:eastAsia="Times New Roman" w:hAnsi="Times New Roman" w:cs="Times New Roman"/>
          <w:color w:val="000000" w:themeColor="text1"/>
        </w:rPr>
        <w:t xml:space="preserve"> lettere e) e f).</w:t>
      </w:r>
    </w:p>
    <w:p w14:paraId="33C61239" w14:textId="030ACF5C"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11. Presso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opera la Camera arbitrale per i contratti pubblici relativi a lavori, servizi, forniture di cui all'articolo 214.</w:t>
      </w:r>
    </w:p>
    <w:p w14:paraId="0A91A028" w14:textId="25414C8B"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7"/>
          <w:rFonts w:ascii="Times New Roman" w:hAnsi="Times New Roman" w:cs="Times New Roman"/>
          <w:color w:val="000000" w:themeColor="text1"/>
        </w:rPr>
        <w:t xml:space="preserve">12. Resta fermo quanto previsto dall'articolo </w:t>
      </w:r>
      <w:hyperlink r:id="rId44">
        <w:r w:rsidRPr="004A5029">
          <w:rPr>
            <w:rStyle w:val="Hyperlink7"/>
            <w:rFonts w:ascii="Times New Roman" w:hAnsi="Times New Roman" w:cs="Times New Roman"/>
            <w:color w:val="000000" w:themeColor="text1"/>
          </w:rPr>
          <w:t>1, comma 67</w:t>
        </w:r>
      </w:hyperlink>
      <w:r w:rsidRPr="004A5029">
        <w:rPr>
          <w:rStyle w:val="Hyperlink7"/>
          <w:rFonts w:ascii="Times New Roman" w:hAnsi="Times New Roman" w:cs="Times New Roman"/>
          <w:color w:val="000000" w:themeColor="text1"/>
        </w:rPr>
        <w:t xml:space="preserve">, </w:t>
      </w:r>
      <w:r w:rsidR="06BE7EEF" w:rsidRPr="004A5029">
        <w:rPr>
          <w:rStyle w:val="Hyperlink7"/>
          <w:rFonts w:ascii="Times New Roman" w:eastAsia="Times New Roman" w:hAnsi="Times New Roman" w:cs="Times New Roman"/>
          <w:color w:val="000000" w:themeColor="text1"/>
        </w:rPr>
        <w:t>della</w:t>
      </w:r>
      <w:r w:rsidR="06BE7EEF" w:rsidRPr="004A5029">
        <w:rPr>
          <w:rFonts w:ascii="Times New Roman" w:eastAsia="Calibri" w:hAnsi="Times New Roman" w:cs="Times New Roman"/>
          <w:color w:val="000000" w:themeColor="text1"/>
        </w:rPr>
        <w:t xml:space="preserve"> </w:t>
      </w:r>
      <w:r w:rsidRPr="004A5029">
        <w:rPr>
          <w:rStyle w:val="Hyperlink7"/>
          <w:rFonts w:ascii="Times New Roman" w:hAnsi="Times New Roman" w:cs="Times New Roman"/>
          <w:color w:val="000000" w:themeColor="text1"/>
        </w:rPr>
        <w:t>legge 23 dicembre 2005, n. 266.</w:t>
      </w:r>
    </w:p>
    <w:p w14:paraId="4BE6213A" w14:textId="45BE87E6" w:rsidR="0083753D" w:rsidRPr="004A5029" w:rsidRDefault="0083753D" w:rsidP="0083753D">
      <w:pPr>
        <w:pStyle w:val="Standard"/>
        <w:spacing w:after="160" w:line="259" w:lineRule="auto"/>
        <w:jc w:val="both"/>
        <w:rPr>
          <w:rStyle w:val="Hyperlink7"/>
          <w:rFonts w:ascii="Times New Roman" w:hAnsi="Times New Roman" w:cs="Times New Roman"/>
          <w:color w:val="000000" w:themeColor="text1"/>
        </w:rPr>
      </w:pPr>
      <w:r w:rsidRPr="004A5029">
        <w:rPr>
          <w:rStyle w:val="Hyperlink0"/>
          <w:rFonts w:ascii="Times New Roman" w:hAnsi="Times New Roman" w:cs="Times New Roman"/>
          <w:color w:val="000000" w:themeColor="text1"/>
        </w:rPr>
        <w:t>13. Nel rispetto dei principi di cui alla </w:t>
      </w:r>
      <w:hyperlink r:id="rId45">
        <w:r w:rsidRPr="004A5029">
          <w:rPr>
            <w:rStyle w:val="Hyperlink0"/>
            <w:rFonts w:ascii="Times New Roman" w:hAnsi="Times New Roman" w:cs="Times New Roman"/>
            <w:color w:val="000000" w:themeColor="text1"/>
          </w:rPr>
          <w:t>legge 24 novembre 1981, n. 689</w:t>
        </w:r>
      </w:hyperlink>
      <w:r w:rsidRPr="004A5029">
        <w:rPr>
          <w:rStyle w:val="Hyperlink0"/>
          <w:rFonts w:ascii="Times New Roman" w:hAnsi="Times New Roman" w:cs="Times New Roman"/>
          <w:color w:val="000000" w:themeColor="text1"/>
        </w:rPr>
        <w:t>,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ha il potere di irrogare sanzioni amministrative pecuniarie nei confronti dei soggetti che rifiutano od omettono, senza giustificato motivo, di fornire le informazioni o di esibire i documenti richiesti dalla stessa, e nei confronti degli operatori economici che non ottemperano alla richiesta della stazione appaltante o dell'ente aggiudicatore di comprovare il possesso dei requisiti di partecipazione alla procedura di affidamento, entro il limite minimo di euro 500 e il limite massimo di euro 5.000. Nei confronti dei soggetti che, a fronte della richiesta di informazioni o di esibizione di documenti da parte dell'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color w:val="000000" w:themeColor="text1"/>
        </w:rPr>
        <w:t>, forniscono informazioni o esibiscono documenti non veritieri o che forniscono alle stazioni appaltanti o agli enti aggiudicatori o agli organismi di attestazione</w:t>
      </w:r>
      <w:r w:rsidRPr="004A5029">
        <w:rPr>
          <w:rStyle w:val="Hyperlink0"/>
          <w:rFonts w:ascii="Times New Roman" w:hAnsi="Times New Roman" w:cs="Times New Roman"/>
          <w:b/>
          <w:bCs/>
          <w:strike/>
          <w:color w:val="000000" w:themeColor="text1"/>
        </w:rPr>
        <w:t>,</w:t>
      </w:r>
      <w:r w:rsidRPr="004A5029">
        <w:rPr>
          <w:rStyle w:val="Hyperlink0"/>
          <w:rFonts w:ascii="Times New Roman" w:hAnsi="Times New Roman" w:cs="Times New Roman"/>
          <w:color w:val="000000" w:themeColor="text1"/>
        </w:rPr>
        <w:t xml:space="preserve"> dati o documenti non veritieri circa il possesso dei requisiti di qualificazione,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b/>
          <w:bCs/>
          <w:color w:val="000000" w:themeColor="text1"/>
        </w:rPr>
        <w:t xml:space="preserve"> </w:t>
      </w:r>
      <w:r w:rsidRPr="004A5029">
        <w:rPr>
          <w:rStyle w:val="Hyperlink0"/>
          <w:rFonts w:ascii="Times New Roman" w:hAnsi="Times New Roman" w:cs="Times New Roman"/>
          <w:color w:val="000000" w:themeColor="text1"/>
        </w:rPr>
        <w:t>ha il potere di irrogare sanzioni amministrative pecuniarie entro il limite minimo di euro 500 e il limite massimo di euro 10.000, fatta salva l'eventuale sanzione penale. Con propri atti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color w:val="000000" w:themeColor="text1"/>
        </w:rPr>
        <w:t xml:space="preserve"> disciplina i procedimenti sanzionatori di sua competenza.</w:t>
      </w:r>
    </w:p>
    <w:p w14:paraId="7B7D3688" w14:textId="42D4DEAC" w:rsidR="0083753D" w:rsidRPr="004A5029" w:rsidRDefault="0083753D" w:rsidP="00287F32">
      <w:pPr>
        <w:pStyle w:val="Standard"/>
        <w:spacing w:after="160" w:line="259" w:lineRule="auto"/>
        <w:jc w:val="both"/>
        <w:rPr>
          <w:rStyle w:val="Hyperlink0"/>
          <w:rFonts w:ascii="Times New Roman" w:hAnsi="Times New Roman" w:cs="Times New Roman"/>
          <w:b/>
          <w:color w:val="000000" w:themeColor="text1"/>
        </w:rPr>
      </w:pPr>
      <w:r w:rsidRPr="004A5029">
        <w:rPr>
          <w:rStyle w:val="Hyperlink0"/>
          <w:rFonts w:ascii="Times New Roman" w:hAnsi="Times New Roman" w:cs="Times New Roman"/>
          <w:bCs/>
          <w:color w:val="000000" w:themeColor="text1"/>
        </w:rPr>
        <w:t>14.</w:t>
      </w:r>
      <w:r w:rsidRPr="004A5029">
        <w:rPr>
          <w:rStyle w:val="Hyperlink0"/>
          <w:rFonts w:ascii="Times New Roman" w:hAnsi="Times New Roman" w:cs="Times New Roman"/>
          <w:b/>
          <w:color w:val="000000" w:themeColor="text1"/>
        </w:rPr>
        <w:t xml:space="preserve"> </w:t>
      </w:r>
      <w:r w:rsidRPr="004A5029">
        <w:rPr>
          <w:rStyle w:val="Hyperlink5"/>
          <w:rFonts w:eastAsia="Arial Unicode MS"/>
          <w:b w:val="0"/>
          <w:bCs w:val="0"/>
          <w:color w:val="000000" w:themeColor="text1"/>
        </w:rPr>
        <w:t xml:space="preserve">Le somme derivanti dal pagamento delle sanzioni di cui al presente articolo restano nella disponibilità dell’ANAC </w:t>
      </w:r>
      <w:r w:rsidR="008D4109" w:rsidRPr="004A5029">
        <w:rPr>
          <w:rStyle w:val="Hyperlink5"/>
          <w:rFonts w:eastAsia="Arial Unicode MS"/>
          <w:color w:val="000000" w:themeColor="text1"/>
        </w:rPr>
        <w:t>nei limiti del 50 per cento</w:t>
      </w:r>
      <w:r w:rsidR="008D4109" w:rsidRPr="004A5029">
        <w:rPr>
          <w:rStyle w:val="Hyperlink5"/>
          <w:rFonts w:eastAsia="Arial Unicode MS"/>
          <w:b w:val="0"/>
          <w:bCs w:val="0"/>
          <w:color w:val="000000" w:themeColor="text1"/>
        </w:rPr>
        <w:t xml:space="preserve"> </w:t>
      </w:r>
      <w:r w:rsidRPr="004A5029">
        <w:rPr>
          <w:rStyle w:val="Hyperlink5"/>
          <w:rFonts w:eastAsia="Arial Unicode MS"/>
          <w:b w:val="0"/>
          <w:bCs w:val="0"/>
          <w:color w:val="000000" w:themeColor="text1"/>
        </w:rPr>
        <w:t>e sono utilizzabili per le proprie attività istituzionali</w:t>
      </w:r>
      <w:r w:rsidRPr="004A5029">
        <w:rPr>
          <w:rStyle w:val="Hyperlink5"/>
          <w:rFonts w:eastAsia="Arial Unicode MS"/>
          <w:color w:val="000000" w:themeColor="text1"/>
        </w:rPr>
        <w:t xml:space="preserve">. </w:t>
      </w:r>
      <w:r w:rsidR="008D4109" w:rsidRPr="004A5029">
        <w:rPr>
          <w:rStyle w:val="Hyperlink5"/>
          <w:rFonts w:eastAsia="Arial Unicode MS"/>
          <w:color w:val="000000" w:themeColor="text1"/>
        </w:rPr>
        <w:t>Le restanti somme sono versate all'entrata del bilancio dello Stato.</w:t>
      </w:r>
      <w:r w:rsidR="008D4109" w:rsidRPr="004A5029">
        <w:rPr>
          <w:rStyle w:val="Hyperlink5"/>
          <w:rFonts w:eastAsia="Arial Unicode MS"/>
          <w:b w:val="0"/>
          <w:bCs w:val="0"/>
          <w:color w:val="000000" w:themeColor="text1"/>
        </w:rPr>
        <w:t xml:space="preserve"> </w:t>
      </w:r>
      <w:r w:rsidRPr="004A5029">
        <w:rPr>
          <w:rStyle w:val="Hyperlink5"/>
          <w:rFonts w:eastAsia="Arial Unicode MS"/>
          <w:b w:val="0"/>
          <w:bCs w:val="0"/>
          <w:color w:val="000000" w:themeColor="text1"/>
        </w:rPr>
        <w:t xml:space="preserve">Le sanzioni </w:t>
      </w:r>
      <w:r w:rsidR="00E07A23" w:rsidRPr="004A5029">
        <w:rPr>
          <w:rStyle w:val="Hyperlink5"/>
          <w:rFonts w:eastAsia="Arial Unicode MS"/>
          <w:b w:val="0"/>
          <w:bCs w:val="0"/>
          <w:color w:val="000000" w:themeColor="text1"/>
        </w:rPr>
        <w:t>sono</w:t>
      </w:r>
      <w:r w:rsidRPr="004A5029">
        <w:rPr>
          <w:rStyle w:val="Hyperlink5"/>
          <w:rFonts w:eastAsia="Arial Unicode MS"/>
          <w:b w:val="0"/>
          <w:bCs w:val="0"/>
          <w:color w:val="000000" w:themeColor="text1"/>
        </w:rPr>
        <w:t xml:space="preserve"> pubblicate nel sito istituzionale dell’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5"/>
          <w:rFonts w:eastAsia="Arial Unicode MS"/>
          <w:b w:val="0"/>
          <w:bCs w:val="0"/>
          <w:color w:val="000000" w:themeColor="text1"/>
        </w:rPr>
        <w:t xml:space="preserve"> specificando l’importo e i destinatari.</w:t>
      </w:r>
    </w:p>
    <w:p w14:paraId="1A888BB3" w14:textId="53895647" w:rsidR="0083753D" w:rsidRPr="004A5029" w:rsidRDefault="0083753D" w:rsidP="0083753D">
      <w:pPr>
        <w:pStyle w:val="Standard"/>
        <w:spacing w:after="160" w:line="259" w:lineRule="auto"/>
        <w:jc w:val="both"/>
        <w:rPr>
          <w:rStyle w:val="Hyperlink0"/>
          <w:rFonts w:ascii="Times New Roman" w:hAnsi="Times New Roman" w:cs="Times New Roman"/>
          <w:strike/>
          <w:color w:val="000000" w:themeColor="text1"/>
        </w:rPr>
      </w:pPr>
      <w:r w:rsidRPr="004A5029">
        <w:rPr>
          <w:rStyle w:val="Hyperlink0"/>
          <w:rFonts w:ascii="Times New Roman" w:hAnsi="Times New Roman" w:cs="Times New Roman"/>
          <w:color w:val="000000" w:themeColor="text1"/>
        </w:rPr>
        <w:t>15. Presso l'</w:t>
      </w:r>
      <w:r w:rsidR="00115361" w:rsidRPr="004A5029">
        <w:rPr>
          <w:rStyle w:val="Hyperlink0"/>
          <w:rFonts w:ascii="Times New Roman" w:hAnsi="Times New Roman" w:cs="Times New Roman"/>
          <w:b/>
          <w:bCs/>
          <w:strike/>
          <w:color w:val="000000" w:themeColor="text1"/>
        </w:rPr>
        <w:t xml:space="preserve">Autorità </w:t>
      </w:r>
      <w:r w:rsidR="00115361" w:rsidRPr="004A5029">
        <w:rPr>
          <w:rStyle w:val="Hyperlink0"/>
          <w:rFonts w:ascii="Times New Roman" w:hAnsi="Times New Roman" w:cs="Times New Roman"/>
          <w:b/>
          <w:bCs/>
          <w:color w:val="000000" w:themeColor="text1"/>
        </w:rPr>
        <w:t>ANAC</w:t>
      </w:r>
      <w:r w:rsidRPr="004A5029">
        <w:rPr>
          <w:rStyle w:val="Hyperlink0"/>
          <w:rFonts w:ascii="Times New Roman" w:hAnsi="Times New Roman" w:cs="Times New Roman"/>
          <w:color w:val="000000" w:themeColor="text1"/>
        </w:rPr>
        <w:t>, nell'ambito dell'Anagrafe unica delle stazioni appaltanti, è istituito l'elenco dei soggetti aggregatori.</w:t>
      </w:r>
    </w:p>
    <w:p w14:paraId="39C40B05" w14:textId="77777777"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r w:rsidRPr="004A5029">
        <w:rPr>
          <w:rStyle w:val="Hyperlink0"/>
          <w:rFonts w:ascii="Times New Roman" w:hAnsi="Times New Roman" w:cs="Times New Roman"/>
          <w:color w:val="000000" w:themeColor="text1"/>
        </w:rPr>
        <w:t>16. Per garantire la consultazione immediata e suddivisa per materia degli strumenti di regolazione flessibile adottati dall'ANAC comunque denominati, l'ANAC pubblica i suddetti provvedimenti con modalità tali da rendere immediatamente accessibile alle stazioni appaltanti e agli operatori economici la disciplina applicabile a ciascun procedimento.</w:t>
      </w:r>
    </w:p>
    <w:p w14:paraId="03B94F49" w14:textId="77777777" w:rsidR="0083753D" w:rsidRPr="004A5029" w:rsidRDefault="0083753D" w:rsidP="0083753D">
      <w:pPr>
        <w:pStyle w:val="Standard"/>
        <w:spacing w:after="160" w:line="259" w:lineRule="auto"/>
        <w:jc w:val="both"/>
        <w:rPr>
          <w:rStyle w:val="Hyperlink0"/>
          <w:rFonts w:ascii="Times New Roman" w:hAnsi="Times New Roman" w:cs="Times New Roman"/>
          <w:color w:val="000000" w:themeColor="text1"/>
        </w:rPr>
      </w:pPr>
    </w:p>
    <w:p w14:paraId="5C432482" w14:textId="7795BD76" w:rsidR="0083753D" w:rsidRPr="004A5029" w:rsidRDefault="0083753D" w:rsidP="0083753D">
      <w:pPr>
        <w:jc w:val="both"/>
        <w:rPr>
          <w:rFonts w:ascii="Times New Roman" w:eastAsia="Times New Roman" w:hAnsi="Times New Roman" w:cs="Times New Roman"/>
          <w:b/>
          <w:i/>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3</w:t>
      </w:r>
      <w:r w:rsidRPr="004A5029">
        <w:rPr>
          <w:rFonts w:ascii="Times New Roman" w:eastAsia="Times New Roman" w:hAnsi="Times New Roman" w:cs="Times New Roman"/>
          <w:b/>
          <w:bCs/>
          <w:color w:val="000000" w:themeColor="text1"/>
        </w:rPr>
        <w:t>.</w:t>
      </w:r>
    </w:p>
    <w:p w14:paraId="769D74BC" w14:textId="77777777" w:rsidR="0083753D" w:rsidRPr="004A5029" w:rsidRDefault="0083753D" w:rsidP="0083753D">
      <w:pPr>
        <w:jc w:val="both"/>
        <w:rPr>
          <w:rStyle w:val="Hyperlink0"/>
          <w:rFonts w:ascii="Times New Roman" w:hAnsi="Times New Roman" w:cs="Times New Roman"/>
          <w:i/>
          <w:iCs/>
          <w:color w:val="000000" w:themeColor="text1"/>
        </w:rPr>
      </w:pPr>
      <w:r w:rsidRPr="004A5029">
        <w:rPr>
          <w:rStyle w:val="Hyperlink0"/>
          <w:rFonts w:ascii="Times New Roman" w:hAnsi="Times New Roman" w:cs="Times New Roman"/>
          <w:i/>
          <w:iCs/>
          <w:color w:val="000000" w:themeColor="text1"/>
        </w:rPr>
        <w:t>Ministero delle infrastrutture e dei trasporti e struttura tecnica di missione.</w:t>
      </w:r>
    </w:p>
    <w:p w14:paraId="2A85D394" w14:textId="726968C2"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1. Nell'ambito delle funzioni di cui al </w:t>
      </w:r>
      <w:hyperlink r:id="rId46">
        <w:r w:rsidRPr="004A5029">
          <w:rPr>
            <w:rStyle w:val="Hyperlink8"/>
            <w:rFonts w:ascii="Times New Roman" w:hAnsi="Times New Roman" w:cs="Times New Roman"/>
            <w:color w:val="000000" w:themeColor="text1"/>
            <w:sz w:val="22"/>
            <w:szCs w:val="22"/>
          </w:rPr>
          <w:t>decreto  legislativo 30 luglio 1999, n. 300</w:t>
        </w:r>
      </w:hyperlink>
      <w:r w:rsidRPr="004A5029">
        <w:rPr>
          <w:rStyle w:val="Hyperlink0"/>
          <w:rFonts w:ascii="Times New Roman" w:hAnsi="Times New Roman" w:cs="Times New Roman"/>
          <w:color w:val="000000" w:themeColor="text1"/>
          <w:sz w:val="22"/>
          <w:szCs w:val="22"/>
        </w:rPr>
        <w:t xml:space="preserve">, il Ministero delle infrastrutture e dei trasporti promuove le attività tecniche e amministrative occorrenti per l’adeguata e sollecita progettazione e approvazione delle infrastrutture ed effettua, con la collaborazione delle regioni o province autonome interessate, le attività di supporto necessarie per la vigilanza, da parte dell'autorità competente, sulla realizzazione delle infrastrutture. </w:t>
      </w:r>
    </w:p>
    <w:p w14:paraId="30CA9937" w14:textId="5CCFCC8F"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2. Nello svolgimento delle funzioni di cui al comma 1, il Ministero</w:t>
      </w:r>
      <w:r w:rsidR="00415DCA" w:rsidRPr="004A5029">
        <w:rPr>
          <w:rStyle w:val="Hyperlink0"/>
          <w:rFonts w:ascii="Times New Roman" w:hAnsi="Times New Roman" w:cs="Times New Roman"/>
          <w:color w:val="000000" w:themeColor="text1"/>
          <w:sz w:val="22"/>
          <w:szCs w:val="22"/>
        </w:rPr>
        <w:t xml:space="preserve"> </w:t>
      </w:r>
      <w:r w:rsidR="00415DCA" w:rsidRPr="004A5029">
        <w:rPr>
          <w:rStyle w:val="Hyperlink0"/>
          <w:rFonts w:ascii="Times New Roman" w:hAnsi="Times New Roman" w:cs="Times New Roman"/>
          <w:b/>
          <w:bCs/>
          <w:color w:val="000000" w:themeColor="text1"/>
          <w:sz w:val="22"/>
          <w:szCs w:val="22"/>
        </w:rPr>
        <w:t>delle infrastrutture e dei trasporti</w:t>
      </w:r>
      <w:r w:rsidRPr="004A5029">
        <w:rPr>
          <w:rStyle w:val="Hyperlink0"/>
          <w:rFonts w:ascii="Times New Roman" w:hAnsi="Times New Roman" w:cs="Times New Roman"/>
          <w:color w:val="000000" w:themeColor="text1"/>
          <w:sz w:val="22"/>
          <w:szCs w:val="22"/>
        </w:rPr>
        <w:t xml:space="preserve"> impronta la propria attività al principio di leale collaborazione con le regioni e le province autonome e con gli enti locali interessati e acquisisce, nei casi indicati dalla legge, la previa intesa delle regioni o province autonome interessate. Ai fini di cui al comma 1, il Ministero</w:t>
      </w:r>
      <w:r w:rsidR="00415DCA" w:rsidRPr="004A5029">
        <w:rPr>
          <w:rStyle w:val="Hyperlink0"/>
          <w:rFonts w:ascii="Times New Roman" w:hAnsi="Times New Roman" w:cs="Times New Roman"/>
          <w:color w:val="000000" w:themeColor="text1"/>
          <w:sz w:val="22"/>
          <w:szCs w:val="22"/>
        </w:rPr>
        <w:t xml:space="preserve"> </w:t>
      </w:r>
      <w:r w:rsidR="00415DCA" w:rsidRPr="004A5029">
        <w:rPr>
          <w:rStyle w:val="Hyperlink0"/>
          <w:rFonts w:ascii="Times New Roman" w:hAnsi="Times New Roman" w:cs="Times New Roman"/>
          <w:b/>
          <w:bCs/>
          <w:color w:val="000000" w:themeColor="text1"/>
          <w:sz w:val="22"/>
          <w:szCs w:val="22"/>
        </w:rPr>
        <w:t>delle infrastrutture e dei trasporti</w:t>
      </w:r>
      <w:r w:rsidRPr="004A5029">
        <w:rPr>
          <w:rStyle w:val="Hyperlink0"/>
          <w:rFonts w:ascii="Times New Roman" w:hAnsi="Times New Roman" w:cs="Times New Roman"/>
          <w:color w:val="000000" w:themeColor="text1"/>
          <w:sz w:val="22"/>
          <w:szCs w:val="22"/>
        </w:rPr>
        <w:t xml:space="preserve">, in particolare: </w:t>
      </w:r>
    </w:p>
    <w:p w14:paraId="494E4E49" w14:textId="77777777"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a) promuove e riceve le proposte delle regioni o province autonome e degli altri enti aggiudicatori; </w:t>
      </w:r>
    </w:p>
    <w:p w14:paraId="5BEC09D4" w14:textId="77777777"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b) promuove e propone intese quadro tra Governo e singole regioni o province autonome, al fine del   congiunto coordinamento e realizzazione delle infrastrutture; </w:t>
      </w:r>
    </w:p>
    <w:p w14:paraId="7EC90D0A" w14:textId="77777777"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c) promuove la redazione dei progetti di fattibilità delle infrastrutture da parte dei soggetti aggiudicatori, anche attraverso eventuali intese o accordi procedimentali tra i soggetti comunque interessati; </w:t>
      </w:r>
    </w:p>
    <w:p w14:paraId="0A56D53C" w14:textId="3D8D6F9E"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d) provvede, eventualmente in collaborazione con le regioni, le province autonome e gli altri enti interessati con oneri a proprio carico, alle attività di supporto al CIPE</w:t>
      </w:r>
      <w:r w:rsidR="00F93B8B" w:rsidRPr="004A5029">
        <w:rPr>
          <w:rStyle w:val="Hyperlink0"/>
          <w:rFonts w:ascii="Times New Roman" w:hAnsi="Times New Roman" w:cs="Times New Roman"/>
          <w:color w:val="000000" w:themeColor="text1"/>
          <w:sz w:val="22"/>
          <w:szCs w:val="22"/>
        </w:rPr>
        <w:t>SS</w:t>
      </w:r>
      <w:r w:rsidRPr="004A5029">
        <w:rPr>
          <w:rStyle w:val="Hyperlink0"/>
          <w:rFonts w:ascii="Times New Roman" w:hAnsi="Times New Roman" w:cs="Times New Roman"/>
          <w:color w:val="000000" w:themeColor="text1"/>
          <w:sz w:val="22"/>
          <w:szCs w:val="22"/>
        </w:rPr>
        <w:t xml:space="preserve"> per la vigilanza sulle attività di affidamento da parte dei soggetti aggiudicatori e della successiva realizzazione delle infrastrutture e degli insediamenti prioritari per lo sviluppo del Paese di cui all’articolo 39; </w:t>
      </w:r>
    </w:p>
    <w:p w14:paraId="41F64BB8" w14:textId="77777777"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e) ove necessario, collabora alle attività delle stazioni appaltanti e degli enti concedenti o degli enti interessati alle attività istruttorie con azioni di indirizzo e supporto; </w:t>
      </w:r>
    </w:p>
    <w:p w14:paraId="6B5E5911" w14:textId="72759290"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f) cura l'istruttoria sui progetti di  fattibilità e definitivi, anche ai fini della loro sottoposizione alle deliberazioni  del  CIPE</w:t>
      </w:r>
      <w:r w:rsidR="00F93B8B" w:rsidRPr="004A5029">
        <w:rPr>
          <w:rStyle w:val="Hyperlink0"/>
          <w:rFonts w:ascii="Times New Roman" w:hAnsi="Times New Roman" w:cs="Times New Roman"/>
          <w:color w:val="000000" w:themeColor="text1"/>
          <w:sz w:val="22"/>
          <w:szCs w:val="22"/>
        </w:rPr>
        <w:t>SS</w:t>
      </w:r>
      <w:r w:rsidRPr="004A5029">
        <w:rPr>
          <w:rStyle w:val="Hyperlink0"/>
          <w:rFonts w:ascii="Times New Roman" w:hAnsi="Times New Roman" w:cs="Times New Roman"/>
          <w:color w:val="000000" w:themeColor="text1"/>
          <w:sz w:val="22"/>
          <w:szCs w:val="22"/>
        </w:rPr>
        <w:t xml:space="preserve"> in caso di infrastrutture e di insediamenti  prioritari per lo sviluppo del Paese di cui all’articolo 39, proponendo allo stesso le eventuali prescrizioni per l'approvazione del progetto; per le  opere di competenza dello Stato, il parere del Consiglio  superiore  dei lavori pubblici, o di altri organi o commissioni  consultive,  ove richiesto dalle norme vigenti, è acquisito sul progetto </w:t>
      </w:r>
      <w:r w:rsidR="00AB4CCB" w:rsidRPr="004A5029">
        <w:rPr>
          <w:rFonts w:ascii="Times New Roman" w:hAnsi="Times New Roman" w:cs="Times New Roman"/>
          <w:b/>
          <w:bCs/>
          <w:color w:val="000000" w:themeColor="text1"/>
          <w:sz w:val="22"/>
          <w:szCs w:val="22"/>
        </w:rPr>
        <w:t xml:space="preserve"> </w:t>
      </w:r>
      <w:r w:rsidR="00AB4CCB" w:rsidRPr="004A5029">
        <w:rPr>
          <w:rFonts w:ascii="Times New Roman" w:hAnsi="Times New Roman" w:cs="Times New Roman"/>
          <w:color w:val="000000" w:themeColor="text1"/>
          <w:sz w:val="22"/>
          <w:szCs w:val="22"/>
        </w:rPr>
        <w:t>di fattibilità tecnico-economica</w:t>
      </w:r>
      <w:r w:rsidRPr="004A5029">
        <w:rPr>
          <w:rStyle w:val="Hyperlink0"/>
          <w:rFonts w:ascii="Times New Roman" w:hAnsi="Times New Roman" w:cs="Times New Roman"/>
          <w:color w:val="000000" w:themeColor="text1"/>
          <w:sz w:val="22"/>
          <w:szCs w:val="22"/>
        </w:rPr>
        <w:t xml:space="preserve">; </w:t>
      </w:r>
    </w:p>
    <w:p w14:paraId="5B137A59" w14:textId="5CED9256" w:rsidR="0083753D" w:rsidRPr="004A5029" w:rsidRDefault="0083753D" w:rsidP="0083753D">
      <w:pPr>
        <w:pStyle w:val="PreformattatoHTML"/>
        <w:shd w:val="clear" w:color="auto" w:fill="FFFFFF"/>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1"/>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g) assegna ai soggetti aggiudicatori, a carico dei fondi  di  cui all'articolo 39, le risorse finanziarie integrative  necessarie alle attività progettuali; in caso di infrastrutture e di insediamenti prioritari per lo sviluppo del Paese di cui all’articolo 39, propone, d'intesa con il Ministero dell'economia e delle finanze, al CIPE</w:t>
      </w:r>
      <w:r w:rsidR="00F93B8B" w:rsidRPr="004A5029">
        <w:rPr>
          <w:rStyle w:val="Hyperlink0"/>
          <w:rFonts w:ascii="Times New Roman" w:hAnsi="Times New Roman" w:cs="Times New Roman"/>
          <w:color w:val="000000" w:themeColor="text1"/>
          <w:sz w:val="22"/>
          <w:szCs w:val="22"/>
        </w:rPr>
        <w:t>SS</w:t>
      </w:r>
      <w:r w:rsidRPr="004A5029">
        <w:rPr>
          <w:rStyle w:val="Hyperlink0"/>
          <w:rFonts w:ascii="Times New Roman" w:hAnsi="Times New Roman" w:cs="Times New Roman"/>
          <w:color w:val="000000" w:themeColor="text1"/>
          <w:sz w:val="22"/>
          <w:szCs w:val="22"/>
        </w:rPr>
        <w:t xml:space="preserve"> l'assegnazione ai soggetti aggiudicatori, a carico dei fondi, delle risorse  finanziarie  integrative necessarie alla realizzazione delle infrastrutture, contestualmente all'approvazione del progetto </w:t>
      </w:r>
      <w:r w:rsidR="0072559F" w:rsidRPr="004A5029">
        <w:rPr>
          <w:rStyle w:val="Hyperlink0"/>
          <w:rFonts w:ascii="Times New Roman" w:hAnsi="Times New Roman" w:cs="Times New Roman"/>
          <w:color w:val="000000" w:themeColor="text1"/>
          <w:sz w:val="22"/>
          <w:szCs w:val="22"/>
        </w:rPr>
        <w:t>d</w:t>
      </w:r>
      <w:r w:rsidR="00AB4CCB" w:rsidRPr="004A5029">
        <w:rPr>
          <w:rFonts w:ascii="Times New Roman" w:hAnsi="Times New Roman" w:cs="Times New Roman"/>
          <w:color w:val="000000" w:themeColor="text1"/>
          <w:sz w:val="22"/>
          <w:szCs w:val="22"/>
        </w:rPr>
        <w:t>i fattibilità tecnico-econ</w:t>
      </w:r>
      <w:r w:rsidR="0072559F" w:rsidRPr="004A5029">
        <w:rPr>
          <w:rFonts w:ascii="Times New Roman" w:hAnsi="Times New Roman" w:cs="Times New Roman"/>
          <w:color w:val="000000" w:themeColor="text1"/>
          <w:sz w:val="22"/>
          <w:szCs w:val="22"/>
        </w:rPr>
        <w:t xml:space="preserve">omica </w:t>
      </w:r>
      <w:r w:rsidRPr="004A5029">
        <w:rPr>
          <w:rStyle w:val="Hyperlink0"/>
          <w:rFonts w:ascii="Times New Roman" w:hAnsi="Times New Roman" w:cs="Times New Roman"/>
          <w:color w:val="000000" w:themeColor="text1"/>
          <w:sz w:val="22"/>
          <w:szCs w:val="22"/>
        </w:rPr>
        <w:t xml:space="preserve"> e nei limiti  delle  risorse disponibili, dando </w:t>
      </w:r>
      <w:r w:rsidR="000364DE" w:rsidRPr="004A5029">
        <w:rPr>
          <w:rStyle w:val="Hyperlink0"/>
          <w:rFonts w:ascii="Times New Roman" w:hAnsi="Times New Roman" w:cs="Times New Roman"/>
          <w:color w:val="000000" w:themeColor="text1"/>
          <w:sz w:val="22"/>
          <w:szCs w:val="22"/>
        </w:rPr>
        <w:t>priorità</w:t>
      </w:r>
      <w:r w:rsidRPr="004A5029">
        <w:rPr>
          <w:rStyle w:val="Hyperlink0"/>
          <w:rFonts w:ascii="Times New Roman" w:hAnsi="Times New Roman" w:cs="Times New Roman"/>
          <w:color w:val="000000" w:themeColor="text1"/>
          <w:sz w:val="22"/>
          <w:szCs w:val="22"/>
        </w:rPr>
        <w:t xml:space="preserve"> al completamento delle opere incompiute; </w:t>
      </w:r>
    </w:p>
    <w:p w14:paraId="6D73D6CA" w14:textId="22909AE8" w:rsidR="0083753D" w:rsidRPr="004A5029" w:rsidRDefault="0083753D" w:rsidP="0083753D">
      <w:pPr>
        <w:spacing w:line="257" w:lineRule="auto"/>
        <w:jc w:val="both"/>
        <w:rPr>
          <w:rFonts w:ascii="Times New Roman" w:eastAsia="Times New Roman" w:hAnsi="Times New Roman" w:cs="Times New Roman"/>
          <w:color w:val="000000" w:themeColor="text1"/>
        </w:rPr>
      </w:pPr>
      <w:r w:rsidRPr="004A5029">
        <w:rPr>
          <w:rFonts w:ascii="Times New Roman" w:eastAsia="Times New Roman" w:hAnsi="Times New Roman" w:cs="Times New Roman"/>
          <w:color w:val="000000" w:themeColor="text1"/>
        </w:rPr>
        <w:t xml:space="preserve">h) verifica l'avanzamento dei lavori anche attraverso sopralluoghi tecnico-amministrativi presso i cantieri interessati, previo accesso agli stessi; a tal fine può avvalersi, ove necessario, del Corpo della Guardia di finanza, mediante la sottoscrizione di appositi protocolli di intesa </w:t>
      </w:r>
      <w:r w:rsidRPr="004A5029">
        <w:rPr>
          <w:rFonts w:ascii="Times New Roman" w:eastAsia="Times New Roman" w:hAnsi="Times New Roman" w:cs="Times New Roman"/>
          <w:bCs/>
          <w:color w:val="000000" w:themeColor="text1"/>
        </w:rPr>
        <w:t>e del Servizio per l’Alta sorveglianza sulle grandi opere istituito con decreto del Ministro delle infrastrutture e dei trasporti 15 aprile 2002</w:t>
      </w:r>
      <w:r w:rsidR="000364DE" w:rsidRPr="004A5029">
        <w:rPr>
          <w:rFonts w:ascii="Times New Roman" w:eastAsia="Times New Roman" w:hAnsi="Times New Roman" w:cs="Times New Roman"/>
          <w:bCs/>
          <w:color w:val="000000" w:themeColor="text1"/>
        </w:rPr>
        <w:t>, pubblicato nella Gazzetta Ufficiale</w:t>
      </w:r>
      <w:r w:rsidR="000364DE" w:rsidRPr="004A5029">
        <w:rPr>
          <w:rFonts w:ascii="Times New Roman" w:eastAsia="Times New Roman" w:hAnsi="Times New Roman" w:cs="Times New Roman"/>
          <w:color w:val="000000" w:themeColor="text1"/>
        </w:rPr>
        <w:t xml:space="preserve"> </w:t>
      </w:r>
      <w:r w:rsidR="00776DDF" w:rsidRPr="004A5029">
        <w:rPr>
          <w:rFonts w:ascii="Times New Roman" w:eastAsia="Times New Roman" w:hAnsi="Times New Roman" w:cs="Times New Roman"/>
          <w:color w:val="000000" w:themeColor="text1"/>
        </w:rPr>
        <w:t xml:space="preserve">della Repubblica italiana </w:t>
      </w:r>
      <w:r w:rsidR="000364DE" w:rsidRPr="004A5029">
        <w:rPr>
          <w:rFonts w:ascii="Times New Roman" w:eastAsia="Times New Roman" w:hAnsi="Times New Roman" w:cs="Times New Roman"/>
          <w:color w:val="000000" w:themeColor="text1"/>
        </w:rPr>
        <w:t>n. 54 del 5 marzo 2004</w:t>
      </w:r>
      <w:r w:rsidRPr="004A5029">
        <w:rPr>
          <w:rFonts w:ascii="Times New Roman" w:eastAsia="Times New Roman" w:hAnsi="Times New Roman" w:cs="Times New Roman"/>
          <w:color w:val="000000" w:themeColor="text1"/>
        </w:rPr>
        <w:t>.</w:t>
      </w:r>
    </w:p>
    <w:p w14:paraId="6728AB69" w14:textId="09901232"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3. Per le attività di indirizzo e pianificazione strategica, ricerca, supporto e alta consulenza, valutazione,  revisione della progettazione, monitoraggio e alta sorveglianza delle infrastrutture, il Ministero</w:t>
      </w:r>
      <w:r w:rsidR="00415DCA" w:rsidRPr="004A5029">
        <w:rPr>
          <w:rStyle w:val="Hyperlink0"/>
          <w:rFonts w:ascii="Times New Roman" w:hAnsi="Times New Roman" w:cs="Times New Roman"/>
          <w:color w:val="000000" w:themeColor="text1"/>
          <w:sz w:val="22"/>
          <w:szCs w:val="22"/>
        </w:rPr>
        <w:t xml:space="preserve"> </w:t>
      </w:r>
      <w:r w:rsidR="00415DCA" w:rsidRPr="004A5029">
        <w:rPr>
          <w:rStyle w:val="Hyperlink0"/>
          <w:rFonts w:ascii="Times New Roman" w:hAnsi="Times New Roman" w:cs="Times New Roman"/>
          <w:b/>
          <w:bCs/>
          <w:color w:val="000000" w:themeColor="text1"/>
          <w:sz w:val="22"/>
          <w:szCs w:val="22"/>
        </w:rPr>
        <w:t>delle infrastrutture e dei trasporti</w:t>
      </w:r>
      <w:r w:rsidRPr="004A5029">
        <w:rPr>
          <w:rStyle w:val="Hyperlink0"/>
          <w:rFonts w:ascii="Times New Roman" w:hAnsi="Times New Roman" w:cs="Times New Roman"/>
          <w:color w:val="000000" w:themeColor="text1"/>
          <w:sz w:val="22"/>
          <w:szCs w:val="22"/>
        </w:rPr>
        <w:t xml:space="preserve"> può avvalersi di una struttura tecnica di missione composta da dipendenti nei limiti dell'organico approvato e dirigenti delle pubbliche amministrazioni, da tecnici individuati dalle regioni o province autonome territorialmente coinvolte, nonché, sulla base di specifici incarichi professionali o rapporti di collaborazione coordinata e continuativa, da progettisti ed esperti  nella  gestione di lavori pubblici e privati e di procedure  amministrative. La struttura tecnica di missione è istituita con decreto del Ministro delle infrastrutture e dei trasporti. La struttura può, altresì, avvalersi di personale di alta specializzazione e professionalità, previa selezione, con contratti a tempo determinato di durata non superiore al quinquennio rinnovabile per una sola volta, nonché quali </w:t>
      </w:r>
      <w:r w:rsidRPr="004A5029">
        <w:rPr>
          <w:rStyle w:val="Hyperlink0"/>
          <w:rFonts w:ascii="Times New Roman" w:hAnsi="Times New Roman" w:cs="Times New Roman"/>
          <w:i/>
          <w:iCs/>
          <w:color w:val="000000" w:themeColor="text1"/>
          <w:sz w:val="22"/>
          <w:szCs w:val="22"/>
        </w:rPr>
        <w:t>advisor</w:t>
      </w:r>
      <w:r w:rsidRPr="004A5029">
        <w:rPr>
          <w:rStyle w:val="Hyperlink0"/>
          <w:rFonts w:ascii="Times New Roman" w:hAnsi="Times New Roman" w:cs="Times New Roman"/>
          <w:color w:val="000000" w:themeColor="text1"/>
          <w:sz w:val="22"/>
          <w:szCs w:val="22"/>
        </w:rPr>
        <w:t xml:space="preserve">, di </w:t>
      </w:r>
      <w:r w:rsidR="000364DE" w:rsidRPr="004A5029">
        <w:rPr>
          <w:rStyle w:val="Hyperlink0"/>
          <w:rFonts w:ascii="Times New Roman" w:hAnsi="Times New Roman" w:cs="Times New Roman"/>
          <w:color w:val="000000" w:themeColor="text1"/>
          <w:sz w:val="22"/>
          <w:szCs w:val="22"/>
        </w:rPr>
        <w:t>u</w:t>
      </w:r>
      <w:r w:rsidRPr="004A5029">
        <w:rPr>
          <w:rStyle w:val="Hyperlink0"/>
          <w:rFonts w:ascii="Times New Roman" w:hAnsi="Times New Roman" w:cs="Times New Roman"/>
          <w:color w:val="000000" w:themeColor="text1"/>
          <w:sz w:val="22"/>
          <w:szCs w:val="22"/>
        </w:rPr>
        <w:t xml:space="preserve">niversità statali e non statali legalmente riconosciute, di </w:t>
      </w:r>
      <w:r w:rsidR="000364DE" w:rsidRPr="004A5029">
        <w:rPr>
          <w:rStyle w:val="Hyperlink0"/>
          <w:rFonts w:ascii="Times New Roman" w:hAnsi="Times New Roman" w:cs="Times New Roman"/>
          <w:color w:val="000000" w:themeColor="text1"/>
          <w:sz w:val="22"/>
          <w:szCs w:val="22"/>
        </w:rPr>
        <w:t>e</w:t>
      </w:r>
      <w:r w:rsidRPr="004A5029">
        <w:rPr>
          <w:rStyle w:val="Hyperlink0"/>
          <w:rFonts w:ascii="Times New Roman" w:hAnsi="Times New Roman" w:cs="Times New Roman"/>
          <w:color w:val="000000" w:themeColor="text1"/>
          <w:sz w:val="22"/>
          <w:szCs w:val="22"/>
        </w:rPr>
        <w:t>nti di ricerca e di società specializzate nella progettazione e gestione di lavori pubblici e privati. La struttura svolge, altresì, le funzioni del Nucleo di valutazione e verifica degli investimenti pubblici, previste dall'</w:t>
      </w:r>
      <w:hyperlink r:id="rId47">
        <w:r w:rsidRPr="004A5029">
          <w:rPr>
            <w:rStyle w:val="Hyperlink8"/>
            <w:rFonts w:ascii="Times New Roman" w:hAnsi="Times New Roman" w:cs="Times New Roman"/>
            <w:color w:val="000000" w:themeColor="text1"/>
            <w:sz w:val="22"/>
            <w:szCs w:val="22"/>
          </w:rPr>
          <w:t>articolo 1 della legge 17 maggio 1999, n. 144</w:t>
        </w:r>
      </w:hyperlink>
      <w:r w:rsidRPr="004A5029">
        <w:rPr>
          <w:rStyle w:val="Hyperlink0"/>
          <w:rFonts w:ascii="Times New Roman" w:hAnsi="Times New Roman" w:cs="Times New Roman"/>
          <w:color w:val="000000" w:themeColor="text1"/>
          <w:sz w:val="22"/>
          <w:szCs w:val="22"/>
        </w:rPr>
        <w:t xml:space="preserve"> e dall'</w:t>
      </w:r>
      <w:r w:rsidRPr="004A5029">
        <w:rPr>
          <w:rStyle w:val="Hyperlink8"/>
          <w:rFonts w:ascii="Times New Roman" w:hAnsi="Times New Roman" w:cs="Times New Roman"/>
          <w:color w:val="000000" w:themeColor="text1"/>
          <w:sz w:val="22"/>
          <w:szCs w:val="22"/>
        </w:rPr>
        <w:t>articolo 7 del decreto legislativo 29 dicembre 2011, n. 228</w:t>
      </w:r>
      <w:r w:rsidRPr="004A5029">
        <w:rPr>
          <w:rStyle w:val="Hyperlink0"/>
          <w:rFonts w:ascii="Times New Roman" w:hAnsi="Times New Roman" w:cs="Times New Roman"/>
          <w:color w:val="000000" w:themeColor="text1"/>
          <w:sz w:val="22"/>
          <w:szCs w:val="22"/>
        </w:rPr>
        <w:t xml:space="preserve">. </w:t>
      </w:r>
    </w:p>
    <w:p w14:paraId="76CBF84F" w14:textId="77777777"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4. </w:t>
      </w:r>
      <w:r w:rsidRPr="004A5029">
        <w:rPr>
          <w:rStyle w:val="Hyperlink0"/>
          <w:rFonts w:ascii="Times New Roman" w:hAnsi="Times New Roman" w:cs="Times New Roman"/>
          <w:bCs/>
          <w:color w:val="000000" w:themeColor="text1"/>
          <w:sz w:val="22"/>
          <w:szCs w:val="22"/>
        </w:rPr>
        <w:t>Per</w:t>
      </w:r>
      <w:r w:rsidRPr="004A5029">
        <w:rPr>
          <w:rStyle w:val="Hyperlink0"/>
          <w:rFonts w:ascii="Times New Roman" w:hAnsi="Times New Roman" w:cs="Times New Roman"/>
          <w:color w:val="000000" w:themeColor="text1"/>
          <w:sz w:val="22"/>
          <w:szCs w:val="22"/>
        </w:rPr>
        <w:t xml:space="preserve"> agevolare, sin dall'inizio della fase istruttoria, la realizzazione di infrastrutture e insediamenti  prioritari, il Ministro delle infrastrutture e dei trasporti, sentiti i Ministri competenti, nonché i Presidenti delle regioni o  province autonome interessate, propone al Presidente  del  Consiglio  dei  ministri  la nomina di commissari straordinari, i quali seguono l'andamento  delle opere e provvedono alle opportune  azioni di indirizzo e  supporto </w:t>
      </w:r>
      <w:r w:rsidRPr="004A5029">
        <w:rPr>
          <w:rStyle w:val="Nessuno"/>
          <w:rFonts w:ascii="Times New Roman" w:hAnsi="Times New Roman" w:cs="Times New Roman"/>
          <w:color w:val="000000" w:themeColor="text1"/>
          <w:sz w:val="22"/>
          <w:szCs w:val="22"/>
        </w:rPr>
        <w:t xml:space="preserve">promuovendo </w:t>
      </w:r>
      <w:r w:rsidRPr="004A5029">
        <w:rPr>
          <w:rStyle w:val="Hyperlink0"/>
          <w:rFonts w:ascii="Times New Roman" w:hAnsi="Times New Roman" w:cs="Times New Roman"/>
          <w:color w:val="000000" w:themeColor="text1"/>
          <w:sz w:val="22"/>
          <w:szCs w:val="22"/>
        </w:rPr>
        <w:t xml:space="preserve">anche attività di  prevenzione dell'insorgenza dei conflitti e dei contenziosi, anche con riferimento alle esigenze delle </w:t>
      </w:r>
      <w:r w:rsidRPr="004A5029">
        <w:rPr>
          <w:rStyle w:val="Nessuno"/>
          <w:rFonts w:ascii="Times New Roman" w:hAnsi="Times New Roman" w:cs="Times New Roman"/>
          <w:color w:val="000000" w:themeColor="text1"/>
          <w:sz w:val="22"/>
          <w:szCs w:val="22"/>
        </w:rPr>
        <w:t>comunità locali, nonché</w:t>
      </w:r>
      <w:r w:rsidRPr="004A5029">
        <w:rPr>
          <w:rStyle w:val="Hyperlink0"/>
          <w:rFonts w:ascii="Times New Roman" w:hAnsi="Times New Roman" w:cs="Times New Roman"/>
          <w:b/>
          <w:bCs/>
          <w:color w:val="000000" w:themeColor="text1"/>
          <w:sz w:val="22"/>
          <w:szCs w:val="22"/>
        </w:rPr>
        <w:t xml:space="preserve"> </w:t>
      </w:r>
      <w:r w:rsidRPr="004A5029">
        <w:rPr>
          <w:rStyle w:val="Hyperlink0"/>
          <w:rFonts w:ascii="Times New Roman" w:hAnsi="Times New Roman" w:cs="Times New Roman"/>
          <w:color w:val="000000" w:themeColor="text1"/>
          <w:sz w:val="22"/>
          <w:szCs w:val="22"/>
        </w:rPr>
        <w:t xml:space="preserve">le  occorrenti intese tra i soggetti pubblici e privati interessati. Nell'espletamento delle suddette attività, e nel caso di particolare complessità delle stesse, il commissario straordinario può essere affiancato da un sub-commissario, nominato dal Presidente del Consiglio dei ministri, </w:t>
      </w:r>
      <w:r w:rsidRPr="004A5029">
        <w:rPr>
          <w:rStyle w:val="Nessuno"/>
          <w:rFonts w:ascii="Times New Roman" w:hAnsi="Times New Roman" w:cs="Times New Roman"/>
          <w:color w:val="000000" w:themeColor="text1"/>
          <w:sz w:val="22"/>
          <w:szCs w:val="22"/>
        </w:rPr>
        <w:t xml:space="preserve">su proposta dei Presidenti delle regioni o province autonome territorialmente coinvolte, con oneri a carico delle regioni o province autonome proponenti </w:t>
      </w:r>
      <w:r w:rsidRPr="004A5029">
        <w:rPr>
          <w:rStyle w:val="Hyperlink0"/>
          <w:rFonts w:ascii="Times New Roman" w:hAnsi="Times New Roman" w:cs="Times New Roman"/>
          <w:color w:val="000000" w:themeColor="text1"/>
          <w:sz w:val="22"/>
          <w:szCs w:val="22"/>
        </w:rPr>
        <w:t xml:space="preserve">ovvero a valere sulle risorse di cui </w:t>
      </w:r>
      <w:r w:rsidRPr="004A5029">
        <w:rPr>
          <w:rStyle w:val="Nessuno"/>
          <w:rFonts w:ascii="Times New Roman" w:hAnsi="Times New Roman" w:cs="Times New Roman"/>
          <w:color w:val="000000" w:themeColor="text1"/>
          <w:sz w:val="22"/>
          <w:szCs w:val="22"/>
        </w:rPr>
        <w:t>al comma 8</w:t>
      </w:r>
      <w:r w:rsidRPr="004A5029">
        <w:rPr>
          <w:rStyle w:val="Hyperlink0"/>
          <w:rFonts w:ascii="Times New Roman" w:hAnsi="Times New Roman" w:cs="Times New Roman"/>
          <w:color w:val="000000" w:themeColor="text1"/>
          <w:sz w:val="22"/>
          <w:szCs w:val="22"/>
        </w:rPr>
        <w:t>. Per le opere non aventi carattere interregionale o internazionale, la proposta di nomina del commissario straordinario è formulata d'intesa con la regione o la provincia autonoma o l'ente territoriale interessati.</w:t>
      </w:r>
    </w:p>
    <w:p w14:paraId="7A9A523A" w14:textId="14169487"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5. Gli oneri per il funzionamento della struttura tecnica di missione di cui al comma 3 trovano copertura sui fondi di cui all'</w:t>
      </w:r>
      <w:r w:rsidRPr="004A5029">
        <w:rPr>
          <w:rStyle w:val="Hyperlink8"/>
          <w:rFonts w:ascii="Times New Roman" w:hAnsi="Times New Roman" w:cs="Times New Roman"/>
          <w:color w:val="000000" w:themeColor="text1"/>
          <w:sz w:val="22"/>
          <w:szCs w:val="22"/>
        </w:rPr>
        <w:t>articolo 1, comma 238, della legge 30 dicembre 2004,  n.  311</w:t>
      </w:r>
      <w:r w:rsidRPr="004A5029">
        <w:rPr>
          <w:rStyle w:val="Hyperlink0"/>
          <w:rFonts w:ascii="Times New Roman" w:hAnsi="Times New Roman" w:cs="Times New Roman"/>
          <w:color w:val="000000" w:themeColor="text1"/>
          <w:sz w:val="22"/>
          <w:szCs w:val="22"/>
        </w:rPr>
        <w:t>, nonché sulle risorse assegnate annualmente al Ministero delle infrastrutture e de</w:t>
      </w:r>
      <w:r w:rsidR="00556B29" w:rsidRPr="004A5029">
        <w:rPr>
          <w:rStyle w:val="Hyperlink0"/>
          <w:rFonts w:ascii="Times New Roman" w:hAnsi="Times New Roman" w:cs="Times New Roman"/>
          <w:color w:val="000000" w:themeColor="text1"/>
          <w:sz w:val="22"/>
          <w:szCs w:val="22"/>
        </w:rPr>
        <w:t>i trasporti</w:t>
      </w:r>
      <w:r w:rsidRPr="004A5029">
        <w:rPr>
          <w:rStyle w:val="Hyperlink0"/>
          <w:rFonts w:ascii="Times New Roman" w:hAnsi="Times New Roman" w:cs="Times New Roman"/>
          <w:color w:val="000000" w:themeColor="text1"/>
          <w:sz w:val="22"/>
          <w:szCs w:val="22"/>
        </w:rPr>
        <w:t xml:space="preserve"> ai sensi della </w:t>
      </w:r>
      <w:r w:rsidRPr="004A5029">
        <w:rPr>
          <w:rStyle w:val="Hyperlink8"/>
          <w:rFonts w:ascii="Times New Roman" w:hAnsi="Times New Roman" w:cs="Times New Roman"/>
          <w:color w:val="000000" w:themeColor="text1"/>
          <w:sz w:val="22"/>
          <w:szCs w:val="22"/>
        </w:rPr>
        <w:t>legge n. 144 del 1999</w:t>
      </w:r>
      <w:r w:rsidRPr="004A5029">
        <w:rPr>
          <w:rStyle w:val="Hyperlink0"/>
          <w:rFonts w:ascii="Times New Roman" w:hAnsi="Times New Roman" w:cs="Times New Roman"/>
          <w:color w:val="000000" w:themeColor="text1"/>
          <w:sz w:val="22"/>
          <w:szCs w:val="22"/>
        </w:rPr>
        <w:t>.</w:t>
      </w:r>
    </w:p>
    <w:p w14:paraId="203B751B" w14:textId="72CEFB34"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6. Il Presidente del Consiglio dei ministri, su proposta del Ministro delle infrastrutture e dei trasporti, sentiti i Ministri competenti nonché, per le infrastrutture di competenza dei soggetti aggiudicatori </w:t>
      </w:r>
      <w:r w:rsidRPr="004A5029">
        <w:rPr>
          <w:rStyle w:val="Hyperlink3"/>
          <w:rFonts w:eastAsia="Arial Unicode MS"/>
          <w:color w:val="000000" w:themeColor="text1"/>
          <w:sz w:val="22"/>
          <w:szCs w:val="22"/>
        </w:rPr>
        <w:t>regionali, i presidenti delle regioni o province  autonome interessate, abilita eventualmente i commissari straordinari ad adottare, con le modalità e i poteri di cui all'</w:t>
      </w:r>
      <w:hyperlink r:id="rId48">
        <w:r w:rsidRPr="004A5029">
          <w:rPr>
            <w:rStyle w:val="Hyperlink8"/>
            <w:rFonts w:ascii="Times New Roman" w:hAnsi="Times New Roman" w:cs="Times New Roman"/>
            <w:color w:val="000000" w:themeColor="text1"/>
            <w:sz w:val="22"/>
            <w:szCs w:val="22"/>
          </w:rPr>
          <w:t>articolo 13 del decreto-legge 25 marzo 1997, n. 67</w:t>
        </w:r>
      </w:hyperlink>
      <w:r w:rsidRPr="004A5029">
        <w:rPr>
          <w:rStyle w:val="Hyperlink0"/>
          <w:rFonts w:ascii="Times New Roman" w:hAnsi="Times New Roman" w:cs="Times New Roman"/>
          <w:color w:val="000000" w:themeColor="text1"/>
          <w:sz w:val="22"/>
          <w:szCs w:val="22"/>
        </w:rPr>
        <w:t xml:space="preserve">, convertito, con modificazioni, dalla </w:t>
      </w:r>
      <w:hyperlink r:id="rId49">
        <w:r w:rsidRPr="004A5029">
          <w:rPr>
            <w:rStyle w:val="Hyperlink8"/>
            <w:rFonts w:ascii="Times New Roman" w:hAnsi="Times New Roman" w:cs="Times New Roman"/>
            <w:color w:val="000000" w:themeColor="text1"/>
            <w:sz w:val="22"/>
            <w:szCs w:val="22"/>
          </w:rPr>
          <w:t>legge 23 maggio 1997, n. 135</w:t>
        </w:r>
      </w:hyperlink>
      <w:r w:rsidRPr="004A5029">
        <w:rPr>
          <w:rStyle w:val="Hyperlink0"/>
          <w:rFonts w:ascii="Times New Roman" w:hAnsi="Times New Roman" w:cs="Times New Roman"/>
          <w:color w:val="000000" w:themeColor="text1"/>
          <w:sz w:val="22"/>
          <w:szCs w:val="22"/>
        </w:rPr>
        <w:t>, in sostituzione dei soggetti</w:t>
      </w:r>
      <w:r w:rsidRPr="004A5029">
        <w:rPr>
          <w:rStyle w:val="Hyperlink1"/>
          <w:rFonts w:ascii="Times New Roman" w:eastAsia="Times New Roman" w:hAnsi="Times New Roman" w:cs="Times New Roman"/>
          <w:color w:val="000000" w:themeColor="text1"/>
          <w:sz w:val="22"/>
          <w:szCs w:val="22"/>
        </w:rPr>
        <w:t xml:space="preserve"> </w:t>
      </w:r>
      <w:r w:rsidRPr="004A5029">
        <w:rPr>
          <w:rStyle w:val="Hyperlink0"/>
          <w:rFonts w:ascii="Times New Roman" w:hAnsi="Times New Roman" w:cs="Times New Roman"/>
          <w:color w:val="000000" w:themeColor="text1"/>
          <w:sz w:val="22"/>
          <w:szCs w:val="22"/>
        </w:rPr>
        <w:t>competenti, i provvedimenti e gli atti di qualsiasi natura necessari alla sollecita progettazione, istruttoria, affidamento e realizzazione delle infrastrutture e degli insediamenti produttivi.</w:t>
      </w:r>
    </w:p>
    <w:p w14:paraId="44EB5D9A" w14:textId="409BF80F"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7. I commissari  straordinari  </w:t>
      </w:r>
      <w:r w:rsidRPr="004A5029">
        <w:rPr>
          <w:rStyle w:val="Nessuno"/>
          <w:rFonts w:ascii="Times New Roman" w:hAnsi="Times New Roman" w:cs="Times New Roman"/>
          <w:color w:val="000000" w:themeColor="text1"/>
          <w:sz w:val="22"/>
          <w:szCs w:val="22"/>
        </w:rPr>
        <w:t>agiscono in autonomia e con l'obiettivo di garantire  l'interesse  pubblico  e</w:t>
      </w:r>
      <w:r w:rsidRPr="004A5029">
        <w:rPr>
          <w:rStyle w:val="Hyperlink0"/>
          <w:rFonts w:ascii="Times New Roman" w:hAnsi="Times New Roman" w:cs="Times New Roman"/>
          <w:color w:val="000000" w:themeColor="text1"/>
          <w:sz w:val="22"/>
          <w:szCs w:val="22"/>
        </w:rPr>
        <w:t xml:space="preserve">  riferiscono  al Presidente del Consiglio, al Ministro delle infrastrutture e dei trasporti e al CIPE</w:t>
      </w:r>
      <w:r w:rsidR="00F93B8B" w:rsidRPr="004A5029">
        <w:rPr>
          <w:rStyle w:val="Hyperlink0"/>
          <w:rFonts w:ascii="Times New Roman" w:hAnsi="Times New Roman" w:cs="Times New Roman"/>
          <w:color w:val="000000" w:themeColor="text1"/>
          <w:sz w:val="22"/>
          <w:szCs w:val="22"/>
        </w:rPr>
        <w:t>SS</w:t>
      </w:r>
      <w:r w:rsidRPr="004A5029">
        <w:rPr>
          <w:rStyle w:val="Hyperlink0"/>
          <w:rFonts w:ascii="Times New Roman" w:hAnsi="Times New Roman" w:cs="Times New Roman"/>
          <w:color w:val="000000" w:themeColor="text1"/>
          <w:sz w:val="22"/>
          <w:szCs w:val="22"/>
        </w:rPr>
        <w:t xml:space="preserve"> in ordine alle problematiche riscontrate e alle iniziative assunte  e operano secondo le direttive dai medesimi impartite e con il supporto del Ministero</w:t>
      </w:r>
      <w:r w:rsidR="00415DCA" w:rsidRPr="004A5029">
        <w:rPr>
          <w:rStyle w:val="Hyperlink0"/>
          <w:rFonts w:ascii="Times New Roman" w:hAnsi="Times New Roman" w:cs="Times New Roman"/>
          <w:color w:val="000000" w:themeColor="text1"/>
          <w:sz w:val="22"/>
          <w:szCs w:val="22"/>
        </w:rPr>
        <w:t xml:space="preserve"> </w:t>
      </w:r>
      <w:r w:rsidR="00415DCA" w:rsidRPr="004A5029">
        <w:rPr>
          <w:rStyle w:val="Hyperlink0"/>
          <w:rFonts w:ascii="Times New Roman" w:hAnsi="Times New Roman" w:cs="Times New Roman"/>
          <w:b/>
          <w:bCs/>
          <w:color w:val="000000" w:themeColor="text1"/>
          <w:sz w:val="22"/>
          <w:szCs w:val="22"/>
        </w:rPr>
        <w:t>delle infrastrutture e dei trasporti</w:t>
      </w:r>
      <w:r w:rsidRPr="004A5029">
        <w:rPr>
          <w:rStyle w:val="Hyperlink0"/>
          <w:rFonts w:ascii="Times New Roman" w:hAnsi="Times New Roman" w:cs="Times New Roman"/>
          <w:color w:val="000000" w:themeColor="text1"/>
          <w:sz w:val="22"/>
          <w:szCs w:val="22"/>
        </w:rPr>
        <w:t xml:space="preserve">, e, ove esistenti, della struttura tecnica di missione e degli </w:t>
      </w:r>
      <w:r w:rsidRPr="004A5029">
        <w:rPr>
          <w:rStyle w:val="Hyperlink0"/>
          <w:rFonts w:ascii="Times New Roman" w:hAnsi="Times New Roman" w:cs="Times New Roman"/>
          <w:i/>
          <w:iCs/>
          <w:color w:val="000000" w:themeColor="text1"/>
          <w:sz w:val="22"/>
          <w:szCs w:val="22"/>
        </w:rPr>
        <w:t>advisor</w:t>
      </w:r>
      <w:r w:rsidRPr="004A5029">
        <w:rPr>
          <w:rStyle w:val="Hyperlink0"/>
          <w:rFonts w:ascii="Times New Roman" w:hAnsi="Times New Roman" w:cs="Times New Roman"/>
          <w:color w:val="000000" w:themeColor="text1"/>
          <w:sz w:val="22"/>
          <w:szCs w:val="22"/>
        </w:rPr>
        <w:t>, acquisendo, per  il  tramite degli  stessi,  ogni occorrente studio e parere. Nei limiti dei costi autorizzati a norma del comma 8, i commissari straordinari e i sub-commissari si avvalgono della struttura di cui al comma 3, nonché delle competenti strutture regionali e possono avvalersi del supporto e della collaborazione dei soggetti terzi.</w:t>
      </w:r>
    </w:p>
    <w:p w14:paraId="281BAE53" w14:textId="77777777"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eastAsia="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 xml:space="preserve">8. Il decreto del Presidente del Consiglio dei ministri di nomina del commissario straordinario individua il compenso e i costi </w:t>
      </w:r>
      <w:r w:rsidRPr="004A5029">
        <w:rPr>
          <w:rStyle w:val="Nessuno"/>
          <w:rFonts w:ascii="Times New Roman" w:hAnsi="Times New Roman" w:cs="Times New Roman"/>
          <w:color w:val="000000" w:themeColor="text1"/>
          <w:sz w:val="22"/>
          <w:szCs w:val="22"/>
        </w:rPr>
        <w:t xml:space="preserve">pertinenti alle attività da svolgere dallo stesso, nonché le modalità di corresponsione degli stessi </w:t>
      </w:r>
      <w:r w:rsidRPr="004A5029">
        <w:rPr>
          <w:rStyle w:val="Hyperlink0"/>
          <w:rFonts w:ascii="Times New Roman" w:hAnsi="Times New Roman" w:cs="Times New Roman"/>
          <w:color w:val="000000" w:themeColor="text1"/>
          <w:sz w:val="22"/>
          <w:szCs w:val="22"/>
        </w:rPr>
        <w:t xml:space="preserve">a valere sulle risorse del quadro economico di ciascun intervento, nei limiti delle somme </w:t>
      </w:r>
      <w:r w:rsidRPr="004A5029">
        <w:rPr>
          <w:rStyle w:val="Nessuno"/>
          <w:rFonts w:ascii="Times New Roman" w:hAnsi="Times New Roman" w:cs="Times New Roman"/>
          <w:color w:val="000000" w:themeColor="text1"/>
          <w:sz w:val="22"/>
          <w:szCs w:val="22"/>
        </w:rPr>
        <w:t>stanziate per tale finalità</w:t>
      </w:r>
      <w:r w:rsidRPr="004A5029">
        <w:rPr>
          <w:rStyle w:val="Hyperlink0"/>
          <w:rFonts w:ascii="Times New Roman" w:hAnsi="Times New Roman" w:cs="Times New Roman"/>
          <w:color w:val="000000" w:themeColor="text1"/>
          <w:sz w:val="22"/>
          <w:szCs w:val="22"/>
        </w:rPr>
        <w:t>.</w:t>
      </w:r>
    </w:p>
    <w:p w14:paraId="68767BBF" w14:textId="1D53FA0C"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Fonts w:ascii="Times New Roman" w:eastAsia="Times New Roman" w:hAnsi="Times New Roman" w:cs="Times New Roman"/>
          <w:color w:val="000000" w:themeColor="text1"/>
          <w:sz w:val="22"/>
          <w:szCs w:val="22"/>
        </w:rPr>
      </w:pPr>
      <w:r w:rsidRPr="004A5029">
        <w:rPr>
          <w:rStyle w:val="Nessuno"/>
          <w:rFonts w:ascii="Times New Roman" w:hAnsi="Times New Roman" w:cs="Times New Roman"/>
          <w:color w:val="000000" w:themeColor="text1"/>
          <w:sz w:val="22"/>
          <w:szCs w:val="22"/>
        </w:rPr>
        <w:t>9</w:t>
      </w:r>
      <w:r w:rsidRPr="004A5029">
        <w:rPr>
          <w:rStyle w:val="Hyperlink0"/>
          <w:rFonts w:ascii="Times New Roman" w:hAnsi="Times New Roman" w:cs="Times New Roman"/>
          <w:i/>
          <w:iCs/>
          <w:color w:val="000000" w:themeColor="text1"/>
          <w:sz w:val="22"/>
          <w:szCs w:val="22"/>
        </w:rPr>
        <w:t xml:space="preserve">. </w:t>
      </w:r>
      <w:r w:rsidRPr="004A5029">
        <w:rPr>
          <w:rStyle w:val="Hyperlink0"/>
          <w:rFonts w:ascii="Times New Roman" w:hAnsi="Times New Roman" w:cs="Times New Roman"/>
          <w:color w:val="000000" w:themeColor="text1"/>
          <w:sz w:val="22"/>
          <w:szCs w:val="22"/>
        </w:rPr>
        <w:t>Ai commissari nominati ai sensi dell'</w:t>
      </w:r>
      <w:r w:rsidRPr="004A5029">
        <w:rPr>
          <w:rStyle w:val="Hyperlink8"/>
          <w:rFonts w:ascii="Times New Roman" w:hAnsi="Times New Roman" w:cs="Times New Roman"/>
          <w:color w:val="000000" w:themeColor="text1"/>
          <w:sz w:val="22"/>
          <w:szCs w:val="22"/>
        </w:rPr>
        <w:t>articolo 20 del decreto-legge 29 novembre 2008, n. 185</w:t>
      </w:r>
      <w:r w:rsidRPr="004A5029">
        <w:rPr>
          <w:rStyle w:val="Hyperlink0"/>
          <w:rFonts w:ascii="Times New Roman" w:hAnsi="Times New Roman" w:cs="Times New Roman"/>
          <w:color w:val="000000" w:themeColor="text1"/>
          <w:sz w:val="22"/>
          <w:szCs w:val="22"/>
        </w:rPr>
        <w:t xml:space="preserve">, convertito, con </w:t>
      </w:r>
      <w:r w:rsidRPr="004A5029">
        <w:rPr>
          <w:rStyle w:val="Nessuno"/>
          <w:rFonts w:ascii="Times New Roman" w:hAnsi="Times New Roman" w:cs="Times New Roman"/>
          <w:color w:val="000000" w:themeColor="text1"/>
          <w:sz w:val="22"/>
          <w:szCs w:val="22"/>
        </w:rPr>
        <w:t xml:space="preserve">modificazioni, dalla </w:t>
      </w:r>
      <w:r w:rsidRPr="004A5029">
        <w:rPr>
          <w:rStyle w:val="Hyperlink9"/>
          <w:rFonts w:eastAsia="Arial Unicode MS"/>
          <w:b w:val="0"/>
          <w:bCs w:val="0"/>
          <w:i w:val="0"/>
          <w:iCs w:val="0"/>
          <w:color w:val="000000" w:themeColor="text1"/>
          <w:sz w:val="22"/>
          <w:szCs w:val="22"/>
        </w:rPr>
        <w:t>legge 28 gennaio 2009, n. 2</w:t>
      </w:r>
      <w:r w:rsidRPr="004A5029">
        <w:rPr>
          <w:rStyle w:val="Nessuno"/>
          <w:rFonts w:ascii="Times New Roman" w:hAnsi="Times New Roman" w:cs="Times New Roman"/>
          <w:color w:val="000000" w:themeColor="text1"/>
          <w:sz w:val="22"/>
          <w:szCs w:val="22"/>
        </w:rPr>
        <w:t>,</w:t>
      </w:r>
      <w:r w:rsidRPr="004A5029">
        <w:rPr>
          <w:rStyle w:val="Nessuno"/>
          <w:rFonts w:ascii="Times New Roman" w:hAnsi="Times New Roman" w:cs="Times New Roman"/>
          <w:b/>
          <w:bCs/>
          <w:i/>
          <w:iCs/>
          <w:color w:val="000000" w:themeColor="text1"/>
          <w:sz w:val="22"/>
          <w:szCs w:val="22"/>
        </w:rPr>
        <w:t xml:space="preserve"> </w:t>
      </w:r>
      <w:r w:rsidRPr="004A5029">
        <w:rPr>
          <w:rStyle w:val="Nessuno"/>
          <w:rFonts w:ascii="Times New Roman" w:hAnsi="Times New Roman" w:cs="Times New Roman"/>
          <w:color w:val="000000" w:themeColor="text1"/>
          <w:sz w:val="22"/>
          <w:szCs w:val="22"/>
        </w:rPr>
        <w:t>per le opere di cui al presente articolo si applicano le disposizioni di cui ai commi da 4 a 8.</w:t>
      </w:r>
      <w:r w:rsidRPr="004A5029">
        <w:rPr>
          <w:rStyle w:val="Hyperlink0"/>
          <w:rFonts w:ascii="Times New Roman" w:hAnsi="Times New Roman" w:cs="Times New Roman"/>
          <w:color w:val="000000" w:themeColor="text1"/>
          <w:sz w:val="22"/>
          <w:szCs w:val="22"/>
        </w:rPr>
        <w:t xml:space="preserve"> </w:t>
      </w:r>
    </w:p>
    <w:p w14:paraId="2F86B5E6" w14:textId="321261E6" w:rsidR="0083753D" w:rsidRPr="004A5029" w:rsidRDefault="0083753D" w:rsidP="0083753D">
      <w:pPr>
        <w:pStyle w:val="PreformattatoHTML"/>
        <w:shd w:val="clear" w:color="auto" w:fill="FFFFFF" w:themeFill="background1"/>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spacing w:after="160" w:line="259" w:lineRule="auto"/>
        <w:jc w:val="both"/>
        <w:rPr>
          <w:rStyle w:val="Hyperlink0"/>
          <w:rFonts w:ascii="Times New Roman" w:hAnsi="Times New Roman" w:cs="Times New Roman"/>
          <w:color w:val="000000" w:themeColor="text1"/>
          <w:sz w:val="22"/>
          <w:szCs w:val="22"/>
        </w:rPr>
      </w:pPr>
      <w:r w:rsidRPr="004A5029">
        <w:rPr>
          <w:rStyle w:val="Hyperlink0"/>
          <w:rFonts w:ascii="Times New Roman" w:hAnsi="Times New Roman" w:cs="Times New Roman"/>
          <w:color w:val="000000" w:themeColor="text1"/>
          <w:sz w:val="22"/>
          <w:szCs w:val="22"/>
        </w:rPr>
        <w:t>10. Il Ministero delle infrastrutture e dei trasporti assicura</w:t>
      </w:r>
      <w:r w:rsidR="00B5546B" w:rsidRPr="004A5029">
        <w:rPr>
          <w:rStyle w:val="Hyperlink0"/>
          <w:rFonts w:ascii="Times New Roman" w:hAnsi="Times New Roman" w:cs="Times New Roman"/>
          <w:b/>
          <w:bCs/>
          <w:color w:val="000000" w:themeColor="text1"/>
          <w:sz w:val="22"/>
          <w:szCs w:val="22"/>
        </w:rPr>
        <w:t>,</w:t>
      </w:r>
      <w:r w:rsidRPr="004A5029">
        <w:rPr>
          <w:rStyle w:val="Hyperlink0"/>
          <w:rFonts w:ascii="Times New Roman" w:hAnsi="Times New Roman" w:cs="Times New Roman"/>
          <w:color w:val="000000" w:themeColor="text1"/>
          <w:sz w:val="22"/>
          <w:szCs w:val="22"/>
        </w:rPr>
        <w:t xml:space="preserve"> </w:t>
      </w:r>
      <w:r w:rsidRPr="004A5029">
        <w:rPr>
          <w:rFonts w:ascii="Times New Roman" w:eastAsia="Times New Roman" w:hAnsi="Times New Roman" w:cs="Times New Roman"/>
          <w:bCs/>
          <w:color w:val="000000" w:themeColor="text1"/>
          <w:sz w:val="22"/>
          <w:szCs w:val="22"/>
        </w:rPr>
        <w:t>anche attraverso la piattaforma del Servizio Contratti Pubblici</w:t>
      </w:r>
      <w:r w:rsidR="00B5546B" w:rsidRPr="004A5029">
        <w:rPr>
          <w:rStyle w:val="Hyperlink0"/>
          <w:rFonts w:ascii="Times New Roman" w:hAnsi="Times New Roman" w:cs="Times New Roman"/>
          <w:b/>
          <w:bCs/>
          <w:color w:val="000000" w:themeColor="text1"/>
          <w:sz w:val="22"/>
          <w:szCs w:val="22"/>
        </w:rPr>
        <w:t>,</w:t>
      </w:r>
      <w:r w:rsidRPr="004A5029">
        <w:rPr>
          <w:rFonts w:ascii="Times New Roman" w:hAnsi="Times New Roman" w:cs="Times New Roman"/>
          <w:color w:val="000000" w:themeColor="text1"/>
          <w:sz w:val="22"/>
          <w:szCs w:val="22"/>
        </w:rPr>
        <w:t xml:space="preserve"> </w:t>
      </w:r>
      <w:r w:rsidRPr="004A5029">
        <w:rPr>
          <w:rStyle w:val="Hyperlink0"/>
          <w:rFonts w:ascii="Times New Roman" w:hAnsi="Times New Roman" w:cs="Times New Roman"/>
          <w:color w:val="000000" w:themeColor="text1"/>
          <w:sz w:val="22"/>
          <w:szCs w:val="22"/>
        </w:rPr>
        <w:t>il supporto e l'assistenza necessari alle stazioni appaltanti per l'applicazione della disciplina di settore, in collaborazione con le regioni e le province autonome di Trento e di Bolzano nell'ambito delle attività che queste esercitano ai sensi del codice.</w:t>
      </w:r>
    </w:p>
    <w:p w14:paraId="62F015AF" w14:textId="77777777" w:rsidR="0083753D" w:rsidRPr="004A5029" w:rsidRDefault="0083753D" w:rsidP="0083753D">
      <w:pPr>
        <w:rPr>
          <w:rStyle w:val="Nessuno"/>
          <w:rFonts w:ascii="Times New Roman" w:eastAsia="Times New Roman" w:hAnsi="Times New Roman" w:cs="Times New Roman"/>
          <w:color w:val="000000" w:themeColor="text1"/>
        </w:rPr>
      </w:pPr>
    </w:p>
    <w:p w14:paraId="1B15DD1D" w14:textId="77777777" w:rsidR="0083753D" w:rsidRPr="004A5029" w:rsidRDefault="0083753D" w:rsidP="0083753D">
      <w:pPr>
        <w:jc w:val="both"/>
        <w:rPr>
          <w:rStyle w:val="Nessuno"/>
          <w:rFonts w:ascii="Times New Roman" w:eastAsia="Times New Roman" w:hAnsi="Times New Roman" w:cs="Times New Roman"/>
          <w:color w:val="000000" w:themeColor="text1"/>
        </w:rPr>
      </w:pPr>
      <w:r w:rsidRPr="004A5029">
        <w:rPr>
          <w:rStyle w:val="Nessuno"/>
          <w:rFonts w:ascii="Times New Roman" w:eastAsia="Times New Roman" w:hAnsi="Times New Roman" w:cs="Times New Roman"/>
          <w:color w:val="000000" w:themeColor="text1"/>
        </w:rPr>
        <w:br w:type="page"/>
      </w:r>
    </w:p>
    <w:p w14:paraId="7ACF8980"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PARTE III</w:t>
      </w:r>
    </w:p>
    <w:p w14:paraId="585BADE9" w14:textId="77777777" w:rsidR="0083753D" w:rsidRPr="004A5029" w:rsidRDefault="0083753D" w:rsidP="0083753D">
      <w:pPr>
        <w:jc w:val="center"/>
        <w:rPr>
          <w:rFonts w:ascii="Times New Roman" w:hAnsi="Times New Roman" w:cs="Times New Roman"/>
          <w:b/>
          <w:bCs/>
          <w:color w:val="000000" w:themeColor="text1"/>
        </w:rPr>
      </w:pPr>
      <w:r w:rsidRPr="004A5029">
        <w:rPr>
          <w:rFonts w:ascii="Times New Roman" w:hAnsi="Times New Roman" w:cs="Times New Roman"/>
          <w:b/>
          <w:bCs/>
          <w:color w:val="000000" w:themeColor="text1"/>
        </w:rPr>
        <w:t>DISPOSIZIONI TRANSITORIE, DI COORDINAMENTO E ABROGAZIONI</w:t>
      </w:r>
    </w:p>
    <w:p w14:paraId="6E681184" w14:textId="77777777" w:rsidR="0083753D" w:rsidRPr="004A5029" w:rsidRDefault="0083753D" w:rsidP="0083753D">
      <w:pPr>
        <w:jc w:val="center"/>
        <w:rPr>
          <w:rFonts w:ascii="Times New Roman" w:hAnsi="Times New Roman" w:cs="Times New Roman"/>
          <w:color w:val="000000" w:themeColor="text1"/>
        </w:rPr>
      </w:pPr>
    </w:p>
    <w:p w14:paraId="721506ED" w14:textId="75EDAC02" w:rsidR="0083753D" w:rsidRPr="004A5029" w:rsidRDefault="0083753D" w:rsidP="0083753D">
      <w:pPr>
        <w:jc w:val="both"/>
        <w:rPr>
          <w:rFonts w:ascii="Times New Roman" w:eastAsia="Times New Roman" w:hAnsi="Times New Roman" w:cs="Times New Roman"/>
          <w:b/>
          <w:bCs/>
          <w:i/>
          <w:iCs/>
          <w:color w:val="000000" w:themeColor="text1"/>
        </w:rPr>
      </w:pPr>
      <w:r w:rsidRPr="004A5029">
        <w:rPr>
          <w:rFonts w:ascii="Times New Roman" w:eastAsia="Times New Roman" w:hAnsi="Times New Roman" w:cs="Times New Roman"/>
          <w:b/>
          <w:bCs/>
          <w:color w:val="000000" w:themeColor="text1"/>
        </w:rPr>
        <w:t>Articolo 22</w:t>
      </w:r>
      <w:r w:rsidR="00E4542D" w:rsidRPr="004A5029">
        <w:rPr>
          <w:rFonts w:ascii="Times New Roman" w:eastAsia="Times New Roman" w:hAnsi="Times New Roman" w:cs="Times New Roman"/>
          <w:b/>
          <w:bCs/>
          <w:color w:val="000000" w:themeColor="text1"/>
        </w:rPr>
        <w:t>4</w:t>
      </w:r>
      <w:r w:rsidRPr="004A5029">
        <w:rPr>
          <w:rFonts w:ascii="Times New Roman" w:eastAsia="Times New Roman" w:hAnsi="Times New Roman" w:cs="Times New Roman"/>
          <w:b/>
          <w:bCs/>
          <w:color w:val="000000" w:themeColor="text1"/>
        </w:rPr>
        <w:t>.</w:t>
      </w:r>
    </w:p>
    <w:p w14:paraId="24BC1B34" w14:textId="77777777" w:rsidR="0083753D" w:rsidRPr="004A5029" w:rsidRDefault="0083753D" w:rsidP="0083753D">
      <w:pPr>
        <w:jc w:val="both"/>
        <w:rPr>
          <w:rFonts w:ascii="Times New Roman" w:eastAsia="Times New Roman" w:hAnsi="Times New Roman" w:cs="Times New Roman"/>
          <w:i/>
          <w:color w:val="000000" w:themeColor="text1"/>
        </w:rPr>
      </w:pPr>
      <w:r w:rsidRPr="004A5029">
        <w:rPr>
          <w:rStyle w:val="Hyperlink0"/>
          <w:rFonts w:ascii="Times New Roman" w:hAnsi="Times New Roman" w:cs="Times New Roman"/>
          <w:i/>
          <w:color w:val="000000" w:themeColor="text1"/>
        </w:rPr>
        <w:t>Disposizioni ulteriori.</w:t>
      </w:r>
    </w:p>
    <w:p w14:paraId="40053541" w14:textId="77777777" w:rsidR="0083753D" w:rsidRPr="004A5029" w:rsidRDefault="0083753D" w:rsidP="0083753D">
      <w:pPr>
        <w:pStyle w:val="Corpodeltesto"/>
        <w:spacing w:after="160" w:line="259" w:lineRule="auto"/>
        <w:ind w:left="0"/>
        <w:rPr>
          <w:rFonts w:ascii="Times New Roman" w:hAnsi="Times New Roman" w:cs="Times New Roman"/>
          <w:bCs/>
          <w:color w:val="000000" w:themeColor="text1"/>
          <w:sz w:val="22"/>
          <w:szCs w:val="22"/>
        </w:rPr>
      </w:pPr>
      <w:r w:rsidRPr="004A5029">
        <w:rPr>
          <w:rStyle w:val="Nessuno"/>
          <w:rFonts w:ascii="Times New Roman" w:hAnsi="Times New Roman" w:cs="Times New Roman"/>
          <w:bCs/>
          <w:color w:val="000000" w:themeColor="text1"/>
          <w:sz w:val="22"/>
          <w:szCs w:val="22"/>
        </w:rPr>
        <w:t xml:space="preserve">1. Le disposizioni di cui agli articoli da 215 a 219 si applicano anche ai collegi già costituiti ed operanti alla data di entrata in vigore del codice. </w:t>
      </w:r>
    </w:p>
    <w:p w14:paraId="54DBE7EA" w14:textId="4C14BF84" w:rsidR="0083753D" w:rsidRPr="004A5029" w:rsidRDefault="0083753D" w:rsidP="0083753D">
      <w:pPr>
        <w:pStyle w:val="Corpodeltesto"/>
        <w:spacing w:after="160" w:line="259" w:lineRule="auto"/>
        <w:ind w:left="0"/>
        <w:rPr>
          <w:rFonts w:ascii="Times New Roman" w:hAnsi="Times New Roman" w:cs="Times New Roman"/>
          <w:b/>
          <w:bCs/>
          <w:strike/>
          <w:color w:val="000000" w:themeColor="text1"/>
          <w:sz w:val="22"/>
          <w:szCs w:val="22"/>
        </w:rPr>
      </w:pPr>
      <w:r w:rsidRPr="004A5029">
        <w:rPr>
          <w:rStyle w:val="Nessuno"/>
          <w:rFonts w:ascii="Times New Roman" w:hAnsi="Times New Roman" w:cs="Times New Roman"/>
          <w:b/>
          <w:bCs/>
          <w:strike/>
          <w:color w:val="000000" w:themeColor="text1"/>
          <w:sz w:val="22"/>
          <w:szCs w:val="22"/>
        </w:rPr>
        <w:t xml:space="preserve">2. L’articolo 6 del decreto-legge 16 luglio 2020, n. 76, convertito, con modificazioni, dalla legge 11 settembre 2020, n. 120, è abrogato. </w:t>
      </w:r>
    </w:p>
    <w:p w14:paraId="37F125D8" w14:textId="77D0A7C5" w:rsidR="0083753D" w:rsidRPr="004A5029" w:rsidRDefault="0083753D" w:rsidP="0083753D">
      <w:pPr>
        <w:pStyle w:val="Corpodeltesto"/>
        <w:spacing w:after="160" w:line="259" w:lineRule="auto"/>
        <w:ind w:left="0"/>
        <w:rPr>
          <w:rFonts w:ascii="Times New Roman" w:eastAsia="Times New Roman" w:hAnsi="Times New Roman" w:cs="Times New Roman"/>
          <w:bCs/>
          <w:strike/>
          <w:color w:val="000000" w:themeColor="text1"/>
          <w:sz w:val="22"/>
          <w:szCs w:val="22"/>
        </w:rPr>
      </w:pPr>
      <w:r w:rsidRPr="004A5029">
        <w:rPr>
          <w:rFonts w:ascii="Times New Roman" w:eastAsia="Times New Roman" w:hAnsi="Times New Roman" w:cs="Times New Roman"/>
          <w:b/>
          <w:strike/>
          <w:color w:val="000000" w:themeColor="text1"/>
          <w:sz w:val="22"/>
          <w:szCs w:val="22"/>
        </w:rPr>
        <w:t>3.</w:t>
      </w:r>
      <w:r w:rsidR="007A5D68" w:rsidRPr="006B7553">
        <w:rPr>
          <w:rFonts w:ascii="Times New Roman" w:eastAsia="Times New Roman" w:hAnsi="Times New Roman" w:cs="Times New Roman"/>
          <w:b/>
          <w:color w:val="000000" w:themeColor="text1"/>
          <w:sz w:val="22"/>
          <w:szCs w:val="22"/>
        </w:rPr>
        <w:t>2</w:t>
      </w:r>
      <w:r w:rsidR="007A5D68" w:rsidRPr="006B7553">
        <w:rPr>
          <w:rFonts w:ascii="Times New Roman" w:eastAsia="Times New Roman" w:hAnsi="Times New Roman" w:cs="Times New Roman"/>
          <w:bCs/>
          <w:color w:val="000000" w:themeColor="text1"/>
          <w:sz w:val="22"/>
          <w:szCs w:val="22"/>
        </w:rPr>
        <w:t>.</w:t>
      </w:r>
      <w:r w:rsidRPr="004A5029">
        <w:rPr>
          <w:rFonts w:ascii="Times New Roman" w:eastAsia="Times New Roman" w:hAnsi="Times New Roman" w:cs="Times New Roman"/>
          <w:bCs/>
          <w:strike/>
          <w:color w:val="000000" w:themeColor="text1"/>
          <w:sz w:val="22"/>
          <w:szCs w:val="22"/>
        </w:rPr>
        <w:t xml:space="preserve"> </w:t>
      </w:r>
      <w:r w:rsidRPr="00272CD4">
        <w:rPr>
          <w:rFonts w:ascii="Times New Roman" w:eastAsia="Times New Roman" w:hAnsi="Times New Roman" w:cs="Times New Roman"/>
          <w:b/>
          <w:strike/>
          <w:color w:val="000000" w:themeColor="text1"/>
          <w:sz w:val="22"/>
          <w:szCs w:val="22"/>
        </w:rPr>
        <w:t xml:space="preserve">Salvo quanto previsto </w:t>
      </w:r>
      <w:r w:rsidR="000B21A1" w:rsidRPr="00272CD4">
        <w:rPr>
          <w:rFonts w:ascii="Times New Roman" w:eastAsia="Times New Roman" w:hAnsi="Times New Roman" w:cs="Times New Roman"/>
          <w:b/>
          <w:strike/>
          <w:color w:val="000000" w:themeColor="text1"/>
          <w:sz w:val="22"/>
          <w:szCs w:val="22"/>
        </w:rPr>
        <w:t>d</w:t>
      </w:r>
      <w:r w:rsidRPr="00272CD4">
        <w:rPr>
          <w:rFonts w:ascii="Times New Roman" w:eastAsia="Times New Roman" w:hAnsi="Times New Roman" w:cs="Times New Roman"/>
          <w:b/>
          <w:strike/>
          <w:color w:val="000000" w:themeColor="text1"/>
          <w:sz w:val="22"/>
          <w:szCs w:val="22"/>
        </w:rPr>
        <w:t>al comma 4,</w:t>
      </w:r>
      <w:r w:rsidRPr="00272CD4">
        <w:rPr>
          <w:rFonts w:ascii="Times New Roman" w:eastAsia="Times New Roman" w:hAnsi="Times New Roman" w:cs="Times New Roman"/>
          <w:bCs/>
          <w:strike/>
          <w:color w:val="000000" w:themeColor="text1"/>
          <w:sz w:val="22"/>
          <w:szCs w:val="22"/>
        </w:rPr>
        <w:t xml:space="preserve"> </w:t>
      </w:r>
      <w:r w:rsidR="00272CD4" w:rsidRPr="00272CD4">
        <w:rPr>
          <w:rFonts w:ascii="Times New Roman" w:eastAsia="Times New Roman" w:hAnsi="Times New Roman" w:cs="Times New Roman"/>
          <w:bCs/>
          <w:color w:val="000000" w:themeColor="text1"/>
          <w:sz w:val="22"/>
          <w:szCs w:val="22"/>
        </w:rPr>
        <w:t>D</w:t>
      </w:r>
      <w:r w:rsidRPr="00272CD4">
        <w:rPr>
          <w:rFonts w:ascii="Times New Roman" w:eastAsia="Times New Roman" w:hAnsi="Times New Roman" w:cs="Times New Roman"/>
          <w:bCs/>
          <w:color w:val="000000" w:themeColor="text1"/>
          <w:sz w:val="22"/>
          <w:szCs w:val="22"/>
        </w:rPr>
        <w:t>alla data</w:t>
      </w:r>
      <w:r w:rsidR="00BB6D94" w:rsidRPr="00272CD4">
        <w:rPr>
          <w:rFonts w:ascii="Times New Roman" w:eastAsia="Times New Roman" w:hAnsi="Times New Roman" w:cs="Times New Roman"/>
          <w:bCs/>
          <w:color w:val="000000" w:themeColor="text1"/>
          <w:sz w:val="22"/>
          <w:szCs w:val="22"/>
        </w:rPr>
        <w:t xml:space="preserve"> </w:t>
      </w:r>
      <w:r w:rsidR="00272CD4" w:rsidRPr="00272CD4">
        <w:rPr>
          <w:rFonts w:ascii="Times New Roman" w:eastAsia="Times New Roman" w:hAnsi="Times New Roman" w:cs="Times New Roman"/>
          <w:b/>
          <w:strike/>
          <w:color w:val="000000" w:themeColor="text1"/>
          <w:sz w:val="22"/>
          <w:szCs w:val="22"/>
        </w:rPr>
        <w:t>di entrata in vigore del codice</w:t>
      </w:r>
      <w:r w:rsidR="00272CD4">
        <w:rPr>
          <w:rFonts w:ascii="Times New Roman" w:eastAsia="Times New Roman" w:hAnsi="Times New Roman" w:cs="Times New Roman"/>
          <w:bCs/>
          <w:color w:val="000000" w:themeColor="text1"/>
          <w:sz w:val="22"/>
          <w:szCs w:val="22"/>
        </w:rPr>
        <w:t xml:space="preserve"> </w:t>
      </w:r>
      <w:r w:rsidR="00272CD4" w:rsidRPr="00272CD4">
        <w:rPr>
          <w:rFonts w:ascii="Times New Roman" w:eastAsia="Times New Roman" w:hAnsi="Times New Roman" w:cs="Times New Roman"/>
          <w:b/>
          <w:color w:val="000000" w:themeColor="text1"/>
          <w:sz w:val="22"/>
          <w:szCs w:val="22"/>
        </w:rPr>
        <w:t>in cui il codice acquista efficacia</w:t>
      </w:r>
      <w:r w:rsidRPr="00272CD4">
        <w:rPr>
          <w:rFonts w:ascii="Times New Roman" w:eastAsia="Times New Roman" w:hAnsi="Times New Roman" w:cs="Times New Roman"/>
          <w:bCs/>
          <w:color w:val="000000" w:themeColor="text1"/>
          <w:sz w:val="22"/>
          <w:szCs w:val="22"/>
        </w:rPr>
        <w:t xml:space="preserve"> al decreto-legge </w:t>
      </w:r>
      <w:r w:rsidR="00272CD4" w:rsidRPr="004A5029">
        <w:rPr>
          <w:rFonts w:ascii="Times New Roman" w:eastAsia="Times New Roman" w:hAnsi="Times New Roman" w:cs="Times New Roman"/>
          <w:b/>
          <w:color w:val="000000" w:themeColor="text1"/>
          <w:sz w:val="22"/>
          <w:szCs w:val="22"/>
        </w:rPr>
        <w:t xml:space="preserve">16 luglio 2020, n. 76, </w:t>
      </w:r>
      <w:r w:rsidRPr="00272CD4">
        <w:rPr>
          <w:rFonts w:ascii="Times New Roman" w:eastAsia="Times New Roman" w:hAnsi="Times New Roman" w:cs="Times New Roman"/>
          <w:b/>
          <w:strike/>
          <w:color w:val="000000" w:themeColor="text1"/>
          <w:sz w:val="22"/>
          <w:szCs w:val="22"/>
        </w:rPr>
        <w:t>n. 76 del 2020</w:t>
      </w:r>
      <w:r w:rsidR="000B21A1" w:rsidRPr="00272CD4">
        <w:rPr>
          <w:rFonts w:ascii="Times New Roman" w:eastAsia="Times New Roman" w:hAnsi="Times New Roman" w:cs="Times New Roman"/>
          <w:bCs/>
          <w:color w:val="000000" w:themeColor="text1"/>
          <w:sz w:val="22"/>
          <w:szCs w:val="22"/>
        </w:rPr>
        <w:t xml:space="preserve">, </w:t>
      </w:r>
      <w:r w:rsidR="000B21A1" w:rsidRPr="00272CD4">
        <w:rPr>
          <w:rStyle w:val="Nessuno"/>
          <w:rFonts w:ascii="Times New Roman" w:hAnsi="Times New Roman" w:cs="Times New Roman"/>
          <w:color w:val="000000" w:themeColor="text1"/>
          <w:sz w:val="22"/>
          <w:szCs w:val="22"/>
        </w:rPr>
        <w:t>convertito, con modificazioni, dalla legge</w:t>
      </w:r>
      <w:r w:rsidR="006B7553">
        <w:rPr>
          <w:rStyle w:val="Nessuno"/>
          <w:rFonts w:ascii="Times New Roman" w:hAnsi="Times New Roman" w:cs="Times New Roman"/>
          <w:color w:val="000000" w:themeColor="text1"/>
          <w:sz w:val="22"/>
          <w:szCs w:val="22"/>
        </w:rPr>
        <w:t xml:space="preserve"> </w:t>
      </w:r>
      <w:r w:rsidR="006B7553" w:rsidRPr="004A5029">
        <w:rPr>
          <w:rFonts w:ascii="Times New Roman" w:eastAsia="Times New Roman" w:hAnsi="Times New Roman" w:cs="Times New Roman"/>
          <w:b/>
          <w:color w:val="000000" w:themeColor="text1"/>
          <w:sz w:val="22"/>
          <w:szCs w:val="22"/>
        </w:rPr>
        <w:t>11 settembre 2020, n. 120</w:t>
      </w:r>
      <w:r w:rsidR="000B21A1" w:rsidRPr="00272CD4">
        <w:rPr>
          <w:rStyle w:val="Nessuno"/>
          <w:rFonts w:ascii="Times New Roman" w:hAnsi="Times New Roman" w:cs="Times New Roman"/>
          <w:color w:val="000000" w:themeColor="text1"/>
          <w:sz w:val="22"/>
          <w:szCs w:val="22"/>
        </w:rPr>
        <w:t xml:space="preserve"> </w:t>
      </w:r>
      <w:r w:rsidR="000B21A1" w:rsidRPr="006B7553">
        <w:rPr>
          <w:rStyle w:val="Nessuno"/>
          <w:rFonts w:ascii="Times New Roman" w:hAnsi="Times New Roman" w:cs="Times New Roman"/>
          <w:b/>
          <w:bCs/>
          <w:strike/>
          <w:color w:val="000000" w:themeColor="text1"/>
          <w:sz w:val="22"/>
          <w:szCs w:val="22"/>
        </w:rPr>
        <w:t>n. 120 del 2020</w:t>
      </w:r>
      <w:r w:rsidR="000B21A1" w:rsidRPr="00272CD4">
        <w:rPr>
          <w:rStyle w:val="Nessuno"/>
          <w:rFonts w:ascii="Times New Roman" w:hAnsi="Times New Roman" w:cs="Times New Roman"/>
          <w:color w:val="000000" w:themeColor="text1"/>
          <w:sz w:val="22"/>
          <w:szCs w:val="22"/>
        </w:rPr>
        <w:t>,</w:t>
      </w:r>
      <w:r w:rsidRPr="00272CD4">
        <w:rPr>
          <w:rFonts w:ascii="Times New Roman" w:eastAsia="Times New Roman" w:hAnsi="Times New Roman" w:cs="Times New Roman"/>
          <w:bCs/>
          <w:color w:val="000000" w:themeColor="text1"/>
          <w:sz w:val="22"/>
          <w:szCs w:val="22"/>
        </w:rPr>
        <w:t xml:space="preserve"> sono apportate le seguenti modificazioni:</w:t>
      </w:r>
    </w:p>
    <w:p w14:paraId="402A681E" w14:textId="5D02AFC3" w:rsidR="0083753D" w:rsidRDefault="0083753D" w:rsidP="0083753D">
      <w:pPr>
        <w:pStyle w:val="Corpodeltesto"/>
        <w:spacing w:after="160" w:line="259" w:lineRule="auto"/>
        <w:ind w:left="0"/>
        <w:rPr>
          <w:rFonts w:ascii="Times New Roman" w:eastAsia="Times New Roman" w:hAnsi="Times New Roman" w:cs="Times New Roman"/>
          <w:b/>
          <w:strike/>
          <w:color w:val="000000" w:themeColor="text1"/>
          <w:sz w:val="22"/>
          <w:szCs w:val="22"/>
        </w:rPr>
      </w:pPr>
      <w:r w:rsidRPr="006B7553">
        <w:rPr>
          <w:rFonts w:ascii="Times New Roman" w:eastAsia="Times New Roman" w:hAnsi="Times New Roman" w:cs="Times New Roman"/>
          <w:b/>
          <w:strike/>
          <w:color w:val="000000" w:themeColor="text1"/>
          <w:sz w:val="22"/>
          <w:szCs w:val="22"/>
        </w:rPr>
        <w:t>a) all’articolo 1</w:t>
      </w:r>
      <w:r w:rsidR="000B21A1" w:rsidRPr="006B7553">
        <w:rPr>
          <w:rFonts w:ascii="Times New Roman" w:eastAsia="Times New Roman" w:hAnsi="Times New Roman" w:cs="Times New Roman"/>
          <w:b/>
          <w:strike/>
          <w:color w:val="000000" w:themeColor="text1"/>
          <w:sz w:val="22"/>
          <w:szCs w:val="22"/>
        </w:rPr>
        <w:t>,</w:t>
      </w:r>
      <w:r w:rsidRPr="006B7553">
        <w:rPr>
          <w:rFonts w:ascii="Times New Roman" w:eastAsia="Times New Roman" w:hAnsi="Times New Roman" w:cs="Times New Roman"/>
          <w:b/>
          <w:strike/>
          <w:color w:val="000000" w:themeColor="text1"/>
          <w:sz w:val="22"/>
          <w:szCs w:val="22"/>
        </w:rPr>
        <w:t xml:space="preserve"> i commi 1, 2, lettere a) e b), 3, 4 e 5-</w:t>
      </w:r>
      <w:r w:rsidRPr="006B7553">
        <w:rPr>
          <w:rFonts w:ascii="Times New Roman" w:eastAsia="Times New Roman" w:hAnsi="Times New Roman" w:cs="Times New Roman"/>
          <w:b/>
          <w:i/>
          <w:iCs/>
          <w:strike/>
          <w:color w:val="000000" w:themeColor="text1"/>
          <w:sz w:val="22"/>
          <w:szCs w:val="22"/>
        </w:rPr>
        <w:t>bis</w:t>
      </w:r>
      <w:r w:rsidRPr="006B7553">
        <w:rPr>
          <w:rFonts w:ascii="Times New Roman" w:eastAsia="Times New Roman" w:hAnsi="Times New Roman" w:cs="Times New Roman"/>
          <w:b/>
          <w:strike/>
          <w:color w:val="000000" w:themeColor="text1"/>
          <w:sz w:val="22"/>
          <w:szCs w:val="22"/>
        </w:rPr>
        <w:t xml:space="preserve"> sono abrogati;</w:t>
      </w:r>
    </w:p>
    <w:p w14:paraId="504C3DA0" w14:textId="77777777" w:rsidR="009F04A1" w:rsidRPr="00BD54D8" w:rsidRDefault="009F04A1" w:rsidP="009F04A1">
      <w:pPr>
        <w:pStyle w:val="Corpodeltesto"/>
        <w:spacing w:after="160" w:line="259" w:lineRule="auto"/>
        <w:ind w:left="0"/>
        <w:rPr>
          <w:rFonts w:ascii="Times New Roman" w:eastAsia="Times New Roman" w:hAnsi="Times New Roman" w:cs="Times New Roman"/>
          <w:bCs/>
          <w:color w:val="auto"/>
          <w:sz w:val="22"/>
          <w:szCs w:val="22"/>
        </w:rPr>
      </w:pPr>
      <w:r w:rsidRPr="00BD54D8">
        <w:rPr>
          <w:rFonts w:ascii="Times New Roman" w:eastAsia="Times New Roman" w:hAnsi="Times New Roman" w:cs="Times New Roman"/>
          <w:bCs/>
          <w:color w:val="auto"/>
          <w:sz w:val="22"/>
          <w:szCs w:val="22"/>
        </w:rPr>
        <w:t xml:space="preserve">a) </w:t>
      </w:r>
      <w:r w:rsidRPr="00BD54D8">
        <w:rPr>
          <w:rFonts w:ascii="Times New Roman" w:eastAsia="Times New Roman" w:hAnsi="Times New Roman" w:cs="Times New Roman"/>
          <w:b/>
          <w:color w:val="auto"/>
          <w:sz w:val="22"/>
          <w:szCs w:val="22"/>
        </w:rPr>
        <w:t>all’articolo 1, il comma 5 è sostituito dal seguente</w:t>
      </w:r>
      <w:r w:rsidRPr="00BD54D8">
        <w:rPr>
          <w:rFonts w:ascii="Times New Roman" w:eastAsia="Times New Roman" w:hAnsi="Times New Roman" w:cs="Times New Roman"/>
          <w:bCs/>
          <w:color w:val="auto"/>
          <w:sz w:val="22"/>
          <w:szCs w:val="22"/>
        </w:rPr>
        <w:t xml:space="preserve">: </w:t>
      </w:r>
    </w:p>
    <w:p w14:paraId="17E506EF" w14:textId="77777777" w:rsidR="009F04A1" w:rsidRPr="00BD54D8" w:rsidRDefault="009F04A1" w:rsidP="009F04A1">
      <w:pPr>
        <w:pStyle w:val="Corpodeltesto"/>
        <w:spacing w:after="160" w:line="259" w:lineRule="auto"/>
        <w:ind w:left="0"/>
        <w:rPr>
          <w:rFonts w:ascii="Times New Roman" w:eastAsia="Times New Roman" w:hAnsi="Times New Roman" w:cs="Times New Roman"/>
          <w:b/>
          <w:color w:val="auto"/>
          <w:sz w:val="22"/>
          <w:szCs w:val="22"/>
        </w:rPr>
      </w:pPr>
      <w:r w:rsidRPr="00BD54D8">
        <w:rPr>
          <w:rFonts w:ascii="Times New Roman" w:eastAsia="Times New Roman" w:hAnsi="Times New Roman" w:cs="Times New Roman"/>
          <w:b/>
          <w:color w:val="auto"/>
          <w:sz w:val="22"/>
          <w:szCs w:val="22"/>
        </w:rPr>
        <w:t>«</w:t>
      </w:r>
      <w:r w:rsidRPr="00BD54D8">
        <w:rPr>
          <w:rFonts w:ascii="Times New Roman" w:eastAsia="Times New Roman" w:hAnsi="Times New Roman" w:cs="Times New Roman"/>
          <w:b/>
          <w:i/>
          <w:iCs/>
          <w:color w:val="auto"/>
          <w:sz w:val="22"/>
          <w:szCs w:val="22"/>
        </w:rPr>
        <w:t>5.</w:t>
      </w:r>
      <w:r w:rsidRPr="00BD54D8">
        <w:rPr>
          <w:rFonts w:ascii="Times New Roman" w:eastAsia="Times New Roman" w:hAnsi="Times New Roman" w:cs="Times New Roman"/>
          <w:b/>
          <w:color w:val="auto"/>
          <w:sz w:val="22"/>
          <w:szCs w:val="22"/>
        </w:rPr>
        <w:t xml:space="preserve"> Alle procedure per l'affidamento dei servizi di organizzazione, gestione e svolgimento delle prove dei concorsi pubblici di cui agli articoli 247 e 249 del decreto-legge 19 maggio 2020, n. 34, convertito, con modificazioni, dalla legge 17 luglio 2020, n. 77, si applicano le disposizioni del Libro II, Parte I, del codice dei contratti pubblici, di cui al decreto legislativo di attuazione della legge 21 giugno 2022, n. 78.»;</w:t>
      </w:r>
    </w:p>
    <w:p w14:paraId="53AFE6F1" w14:textId="77777777" w:rsidR="0083753D" w:rsidRPr="00BD54D8" w:rsidRDefault="0083753D" w:rsidP="0083753D">
      <w:pPr>
        <w:pStyle w:val="Corpodeltesto"/>
        <w:spacing w:after="160" w:line="259" w:lineRule="auto"/>
        <w:ind w:left="0"/>
        <w:rPr>
          <w:rFonts w:ascii="Times New Roman" w:eastAsia="Times New Roman" w:hAnsi="Times New Roman" w:cs="Times New Roman"/>
          <w:bCs/>
          <w:color w:val="000000" w:themeColor="text1"/>
          <w:sz w:val="22"/>
          <w:szCs w:val="22"/>
        </w:rPr>
      </w:pPr>
      <w:r w:rsidRPr="00BD54D8">
        <w:rPr>
          <w:rFonts w:ascii="Times New Roman" w:eastAsia="Times New Roman" w:hAnsi="Times New Roman" w:cs="Times New Roman"/>
          <w:bCs/>
          <w:color w:val="000000" w:themeColor="text1"/>
          <w:sz w:val="22"/>
          <w:szCs w:val="22"/>
        </w:rPr>
        <w:t>b) l’articolo 2-</w:t>
      </w:r>
      <w:r w:rsidRPr="00BD54D8">
        <w:rPr>
          <w:rFonts w:ascii="Times New Roman" w:eastAsia="Times New Roman" w:hAnsi="Times New Roman" w:cs="Times New Roman"/>
          <w:bCs/>
          <w:i/>
          <w:iCs/>
          <w:color w:val="000000" w:themeColor="text1"/>
          <w:sz w:val="22"/>
          <w:szCs w:val="22"/>
        </w:rPr>
        <w:t>bis</w:t>
      </w:r>
      <w:r w:rsidRPr="00BD54D8">
        <w:rPr>
          <w:rFonts w:ascii="Times New Roman" w:eastAsia="Times New Roman" w:hAnsi="Times New Roman" w:cs="Times New Roman"/>
          <w:bCs/>
          <w:color w:val="000000" w:themeColor="text1"/>
          <w:sz w:val="22"/>
          <w:szCs w:val="22"/>
        </w:rPr>
        <w:t xml:space="preserve"> è abrogato;</w:t>
      </w:r>
    </w:p>
    <w:p w14:paraId="319C0849" w14:textId="3BB2C197" w:rsidR="00164FEF" w:rsidRPr="00BD54D8" w:rsidRDefault="0083753D" w:rsidP="006B7553">
      <w:pPr>
        <w:pStyle w:val="Corpodeltesto"/>
        <w:spacing w:after="160" w:line="259" w:lineRule="auto"/>
        <w:ind w:left="0"/>
        <w:rPr>
          <w:rFonts w:ascii="Times New Roman" w:eastAsia="Times New Roman" w:hAnsi="Times New Roman" w:cs="Times New Roman"/>
          <w:bCs/>
          <w:color w:val="000000" w:themeColor="text1"/>
          <w:sz w:val="22"/>
          <w:szCs w:val="22"/>
        </w:rPr>
      </w:pPr>
      <w:r w:rsidRPr="00BD54D8">
        <w:rPr>
          <w:rFonts w:ascii="Times New Roman" w:eastAsia="Times New Roman" w:hAnsi="Times New Roman" w:cs="Times New Roman"/>
          <w:bCs/>
          <w:color w:val="000000" w:themeColor="text1"/>
          <w:sz w:val="22"/>
          <w:szCs w:val="22"/>
        </w:rPr>
        <w:t xml:space="preserve">c) all’articolo 8, comma 1, </w:t>
      </w:r>
      <w:r w:rsidR="006B7553" w:rsidRPr="00BD54D8">
        <w:rPr>
          <w:rFonts w:ascii="Times New Roman" w:eastAsia="Times New Roman" w:hAnsi="Times New Roman" w:cs="Times New Roman"/>
          <w:b/>
          <w:strike/>
          <w:color w:val="000000" w:themeColor="text1"/>
          <w:sz w:val="22"/>
          <w:szCs w:val="22"/>
        </w:rPr>
        <w:t>all’</w:t>
      </w:r>
      <w:r w:rsidR="006B7553" w:rsidRPr="00BD54D8">
        <w:rPr>
          <w:rFonts w:ascii="Times New Roman" w:eastAsia="Times New Roman" w:hAnsi="Times New Roman" w:cs="Times New Roman"/>
          <w:b/>
          <w:color w:val="000000" w:themeColor="text1"/>
          <w:sz w:val="22"/>
          <w:szCs w:val="22"/>
        </w:rPr>
        <w:t xml:space="preserve">alinea </w:t>
      </w:r>
      <w:r w:rsidRPr="00BD54D8">
        <w:rPr>
          <w:rFonts w:ascii="Times New Roman" w:eastAsia="Times New Roman" w:hAnsi="Times New Roman" w:cs="Times New Roman"/>
          <w:b/>
          <w:strike/>
          <w:color w:val="000000" w:themeColor="text1"/>
          <w:sz w:val="22"/>
          <w:szCs w:val="22"/>
        </w:rPr>
        <w:t>primo periodo</w:t>
      </w:r>
      <w:r w:rsidR="00B30C73" w:rsidRPr="00BD54D8">
        <w:rPr>
          <w:rFonts w:ascii="Times New Roman" w:eastAsia="Times New Roman" w:hAnsi="Times New Roman" w:cs="Times New Roman"/>
          <w:b/>
          <w:strike/>
          <w:color w:val="000000" w:themeColor="text1"/>
          <w:sz w:val="22"/>
          <w:szCs w:val="22"/>
        </w:rPr>
        <w:t xml:space="preserve"> alinea</w:t>
      </w:r>
      <w:r w:rsidR="000B21A1" w:rsidRPr="00BD54D8">
        <w:rPr>
          <w:rFonts w:ascii="Times New Roman" w:eastAsia="Times New Roman" w:hAnsi="Times New Roman" w:cs="Times New Roman"/>
          <w:bCs/>
          <w:color w:val="000000" w:themeColor="text1"/>
          <w:sz w:val="22"/>
          <w:szCs w:val="22"/>
        </w:rPr>
        <w:t>,</w:t>
      </w:r>
      <w:r w:rsidRPr="00BD54D8">
        <w:rPr>
          <w:rFonts w:ascii="Times New Roman" w:eastAsia="Times New Roman" w:hAnsi="Times New Roman" w:cs="Times New Roman"/>
          <w:bCs/>
          <w:color w:val="000000" w:themeColor="text1"/>
          <w:sz w:val="22"/>
          <w:szCs w:val="22"/>
        </w:rPr>
        <w:t xml:space="preserve"> le parole</w:t>
      </w:r>
      <w:r w:rsidR="00C16E49" w:rsidRPr="00BD54D8">
        <w:rPr>
          <w:rFonts w:ascii="Times New Roman" w:eastAsia="Times New Roman" w:hAnsi="Times New Roman" w:cs="Times New Roman"/>
          <w:b/>
          <w:bCs/>
          <w:color w:val="000000" w:themeColor="text1"/>
          <w:sz w:val="22"/>
          <w:szCs w:val="22"/>
        </w:rPr>
        <w:t>:</w:t>
      </w:r>
      <w:r w:rsidRPr="00BD54D8">
        <w:rPr>
          <w:rFonts w:ascii="Times New Roman" w:eastAsia="Times New Roman" w:hAnsi="Times New Roman" w:cs="Times New Roman"/>
          <w:bCs/>
          <w:color w:val="000000" w:themeColor="text1"/>
          <w:sz w:val="22"/>
          <w:szCs w:val="22"/>
        </w:rPr>
        <w:t xml:space="preserve"> </w:t>
      </w:r>
      <w:r w:rsidR="005173E5" w:rsidRPr="00BD54D8">
        <w:rPr>
          <w:rFonts w:ascii="Times New Roman" w:eastAsia="Times New Roman" w:hAnsi="Times New Roman" w:cs="Times New Roman"/>
          <w:b/>
          <w:color w:val="000000" w:themeColor="text1"/>
          <w:sz w:val="22"/>
          <w:szCs w:val="22"/>
        </w:rPr>
        <w:t>“«</w:t>
      </w:r>
      <w:r w:rsidRPr="00BD54D8">
        <w:rPr>
          <w:rFonts w:ascii="Times New Roman" w:eastAsia="Times New Roman" w:hAnsi="Times New Roman" w:cs="Times New Roman"/>
          <w:bCs/>
          <w:color w:val="000000" w:themeColor="text1"/>
          <w:sz w:val="22"/>
          <w:szCs w:val="22"/>
        </w:rPr>
        <w:t>e fino al</w:t>
      </w:r>
      <w:r w:rsidR="000B21A1" w:rsidRPr="00BD54D8">
        <w:rPr>
          <w:rFonts w:ascii="Times New Roman" w:eastAsia="Times New Roman" w:hAnsi="Times New Roman" w:cs="Times New Roman"/>
          <w:bCs/>
          <w:color w:val="000000" w:themeColor="text1"/>
          <w:sz w:val="22"/>
          <w:szCs w:val="22"/>
        </w:rPr>
        <w:t>la data del</w:t>
      </w:r>
      <w:r w:rsidRPr="00BD54D8">
        <w:rPr>
          <w:rFonts w:ascii="Times New Roman" w:eastAsia="Times New Roman" w:hAnsi="Times New Roman" w:cs="Times New Roman"/>
          <w:bCs/>
          <w:color w:val="000000" w:themeColor="text1"/>
          <w:sz w:val="22"/>
          <w:szCs w:val="22"/>
        </w:rPr>
        <w:t xml:space="preserve"> 30 giugno 2023</w:t>
      </w:r>
      <w:r w:rsidR="005173E5" w:rsidRPr="00BD54D8">
        <w:rPr>
          <w:rFonts w:ascii="Times New Roman" w:eastAsia="Times New Roman" w:hAnsi="Times New Roman" w:cs="Times New Roman"/>
          <w:bCs/>
          <w:color w:val="000000" w:themeColor="text1"/>
          <w:sz w:val="22"/>
          <w:szCs w:val="22"/>
        </w:rPr>
        <w:t>»”</w:t>
      </w:r>
      <w:r w:rsidRPr="00BD54D8">
        <w:rPr>
          <w:rFonts w:ascii="Times New Roman" w:eastAsia="Times New Roman" w:hAnsi="Times New Roman" w:cs="Times New Roman"/>
          <w:bCs/>
          <w:color w:val="000000" w:themeColor="text1"/>
          <w:sz w:val="22"/>
          <w:szCs w:val="22"/>
        </w:rPr>
        <w:t xml:space="preserve"> sono soppresse.</w:t>
      </w:r>
    </w:p>
    <w:p w14:paraId="69CB1598" w14:textId="1D757E48" w:rsidR="000B21A1" w:rsidRPr="00BD54D8" w:rsidRDefault="0083753D" w:rsidP="0083753D">
      <w:pPr>
        <w:pStyle w:val="Corpodeltesto"/>
        <w:spacing w:after="160" w:line="259" w:lineRule="auto"/>
        <w:ind w:left="0"/>
        <w:rPr>
          <w:rFonts w:ascii="Times New Roman" w:eastAsia="Times New Roman" w:hAnsi="Times New Roman" w:cs="Times New Roman"/>
          <w:bCs/>
          <w:strike/>
          <w:color w:val="000000" w:themeColor="text1"/>
          <w:sz w:val="22"/>
          <w:szCs w:val="22"/>
        </w:rPr>
      </w:pPr>
      <w:r w:rsidRPr="00BD54D8">
        <w:rPr>
          <w:rFonts w:ascii="Times New Roman" w:eastAsia="Times New Roman" w:hAnsi="Times New Roman" w:cs="Times New Roman"/>
          <w:b/>
          <w:strike/>
          <w:color w:val="000000" w:themeColor="text1"/>
          <w:sz w:val="22"/>
          <w:szCs w:val="22"/>
        </w:rPr>
        <w:t>4.</w:t>
      </w:r>
      <w:r w:rsidR="005F3BAB" w:rsidRPr="00BD54D8">
        <w:rPr>
          <w:rFonts w:ascii="Times New Roman" w:eastAsia="Times New Roman" w:hAnsi="Times New Roman" w:cs="Times New Roman"/>
          <w:b/>
          <w:strike/>
          <w:color w:val="000000" w:themeColor="text1"/>
          <w:sz w:val="22"/>
          <w:szCs w:val="22"/>
        </w:rPr>
        <w:t>3.</w:t>
      </w:r>
      <w:r w:rsidRPr="00BD54D8">
        <w:rPr>
          <w:rFonts w:ascii="Times New Roman" w:eastAsia="Times New Roman" w:hAnsi="Times New Roman" w:cs="Times New Roman"/>
          <w:bCs/>
          <w:strike/>
          <w:color w:val="000000" w:themeColor="text1"/>
          <w:sz w:val="22"/>
          <w:szCs w:val="22"/>
        </w:rPr>
        <w:t xml:space="preserve"> </w:t>
      </w:r>
      <w:r w:rsidRPr="00BD54D8">
        <w:rPr>
          <w:rFonts w:ascii="Times New Roman" w:eastAsia="Times New Roman" w:hAnsi="Times New Roman" w:cs="Times New Roman"/>
          <w:b/>
          <w:strike/>
          <w:color w:val="000000" w:themeColor="text1"/>
          <w:sz w:val="22"/>
          <w:szCs w:val="22"/>
        </w:rPr>
        <w:t xml:space="preserve">L’articolo </w:t>
      </w:r>
      <w:r w:rsidR="00D66D33" w:rsidRPr="00BD54D8">
        <w:rPr>
          <w:rFonts w:ascii="Times New Roman" w:eastAsia="Times New Roman" w:hAnsi="Times New Roman" w:cs="Times New Roman"/>
          <w:b/>
          <w:strike/>
          <w:color w:val="000000" w:themeColor="text1"/>
          <w:sz w:val="22"/>
          <w:szCs w:val="22"/>
        </w:rPr>
        <w:t>All’articolo</w:t>
      </w:r>
      <w:r w:rsidR="00D66D33" w:rsidRPr="00BD54D8">
        <w:rPr>
          <w:rFonts w:ascii="Times New Roman" w:eastAsia="Times New Roman" w:hAnsi="Times New Roman" w:cs="Times New Roman"/>
          <w:bCs/>
          <w:strike/>
          <w:color w:val="000000" w:themeColor="text1"/>
          <w:sz w:val="22"/>
          <w:szCs w:val="22"/>
        </w:rPr>
        <w:t xml:space="preserve"> </w:t>
      </w:r>
      <w:r w:rsidRPr="00BD54D8">
        <w:rPr>
          <w:rFonts w:ascii="Times New Roman" w:eastAsia="Times New Roman" w:hAnsi="Times New Roman" w:cs="Times New Roman"/>
          <w:bCs/>
          <w:strike/>
          <w:color w:val="000000" w:themeColor="text1"/>
          <w:sz w:val="22"/>
          <w:szCs w:val="22"/>
        </w:rPr>
        <w:t>1</w:t>
      </w:r>
      <w:r w:rsidRPr="00BD54D8">
        <w:rPr>
          <w:rFonts w:ascii="Times New Roman" w:eastAsia="Times New Roman" w:hAnsi="Times New Roman" w:cs="Times New Roman"/>
          <w:b/>
          <w:strike/>
          <w:color w:val="000000" w:themeColor="text1"/>
          <w:sz w:val="22"/>
          <w:szCs w:val="22"/>
        </w:rPr>
        <w:t>, comma 5,</w:t>
      </w:r>
      <w:r w:rsidRPr="00BD54D8">
        <w:rPr>
          <w:rFonts w:ascii="Times New Roman" w:eastAsia="Times New Roman" w:hAnsi="Times New Roman" w:cs="Times New Roman"/>
          <w:bCs/>
          <w:strike/>
          <w:color w:val="000000" w:themeColor="text1"/>
          <w:sz w:val="22"/>
          <w:szCs w:val="22"/>
        </w:rPr>
        <w:t xml:space="preserve"> del decreto-legge n. 76 del 2020,</w:t>
      </w:r>
      <w:r w:rsidR="000B21A1" w:rsidRPr="00BD54D8">
        <w:rPr>
          <w:rFonts w:ascii="Times New Roman" w:eastAsia="Times New Roman" w:hAnsi="Times New Roman" w:cs="Times New Roman"/>
          <w:bCs/>
          <w:strike/>
          <w:color w:val="000000" w:themeColor="text1"/>
          <w:sz w:val="22"/>
          <w:szCs w:val="22"/>
        </w:rPr>
        <w:t xml:space="preserve"> </w:t>
      </w:r>
      <w:r w:rsidR="000B21A1" w:rsidRPr="00BD54D8">
        <w:rPr>
          <w:rStyle w:val="Nessuno"/>
          <w:rFonts w:ascii="Times New Roman" w:hAnsi="Times New Roman" w:cs="Times New Roman"/>
          <w:strike/>
          <w:color w:val="000000" w:themeColor="text1"/>
          <w:sz w:val="22"/>
          <w:szCs w:val="22"/>
        </w:rPr>
        <w:t xml:space="preserve">convertito, con modificazioni, dalla legge n. 120 del 2020, </w:t>
      </w:r>
      <w:r w:rsidRPr="00BD54D8">
        <w:rPr>
          <w:rFonts w:ascii="Times New Roman" w:eastAsia="Times New Roman" w:hAnsi="Times New Roman" w:cs="Times New Roman"/>
          <w:bCs/>
          <w:strike/>
          <w:color w:val="000000" w:themeColor="text1"/>
          <w:sz w:val="22"/>
          <w:szCs w:val="22"/>
        </w:rPr>
        <w:t xml:space="preserve">dalla data </w:t>
      </w:r>
      <w:r w:rsidR="00BB6D94" w:rsidRPr="00BD54D8">
        <w:rPr>
          <w:rFonts w:ascii="Times New Roman" w:eastAsia="Times New Roman" w:hAnsi="Times New Roman" w:cs="Times New Roman"/>
          <w:b/>
          <w:strike/>
          <w:color w:val="000000" w:themeColor="text1"/>
          <w:sz w:val="22"/>
          <w:szCs w:val="22"/>
        </w:rPr>
        <w:t xml:space="preserve">in cui il codice acquista efficacia </w:t>
      </w:r>
      <w:r w:rsidRPr="00BD54D8">
        <w:rPr>
          <w:rFonts w:ascii="Times New Roman" w:eastAsia="Times New Roman" w:hAnsi="Times New Roman" w:cs="Times New Roman"/>
          <w:b/>
          <w:strike/>
          <w:color w:val="000000" w:themeColor="text1"/>
          <w:sz w:val="22"/>
          <w:szCs w:val="22"/>
        </w:rPr>
        <w:t>di entrata in vigore</w:t>
      </w:r>
      <w:r w:rsidRPr="00BD54D8">
        <w:rPr>
          <w:rFonts w:ascii="Times New Roman" w:eastAsia="Times New Roman" w:hAnsi="Times New Roman" w:cs="Times New Roman"/>
          <w:bCs/>
          <w:strike/>
          <w:color w:val="000000" w:themeColor="text1"/>
          <w:sz w:val="22"/>
          <w:szCs w:val="22"/>
        </w:rPr>
        <w:t xml:space="preserve"> del codice </w:t>
      </w:r>
      <w:r w:rsidR="00D66D33" w:rsidRPr="00BD54D8">
        <w:rPr>
          <w:rFonts w:ascii="Times New Roman" w:eastAsia="Times New Roman" w:hAnsi="Times New Roman" w:cs="Times New Roman"/>
          <w:b/>
          <w:strike/>
          <w:color w:val="000000" w:themeColor="text1"/>
          <w:sz w:val="22"/>
          <w:szCs w:val="22"/>
        </w:rPr>
        <w:t>il comma 5</w:t>
      </w:r>
      <w:r w:rsidR="00D66D33" w:rsidRPr="00BD54D8">
        <w:rPr>
          <w:rFonts w:ascii="Times New Roman" w:eastAsia="Times New Roman" w:hAnsi="Times New Roman" w:cs="Times New Roman"/>
          <w:bCs/>
          <w:strike/>
          <w:color w:val="000000" w:themeColor="text1"/>
          <w:sz w:val="22"/>
          <w:szCs w:val="22"/>
        </w:rPr>
        <w:t xml:space="preserve"> </w:t>
      </w:r>
      <w:r w:rsidRPr="00BD54D8">
        <w:rPr>
          <w:rFonts w:ascii="Times New Roman" w:eastAsia="Times New Roman" w:hAnsi="Times New Roman" w:cs="Times New Roman"/>
          <w:bCs/>
          <w:strike/>
          <w:color w:val="000000" w:themeColor="text1"/>
          <w:sz w:val="22"/>
          <w:szCs w:val="22"/>
        </w:rPr>
        <w:t xml:space="preserve">è sostituito dal seguente: </w:t>
      </w:r>
    </w:p>
    <w:p w14:paraId="101563F8" w14:textId="33D48E70" w:rsidR="0083753D" w:rsidRPr="00BD54D8" w:rsidRDefault="0083753D" w:rsidP="0083753D">
      <w:pPr>
        <w:pStyle w:val="Corpodeltesto"/>
        <w:spacing w:after="160" w:line="259" w:lineRule="auto"/>
        <w:ind w:left="0"/>
        <w:rPr>
          <w:rFonts w:ascii="Times New Roman" w:eastAsia="Times New Roman" w:hAnsi="Times New Roman" w:cs="Times New Roman"/>
          <w:b/>
          <w:strike/>
          <w:color w:val="000000" w:themeColor="text1"/>
          <w:sz w:val="22"/>
          <w:szCs w:val="22"/>
        </w:rPr>
      </w:pPr>
      <w:r w:rsidRPr="00BD54D8">
        <w:rPr>
          <w:rFonts w:ascii="Times New Roman" w:eastAsia="Times New Roman" w:hAnsi="Times New Roman" w:cs="Times New Roman"/>
          <w:b/>
          <w:strike/>
          <w:color w:val="000000" w:themeColor="text1"/>
          <w:sz w:val="22"/>
          <w:szCs w:val="22"/>
        </w:rPr>
        <w:t>“</w:t>
      </w:r>
      <w:r w:rsidR="00B02BCD" w:rsidRPr="00BD54D8">
        <w:rPr>
          <w:rFonts w:ascii="Times New Roman" w:eastAsia="Times New Roman" w:hAnsi="Times New Roman" w:cs="Times New Roman"/>
          <w:b/>
          <w:strike/>
          <w:color w:val="000000" w:themeColor="text1"/>
          <w:sz w:val="22"/>
          <w:szCs w:val="22"/>
        </w:rPr>
        <w:t>«</w:t>
      </w:r>
      <w:r w:rsidR="000B53BB" w:rsidRPr="00BD54D8">
        <w:rPr>
          <w:rFonts w:ascii="Times New Roman" w:eastAsia="Times New Roman" w:hAnsi="Times New Roman" w:cs="Times New Roman"/>
          <w:b/>
          <w:i/>
          <w:iCs/>
          <w:strike/>
          <w:color w:val="000000" w:themeColor="text1"/>
          <w:sz w:val="22"/>
          <w:szCs w:val="22"/>
        </w:rPr>
        <w:t>5.</w:t>
      </w:r>
      <w:r w:rsidR="000B53BB" w:rsidRPr="00BD54D8">
        <w:rPr>
          <w:rFonts w:ascii="Times New Roman" w:eastAsia="Times New Roman" w:hAnsi="Times New Roman" w:cs="Times New Roman"/>
          <w:b/>
          <w:strike/>
          <w:color w:val="000000" w:themeColor="text1"/>
          <w:sz w:val="22"/>
          <w:szCs w:val="22"/>
        </w:rPr>
        <w:t xml:space="preserve"> </w:t>
      </w:r>
      <w:r w:rsidRPr="00BD54D8">
        <w:rPr>
          <w:rFonts w:ascii="Times New Roman" w:eastAsia="Times New Roman" w:hAnsi="Times New Roman" w:cs="Times New Roman"/>
          <w:bCs/>
          <w:strike/>
          <w:color w:val="000000" w:themeColor="text1"/>
          <w:sz w:val="22"/>
          <w:szCs w:val="22"/>
        </w:rPr>
        <w:t>Alle procedure per l'affidamento dei servizi di organizzazione, gestione e svolgimento delle prove dei concorsi pubblici di cui agli articoli 247 e 249 del decreto-legge 19 maggio 2020, n. 34, convertito, con modificazioni, dalla legge 17 luglio 2020, n. 77, si applicano le disposizioni del Libro II, Parte I, del codice</w:t>
      </w:r>
      <w:r w:rsidR="00A904BD" w:rsidRPr="00BD54D8">
        <w:rPr>
          <w:rFonts w:ascii="Times New Roman" w:eastAsia="Times New Roman" w:hAnsi="Times New Roman" w:cs="Times New Roman"/>
          <w:bCs/>
          <w:strike/>
          <w:color w:val="000000" w:themeColor="text1"/>
          <w:sz w:val="22"/>
          <w:szCs w:val="22"/>
        </w:rPr>
        <w:t xml:space="preserve"> </w:t>
      </w:r>
      <w:r w:rsidR="002F19A2" w:rsidRPr="00BD54D8">
        <w:rPr>
          <w:rFonts w:ascii="Times New Roman" w:eastAsia="Times New Roman" w:hAnsi="Times New Roman" w:cs="Times New Roman"/>
          <w:b/>
          <w:strike/>
          <w:color w:val="000000" w:themeColor="text1"/>
          <w:sz w:val="22"/>
          <w:szCs w:val="22"/>
        </w:rPr>
        <w:t>dei contratti pubblici</w:t>
      </w:r>
      <w:r w:rsidR="001046CC" w:rsidRPr="00BD54D8">
        <w:rPr>
          <w:rFonts w:ascii="Times New Roman" w:eastAsia="Times New Roman" w:hAnsi="Times New Roman" w:cs="Times New Roman"/>
          <w:b/>
          <w:strike/>
          <w:color w:val="000000" w:themeColor="text1"/>
          <w:sz w:val="22"/>
          <w:szCs w:val="22"/>
        </w:rPr>
        <w:t>,</w:t>
      </w:r>
      <w:r w:rsidR="002F19A2" w:rsidRPr="00BD54D8">
        <w:rPr>
          <w:rFonts w:ascii="Times New Roman" w:eastAsia="Times New Roman" w:hAnsi="Times New Roman" w:cs="Times New Roman"/>
          <w:b/>
          <w:strike/>
          <w:color w:val="000000" w:themeColor="text1"/>
          <w:sz w:val="22"/>
          <w:szCs w:val="22"/>
        </w:rPr>
        <w:t xml:space="preserve"> di cui al </w:t>
      </w:r>
      <w:r w:rsidR="00A904BD" w:rsidRPr="00BD54D8">
        <w:rPr>
          <w:rFonts w:ascii="Times New Roman" w:eastAsia="Times New Roman" w:hAnsi="Times New Roman" w:cs="Times New Roman"/>
          <w:b/>
          <w:strike/>
          <w:color w:val="000000" w:themeColor="text1"/>
          <w:sz w:val="22"/>
          <w:szCs w:val="22"/>
        </w:rPr>
        <w:t xml:space="preserve">decreto legislativo </w:t>
      </w:r>
      <w:r w:rsidR="00791855" w:rsidRPr="00BD54D8">
        <w:rPr>
          <w:rFonts w:ascii="Times New Roman" w:eastAsia="Times New Roman" w:hAnsi="Times New Roman" w:cs="Times New Roman"/>
          <w:b/>
          <w:strike/>
          <w:color w:val="000000" w:themeColor="text1"/>
          <w:sz w:val="22"/>
          <w:szCs w:val="22"/>
        </w:rPr>
        <w:t xml:space="preserve">di attuazione </w:t>
      </w:r>
      <w:r w:rsidR="00A904BD" w:rsidRPr="00BD54D8">
        <w:rPr>
          <w:rFonts w:ascii="Times New Roman" w:eastAsia="Times New Roman" w:hAnsi="Times New Roman" w:cs="Times New Roman"/>
          <w:b/>
          <w:strike/>
          <w:color w:val="000000" w:themeColor="text1"/>
          <w:sz w:val="22"/>
          <w:szCs w:val="22"/>
        </w:rPr>
        <w:t>della legge 21 giugno 2022, n. 78</w:t>
      </w:r>
      <w:r w:rsidR="000B21A1" w:rsidRPr="00BD54D8">
        <w:rPr>
          <w:rFonts w:ascii="Times New Roman" w:eastAsia="Times New Roman" w:hAnsi="Times New Roman" w:cs="Times New Roman"/>
          <w:b/>
          <w:strike/>
          <w:color w:val="000000" w:themeColor="text1"/>
          <w:sz w:val="22"/>
          <w:szCs w:val="22"/>
        </w:rPr>
        <w:t>.</w:t>
      </w:r>
      <w:r w:rsidR="00B02BCD" w:rsidRPr="00BD54D8">
        <w:rPr>
          <w:rFonts w:ascii="Times New Roman" w:eastAsia="Times New Roman" w:hAnsi="Times New Roman" w:cs="Times New Roman"/>
          <w:b/>
          <w:strike/>
          <w:color w:val="000000" w:themeColor="text1"/>
          <w:sz w:val="22"/>
          <w:szCs w:val="22"/>
        </w:rPr>
        <w:t>»</w:t>
      </w:r>
      <w:r w:rsidR="000B21A1" w:rsidRPr="00BD54D8">
        <w:rPr>
          <w:rFonts w:ascii="Times New Roman" w:eastAsia="Times New Roman" w:hAnsi="Times New Roman" w:cs="Times New Roman"/>
          <w:b/>
          <w:strike/>
          <w:color w:val="000000" w:themeColor="text1"/>
          <w:sz w:val="22"/>
          <w:szCs w:val="22"/>
        </w:rPr>
        <w:t>”</w:t>
      </w:r>
      <w:r w:rsidRPr="00BD54D8">
        <w:rPr>
          <w:rFonts w:ascii="Times New Roman" w:eastAsia="Times New Roman" w:hAnsi="Times New Roman" w:cs="Times New Roman"/>
          <w:b/>
          <w:strike/>
          <w:color w:val="000000" w:themeColor="text1"/>
          <w:sz w:val="22"/>
          <w:szCs w:val="22"/>
        </w:rPr>
        <w:t>.</w:t>
      </w:r>
    </w:p>
    <w:p w14:paraId="3B49936A" w14:textId="7A2B0D1A" w:rsidR="0083753D" w:rsidRPr="00BD54D8" w:rsidRDefault="0083753D" w:rsidP="0083753D">
      <w:pPr>
        <w:pStyle w:val="Corpodeltesto"/>
        <w:spacing w:after="160" w:line="259" w:lineRule="auto"/>
        <w:ind w:left="0"/>
        <w:rPr>
          <w:rFonts w:ascii="Times New Roman" w:eastAsia="Times New Roman" w:hAnsi="Times New Roman" w:cs="Times New Roman"/>
          <w:color w:val="000000" w:themeColor="text1"/>
          <w:sz w:val="22"/>
          <w:szCs w:val="22"/>
        </w:rPr>
      </w:pPr>
      <w:r w:rsidRPr="00BD54D8">
        <w:rPr>
          <w:rFonts w:ascii="Times New Roman" w:eastAsia="Times New Roman" w:hAnsi="Times New Roman" w:cs="Times New Roman"/>
          <w:b/>
          <w:bCs/>
          <w:strike/>
          <w:color w:val="000000" w:themeColor="text1"/>
          <w:sz w:val="22"/>
          <w:szCs w:val="22"/>
        </w:rPr>
        <w:t>5</w:t>
      </w:r>
      <w:r w:rsidRPr="00BD54D8">
        <w:rPr>
          <w:rFonts w:ascii="Times New Roman" w:eastAsia="Times New Roman" w:hAnsi="Times New Roman" w:cs="Times New Roman"/>
          <w:b/>
          <w:bCs/>
          <w:color w:val="000000" w:themeColor="text1"/>
          <w:sz w:val="22"/>
          <w:szCs w:val="22"/>
        </w:rPr>
        <w:t>.</w:t>
      </w:r>
      <w:r w:rsidR="009F04A1" w:rsidRPr="00BD54D8">
        <w:rPr>
          <w:rFonts w:ascii="Times New Roman" w:eastAsia="Times New Roman" w:hAnsi="Times New Roman" w:cs="Times New Roman"/>
          <w:b/>
          <w:bCs/>
          <w:color w:val="000000" w:themeColor="text1"/>
          <w:sz w:val="22"/>
          <w:szCs w:val="22"/>
        </w:rPr>
        <w:t>3</w:t>
      </w:r>
      <w:r w:rsidR="00E12BCB" w:rsidRPr="00BD54D8">
        <w:rPr>
          <w:rFonts w:ascii="Times New Roman" w:eastAsia="Times New Roman" w:hAnsi="Times New Roman" w:cs="Times New Roman"/>
          <w:b/>
          <w:bCs/>
          <w:color w:val="000000" w:themeColor="text1"/>
          <w:sz w:val="22"/>
          <w:szCs w:val="22"/>
        </w:rPr>
        <w:t>.</w:t>
      </w:r>
      <w:r w:rsidR="00E12BCB" w:rsidRPr="00BD54D8">
        <w:rPr>
          <w:rFonts w:ascii="Times New Roman" w:eastAsia="Times New Roman" w:hAnsi="Times New Roman" w:cs="Times New Roman"/>
          <w:color w:val="000000" w:themeColor="text1"/>
          <w:sz w:val="22"/>
          <w:szCs w:val="22"/>
        </w:rPr>
        <w:t xml:space="preserve"> </w:t>
      </w:r>
      <w:r w:rsidRPr="00BD54D8">
        <w:rPr>
          <w:rFonts w:ascii="Times New Roman" w:eastAsia="Times New Roman" w:hAnsi="Times New Roman" w:cs="Times New Roman"/>
          <w:color w:val="000000" w:themeColor="text1"/>
          <w:sz w:val="22"/>
          <w:szCs w:val="22"/>
        </w:rPr>
        <w:t xml:space="preserve">All’articolo 107, comma 3, lettera a), del </w:t>
      </w:r>
      <w:bookmarkStart w:id="73" w:name="_Hlk127790619"/>
      <w:r w:rsidR="00E9136F" w:rsidRPr="00BD54D8">
        <w:rPr>
          <w:rFonts w:ascii="Times New Roman" w:hAnsi="Times New Roman" w:cs="Times New Roman"/>
          <w:b/>
          <w:bCs/>
          <w:color w:val="000000" w:themeColor="text1"/>
        </w:rPr>
        <w:t>t</w:t>
      </w:r>
      <w:r w:rsidR="00E9136F" w:rsidRPr="00BD54D8">
        <w:rPr>
          <w:rFonts w:ascii="Times New Roman" w:hAnsi="Times New Roman" w:cs="Times New Roman"/>
          <w:b/>
          <w:bCs/>
          <w:color w:val="000000" w:themeColor="text1"/>
          <w:sz w:val="22"/>
          <w:szCs w:val="22"/>
        </w:rPr>
        <w:t>esto unico delle leggi sull'ordinamento degli enti locali</w:t>
      </w:r>
      <w:r w:rsidR="001006C5" w:rsidRPr="00BD54D8">
        <w:rPr>
          <w:rFonts w:ascii="Times New Roman" w:hAnsi="Times New Roman" w:cs="Times New Roman"/>
          <w:b/>
          <w:bCs/>
          <w:color w:val="000000" w:themeColor="text1"/>
        </w:rPr>
        <w:t>,</w:t>
      </w:r>
      <w:r w:rsidR="00E9136F" w:rsidRPr="00BD54D8">
        <w:rPr>
          <w:rFonts w:ascii="Times New Roman" w:hAnsi="Times New Roman" w:cs="Times New Roman"/>
          <w:b/>
          <w:bCs/>
          <w:color w:val="000000" w:themeColor="text1"/>
          <w:sz w:val="22"/>
          <w:szCs w:val="22"/>
        </w:rPr>
        <w:t xml:space="preserve"> di cui al</w:t>
      </w:r>
      <w:r w:rsidR="00E9136F" w:rsidRPr="00BD54D8">
        <w:rPr>
          <w:rFonts w:ascii="Verdana" w:hAnsi="Verdana"/>
          <w:color w:val="000000" w:themeColor="text1"/>
          <w:sz w:val="18"/>
          <w:szCs w:val="18"/>
          <w:shd w:val="clear" w:color="auto" w:fill="FFFFFF"/>
        </w:rPr>
        <w:t xml:space="preserve"> </w:t>
      </w:r>
      <w:bookmarkEnd w:id="73"/>
      <w:r w:rsidRPr="00BD54D8">
        <w:rPr>
          <w:rFonts w:ascii="Times New Roman" w:eastAsia="Times New Roman" w:hAnsi="Times New Roman" w:cs="Times New Roman"/>
          <w:color w:val="000000" w:themeColor="text1"/>
          <w:sz w:val="22"/>
          <w:szCs w:val="22"/>
        </w:rPr>
        <w:t>decreto legislativo 18 agosto 2000, n. 267, sono aggiunte</w:t>
      </w:r>
      <w:r w:rsidR="000B21A1" w:rsidRPr="00BD54D8">
        <w:rPr>
          <w:rFonts w:ascii="Times New Roman" w:eastAsia="Times New Roman" w:hAnsi="Times New Roman" w:cs="Times New Roman"/>
          <w:color w:val="000000" w:themeColor="text1"/>
          <w:sz w:val="22"/>
          <w:szCs w:val="22"/>
        </w:rPr>
        <w:t>,</w:t>
      </w:r>
      <w:r w:rsidRPr="00BD54D8">
        <w:rPr>
          <w:rFonts w:ascii="Times New Roman" w:eastAsia="Times New Roman" w:hAnsi="Times New Roman" w:cs="Times New Roman"/>
          <w:color w:val="000000" w:themeColor="text1"/>
          <w:sz w:val="22"/>
          <w:szCs w:val="22"/>
        </w:rPr>
        <w:t xml:space="preserve"> </w:t>
      </w:r>
      <w:r w:rsidR="000B21A1" w:rsidRPr="00BD54D8">
        <w:rPr>
          <w:rFonts w:ascii="Times New Roman" w:eastAsia="Times New Roman" w:hAnsi="Times New Roman" w:cs="Times New Roman"/>
          <w:color w:val="000000" w:themeColor="text1"/>
          <w:sz w:val="22"/>
          <w:szCs w:val="22"/>
        </w:rPr>
        <w:t xml:space="preserve">in fine, </w:t>
      </w:r>
      <w:r w:rsidRPr="00BD54D8">
        <w:rPr>
          <w:rFonts w:ascii="Times New Roman" w:eastAsia="Times New Roman" w:hAnsi="Times New Roman" w:cs="Times New Roman"/>
          <w:color w:val="000000" w:themeColor="text1"/>
          <w:sz w:val="22"/>
          <w:szCs w:val="22"/>
        </w:rPr>
        <w:t>le seguenti parole</w:t>
      </w:r>
      <w:r w:rsidRPr="00BD54D8">
        <w:rPr>
          <w:rFonts w:ascii="Times New Roman" w:eastAsia="Times New Roman" w:hAnsi="Times New Roman" w:cs="Times New Roman"/>
          <w:b/>
          <w:bCs/>
          <w:color w:val="000000" w:themeColor="text1"/>
          <w:sz w:val="22"/>
          <w:szCs w:val="22"/>
        </w:rPr>
        <w:t xml:space="preserve">: </w:t>
      </w:r>
      <w:r w:rsidR="005173E5" w:rsidRPr="00BD54D8">
        <w:rPr>
          <w:rFonts w:ascii="Times New Roman" w:eastAsia="Times New Roman" w:hAnsi="Times New Roman" w:cs="Times New Roman"/>
          <w:b/>
          <w:bCs/>
          <w:strike/>
          <w:color w:val="000000" w:themeColor="text1"/>
          <w:sz w:val="22"/>
          <w:szCs w:val="22"/>
        </w:rPr>
        <w:t>“</w:t>
      </w:r>
      <w:r w:rsidR="005173E5" w:rsidRPr="00BD54D8">
        <w:rPr>
          <w:rFonts w:ascii="Times New Roman" w:eastAsia="Times New Roman" w:hAnsi="Times New Roman" w:cs="Times New Roman"/>
          <w:b/>
          <w:bCs/>
          <w:color w:val="000000" w:themeColor="text1"/>
          <w:sz w:val="22"/>
          <w:szCs w:val="22"/>
        </w:rPr>
        <w:t>«</w:t>
      </w:r>
      <w:r w:rsidRPr="00BD54D8">
        <w:rPr>
          <w:rFonts w:ascii="Times New Roman" w:eastAsia="Times New Roman" w:hAnsi="Times New Roman" w:cs="Times New Roman"/>
          <w:color w:val="000000" w:themeColor="text1"/>
          <w:sz w:val="22"/>
          <w:szCs w:val="22"/>
        </w:rPr>
        <w:t>la commissione giudicatrice, nel caso di aggiudicazione dei contratti di importo inferiore alle soglie europee con il criterio dell'offerta economicamente più vantaggiosa, può essere presieduta dal responsabile unico del procedimento</w:t>
      </w:r>
      <w:r w:rsidR="00A205F0" w:rsidRPr="00BD54D8">
        <w:rPr>
          <w:rFonts w:ascii="Times New Roman" w:eastAsia="Times New Roman" w:hAnsi="Times New Roman" w:cs="Times New Roman"/>
          <w:b/>
          <w:bCs/>
          <w:color w:val="000000" w:themeColor="text1"/>
          <w:sz w:val="22"/>
          <w:szCs w:val="22"/>
        </w:rPr>
        <w:t>;</w:t>
      </w:r>
      <w:r w:rsidR="005173E5" w:rsidRPr="00BD54D8">
        <w:rPr>
          <w:rFonts w:ascii="Times New Roman" w:eastAsia="Times New Roman" w:hAnsi="Times New Roman" w:cs="Times New Roman"/>
          <w:b/>
          <w:bCs/>
          <w:color w:val="000000" w:themeColor="text1"/>
          <w:sz w:val="22"/>
          <w:szCs w:val="22"/>
        </w:rPr>
        <w:t>»</w:t>
      </w:r>
      <w:r w:rsidR="005173E5" w:rsidRPr="00BD54D8">
        <w:rPr>
          <w:rFonts w:ascii="Times New Roman" w:eastAsia="Times New Roman" w:hAnsi="Times New Roman" w:cs="Times New Roman"/>
          <w:b/>
          <w:bCs/>
          <w:strike/>
          <w:color w:val="000000" w:themeColor="text1"/>
          <w:sz w:val="22"/>
          <w:szCs w:val="22"/>
        </w:rPr>
        <w:t>”</w:t>
      </w:r>
      <w:r w:rsidRPr="00BD54D8">
        <w:rPr>
          <w:rFonts w:ascii="Times New Roman" w:eastAsia="Times New Roman" w:hAnsi="Times New Roman" w:cs="Times New Roman"/>
          <w:b/>
          <w:bCs/>
          <w:color w:val="000000" w:themeColor="text1"/>
          <w:sz w:val="22"/>
          <w:szCs w:val="22"/>
        </w:rPr>
        <w:t>.</w:t>
      </w:r>
    </w:p>
    <w:p w14:paraId="1AB78AA0" w14:textId="5799500D" w:rsidR="0083753D" w:rsidRPr="00BD54D8" w:rsidRDefault="0083753D" w:rsidP="0083753D">
      <w:pPr>
        <w:jc w:val="both"/>
        <w:rPr>
          <w:rStyle w:val="Nessuno"/>
          <w:rFonts w:ascii="Times New Roman" w:eastAsia="Times New Roman" w:hAnsi="Times New Roman" w:cs="Times New Roman"/>
          <w:color w:val="000000" w:themeColor="text1"/>
        </w:rPr>
      </w:pPr>
      <w:r w:rsidRPr="00BD54D8">
        <w:rPr>
          <w:rStyle w:val="Nessuno"/>
          <w:rFonts w:ascii="Times New Roman" w:eastAsia="Times New Roman" w:hAnsi="Times New Roman" w:cs="Times New Roman"/>
          <w:b/>
          <w:bCs/>
          <w:strike/>
          <w:color w:val="000000" w:themeColor="text1"/>
        </w:rPr>
        <w:t>6.</w:t>
      </w:r>
      <w:r w:rsidR="00D35F3B" w:rsidRPr="00BD54D8">
        <w:rPr>
          <w:rStyle w:val="Nessuno"/>
          <w:rFonts w:ascii="Times New Roman" w:eastAsia="Times New Roman" w:hAnsi="Times New Roman" w:cs="Times New Roman"/>
          <w:b/>
          <w:bCs/>
          <w:color w:val="000000" w:themeColor="text1"/>
        </w:rPr>
        <w:t xml:space="preserve"> </w:t>
      </w:r>
      <w:r w:rsidR="009F04A1" w:rsidRPr="00BD54D8">
        <w:rPr>
          <w:rStyle w:val="Nessuno"/>
          <w:rFonts w:ascii="Times New Roman" w:eastAsia="Times New Roman" w:hAnsi="Times New Roman" w:cs="Times New Roman"/>
          <w:b/>
          <w:bCs/>
          <w:color w:val="000000" w:themeColor="text1"/>
        </w:rPr>
        <w:t>4</w:t>
      </w:r>
      <w:r w:rsidR="00D35F3B" w:rsidRPr="00BD54D8">
        <w:rPr>
          <w:rStyle w:val="Nessuno"/>
          <w:rFonts w:ascii="Times New Roman" w:eastAsia="Times New Roman" w:hAnsi="Times New Roman" w:cs="Times New Roman"/>
          <w:b/>
          <w:bCs/>
          <w:color w:val="000000" w:themeColor="text1"/>
        </w:rPr>
        <w:t>.</w:t>
      </w:r>
      <w:r w:rsidR="00D35F3B" w:rsidRPr="00BD54D8">
        <w:rPr>
          <w:rStyle w:val="Nessuno"/>
          <w:rFonts w:ascii="Times New Roman" w:eastAsia="Times New Roman" w:hAnsi="Times New Roman" w:cs="Times New Roman"/>
          <w:b/>
          <w:bCs/>
          <w:strike/>
          <w:color w:val="000000" w:themeColor="text1"/>
        </w:rPr>
        <w:t xml:space="preserve"> </w:t>
      </w:r>
      <w:r w:rsidRPr="00BD54D8">
        <w:rPr>
          <w:rStyle w:val="Nessuno"/>
          <w:rFonts w:ascii="Times New Roman" w:eastAsia="Times New Roman" w:hAnsi="Times New Roman" w:cs="Times New Roman"/>
          <w:color w:val="000000" w:themeColor="text1"/>
        </w:rPr>
        <w:t>L’articolo 37 del decreto legislativo 14 marzo 2013, n. 33, è sostituito dal seguente:</w:t>
      </w:r>
    </w:p>
    <w:p w14:paraId="2F430AB7" w14:textId="323EC80F" w:rsidR="0083753D" w:rsidRPr="00BD54D8" w:rsidRDefault="005173E5" w:rsidP="0083753D">
      <w:pPr>
        <w:jc w:val="both"/>
        <w:rPr>
          <w:rStyle w:val="Nessuno"/>
          <w:rFonts w:ascii="Times New Roman" w:eastAsia="Times New Roman" w:hAnsi="Times New Roman" w:cs="Times New Roman"/>
          <w:color w:val="000000" w:themeColor="text1"/>
        </w:rPr>
      </w:pPr>
      <w:r w:rsidRPr="00BD54D8">
        <w:rPr>
          <w:rFonts w:ascii="Times New Roman" w:eastAsia="Times New Roman" w:hAnsi="Times New Roman" w:cs="Times New Roman"/>
          <w:b/>
          <w:strike/>
          <w:color w:val="000000" w:themeColor="text1"/>
        </w:rPr>
        <w:t>“</w:t>
      </w:r>
      <w:r w:rsidRPr="00BD54D8">
        <w:rPr>
          <w:rFonts w:ascii="Times New Roman" w:eastAsia="Times New Roman" w:hAnsi="Times New Roman" w:cs="Times New Roman"/>
          <w:b/>
          <w:color w:val="000000" w:themeColor="text1"/>
        </w:rPr>
        <w:t>«</w:t>
      </w:r>
      <w:r w:rsidR="0083753D" w:rsidRPr="00BD54D8">
        <w:rPr>
          <w:rStyle w:val="Nessuno"/>
          <w:rFonts w:ascii="Times New Roman" w:eastAsia="Times New Roman" w:hAnsi="Times New Roman" w:cs="Times New Roman"/>
          <w:color w:val="000000" w:themeColor="text1"/>
        </w:rPr>
        <w:t>Art</w:t>
      </w:r>
      <w:r w:rsidR="00C16E49" w:rsidRPr="00BD54D8">
        <w:rPr>
          <w:rStyle w:val="Nessuno"/>
          <w:rFonts w:ascii="Times New Roman" w:eastAsia="Times New Roman" w:hAnsi="Times New Roman" w:cs="Times New Roman"/>
          <w:color w:val="000000" w:themeColor="text1"/>
        </w:rPr>
        <w:t>.</w:t>
      </w:r>
      <w:r w:rsidR="0083753D" w:rsidRPr="00BD54D8">
        <w:rPr>
          <w:rStyle w:val="Nessuno"/>
          <w:rFonts w:ascii="Times New Roman" w:eastAsia="Times New Roman" w:hAnsi="Times New Roman" w:cs="Times New Roman"/>
          <w:b/>
          <w:bCs/>
          <w:strike/>
          <w:color w:val="000000" w:themeColor="text1"/>
        </w:rPr>
        <w:t>icolo</w:t>
      </w:r>
      <w:r w:rsidR="0083753D" w:rsidRPr="00BD54D8">
        <w:rPr>
          <w:rStyle w:val="Nessuno"/>
          <w:rFonts w:ascii="Times New Roman" w:eastAsia="Times New Roman" w:hAnsi="Times New Roman" w:cs="Times New Roman"/>
          <w:color w:val="000000" w:themeColor="text1"/>
        </w:rPr>
        <w:t xml:space="preserve"> 37 </w:t>
      </w:r>
      <w:r w:rsidR="00C16E49" w:rsidRPr="00BD54D8">
        <w:rPr>
          <w:rStyle w:val="Nessuno"/>
          <w:rFonts w:ascii="Times New Roman" w:eastAsia="Times New Roman" w:hAnsi="Times New Roman" w:cs="Times New Roman"/>
          <w:color w:val="000000" w:themeColor="text1"/>
        </w:rPr>
        <w:t>–</w:t>
      </w:r>
      <w:r w:rsidR="00C16E49" w:rsidRPr="00BD54D8">
        <w:rPr>
          <w:rStyle w:val="Nessuno"/>
          <w:rFonts w:ascii="Times New Roman" w:eastAsia="Times New Roman" w:hAnsi="Times New Roman" w:cs="Times New Roman"/>
          <w:i/>
          <w:iCs/>
          <w:color w:val="000000" w:themeColor="text1"/>
        </w:rPr>
        <w:t xml:space="preserve"> </w:t>
      </w:r>
      <w:r w:rsidR="0083753D" w:rsidRPr="00BD54D8">
        <w:rPr>
          <w:rStyle w:val="Nessuno"/>
          <w:rFonts w:ascii="Times New Roman" w:eastAsia="Times New Roman" w:hAnsi="Times New Roman" w:cs="Times New Roman"/>
          <w:i/>
          <w:iCs/>
          <w:color w:val="000000" w:themeColor="text1"/>
        </w:rPr>
        <w:t>(Obblighi di pubblicazione concernenti i contratti pubblici di lavori, servizi e forniture)</w:t>
      </w:r>
      <w:r w:rsidR="0083753D" w:rsidRPr="00BD54D8">
        <w:rPr>
          <w:rStyle w:val="Nessuno"/>
          <w:rFonts w:ascii="Times New Roman" w:eastAsia="Times New Roman" w:hAnsi="Times New Roman" w:cs="Times New Roman"/>
          <w:color w:val="000000" w:themeColor="text1"/>
        </w:rPr>
        <w:t>.</w:t>
      </w:r>
      <w:r w:rsidR="00C16E49" w:rsidRPr="00BD54D8">
        <w:rPr>
          <w:rStyle w:val="Nessuno"/>
          <w:rFonts w:ascii="Times New Roman" w:eastAsia="Times New Roman" w:hAnsi="Times New Roman" w:cs="Times New Roman"/>
          <w:color w:val="000000" w:themeColor="text1"/>
        </w:rPr>
        <w:t xml:space="preserve"> – </w:t>
      </w:r>
      <w:r w:rsidR="0083753D" w:rsidRPr="00BD54D8">
        <w:rPr>
          <w:rStyle w:val="Nessuno"/>
          <w:rFonts w:ascii="Times New Roman" w:eastAsia="Times New Roman" w:hAnsi="Times New Roman" w:cs="Times New Roman"/>
          <w:i/>
          <w:iCs/>
          <w:color w:val="000000" w:themeColor="text1"/>
        </w:rPr>
        <w:t>1.</w:t>
      </w:r>
      <w:r w:rsidR="0083753D" w:rsidRPr="00BD54D8">
        <w:rPr>
          <w:rStyle w:val="Nessuno"/>
          <w:rFonts w:ascii="Times New Roman" w:eastAsia="Times New Roman" w:hAnsi="Times New Roman" w:cs="Times New Roman"/>
          <w:color w:val="000000" w:themeColor="text1"/>
        </w:rPr>
        <w:t xml:space="preserve"> Fermo restando quanto previsto dall'articolo 9-</w:t>
      </w:r>
      <w:r w:rsidR="0083753D" w:rsidRPr="00BD54D8">
        <w:rPr>
          <w:rStyle w:val="Nessuno"/>
          <w:rFonts w:ascii="Times New Roman" w:eastAsia="Times New Roman" w:hAnsi="Times New Roman" w:cs="Times New Roman"/>
          <w:i/>
          <w:color w:val="000000" w:themeColor="text1"/>
        </w:rPr>
        <w:t>bis</w:t>
      </w:r>
      <w:r w:rsidR="0083753D" w:rsidRPr="00BD54D8">
        <w:rPr>
          <w:rStyle w:val="Nessuno"/>
          <w:rFonts w:ascii="Times New Roman" w:eastAsia="Times New Roman" w:hAnsi="Times New Roman" w:cs="Times New Roman"/>
          <w:color w:val="000000" w:themeColor="text1"/>
        </w:rPr>
        <w:t xml:space="preserve"> e fermi restando gli obblighi di pubblicità legale, le pubbliche amministrazioni e le stazioni appaltanti pubblicano i dati, gli atti e le informazioni secondo quanto previsto dall’articolo 28 del codice dei contratti pubblici</w:t>
      </w:r>
      <w:r w:rsidR="00E13FDD" w:rsidRPr="00BD54D8">
        <w:rPr>
          <w:rStyle w:val="Nessuno"/>
          <w:rFonts w:ascii="Times New Roman" w:eastAsia="Times New Roman" w:hAnsi="Times New Roman" w:cs="Times New Roman"/>
          <w:color w:val="000000" w:themeColor="text1"/>
        </w:rPr>
        <w:t>,</w:t>
      </w:r>
      <w:r w:rsidR="00A904BD" w:rsidRPr="00BD54D8">
        <w:rPr>
          <w:rStyle w:val="Nessuno"/>
          <w:rFonts w:ascii="Times New Roman" w:eastAsia="Times New Roman" w:hAnsi="Times New Roman" w:cs="Times New Roman"/>
          <w:color w:val="000000" w:themeColor="text1"/>
        </w:rPr>
        <w:t xml:space="preserve"> </w:t>
      </w:r>
      <w:r w:rsidR="00BE7C30" w:rsidRPr="00BD54D8">
        <w:rPr>
          <w:rFonts w:ascii="Times New Roman" w:eastAsia="Times New Roman" w:hAnsi="Times New Roman" w:cs="Times New Roman"/>
          <w:b/>
          <w:color w:val="000000" w:themeColor="text1"/>
        </w:rPr>
        <w:t xml:space="preserve">di cui al </w:t>
      </w:r>
      <w:r w:rsidR="00A904BD" w:rsidRPr="00BD54D8">
        <w:rPr>
          <w:rFonts w:ascii="Times New Roman" w:eastAsia="Times New Roman" w:hAnsi="Times New Roman" w:cs="Times New Roman"/>
          <w:b/>
          <w:color w:val="000000" w:themeColor="text1"/>
        </w:rPr>
        <w:t xml:space="preserve">decreto legislativo </w:t>
      </w:r>
      <w:r w:rsidR="00791855" w:rsidRPr="00BD54D8">
        <w:rPr>
          <w:rFonts w:ascii="Times New Roman" w:eastAsia="Times New Roman" w:hAnsi="Times New Roman" w:cs="Times New Roman"/>
          <w:b/>
          <w:color w:val="000000" w:themeColor="text1"/>
        </w:rPr>
        <w:t>di attuazione</w:t>
      </w:r>
      <w:r w:rsidR="00A904BD" w:rsidRPr="00BD54D8">
        <w:rPr>
          <w:rFonts w:ascii="Times New Roman" w:eastAsia="Times New Roman" w:hAnsi="Times New Roman" w:cs="Times New Roman"/>
          <w:b/>
          <w:color w:val="000000" w:themeColor="text1"/>
        </w:rPr>
        <w:t xml:space="preserve"> della legge 21 giugno 2022, n. 78</w:t>
      </w:r>
      <w:r w:rsidR="0083753D" w:rsidRPr="00BD54D8">
        <w:rPr>
          <w:rStyle w:val="Nessuno"/>
          <w:rFonts w:ascii="Times New Roman" w:eastAsia="Times New Roman" w:hAnsi="Times New Roman" w:cs="Times New Roman"/>
          <w:color w:val="000000" w:themeColor="text1"/>
        </w:rPr>
        <w:t>.</w:t>
      </w:r>
    </w:p>
    <w:p w14:paraId="11DB2F20" w14:textId="18FE0297" w:rsidR="0083753D" w:rsidRPr="00BD54D8" w:rsidRDefault="0083753D" w:rsidP="0083753D">
      <w:pPr>
        <w:jc w:val="both"/>
        <w:rPr>
          <w:rFonts w:ascii="Times New Roman" w:eastAsia="Times New Roman" w:hAnsi="Times New Roman" w:cs="Times New Roman"/>
          <w:b/>
          <w:bCs/>
          <w:color w:val="000000" w:themeColor="text1"/>
        </w:rPr>
      </w:pPr>
      <w:r w:rsidRPr="00BD54D8">
        <w:rPr>
          <w:rStyle w:val="Nessuno"/>
          <w:rFonts w:ascii="Times New Roman" w:eastAsia="Times New Roman" w:hAnsi="Times New Roman" w:cs="Times New Roman"/>
          <w:i/>
          <w:iCs/>
          <w:color w:val="000000" w:themeColor="text1"/>
        </w:rPr>
        <w:t>2.</w:t>
      </w:r>
      <w:r w:rsidRPr="00BD54D8">
        <w:rPr>
          <w:rStyle w:val="Nessuno"/>
          <w:rFonts w:ascii="Times New Roman" w:eastAsia="Times New Roman" w:hAnsi="Times New Roman" w:cs="Times New Roman"/>
          <w:color w:val="000000" w:themeColor="text1"/>
        </w:rPr>
        <w:t xml:space="preserve"> Ai sensi dell'articolo 9-</w:t>
      </w:r>
      <w:r w:rsidRPr="00BD54D8">
        <w:rPr>
          <w:rStyle w:val="Nessuno"/>
          <w:rFonts w:ascii="Times New Roman" w:eastAsia="Times New Roman" w:hAnsi="Times New Roman" w:cs="Times New Roman"/>
          <w:i/>
          <w:color w:val="000000" w:themeColor="text1"/>
        </w:rPr>
        <w:t>bis</w:t>
      </w:r>
      <w:r w:rsidRPr="00BD54D8">
        <w:rPr>
          <w:rStyle w:val="Nessuno"/>
          <w:rFonts w:ascii="Times New Roman" w:eastAsia="Times New Roman" w:hAnsi="Times New Roman" w:cs="Times New Roman"/>
          <w:color w:val="000000" w:themeColor="text1"/>
        </w:rPr>
        <w:t xml:space="preserve">, gli obblighi di pubblicazione di cui </w:t>
      </w:r>
      <w:r w:rsidR="000B21A1" w:rsidRPr="00BD54D8">
        <w:rPr>
          <w:rStyle w:val="Nessuno"/>
          <w:rFonts w:ascii="Times New Roman" w:eastAsia="Times New Roman" w:hAnsi="Times New Roman" w:cs="Times New Roman"/>
          <w:color w:val="000000" w:themeColor="text1"/>
        </w:rPr>
        <w:t>al comma 1</w:t>
      </w:r>
      <w:r w:rsidRPr="00BD54D8">
        <w:rPr>
          <w:rStyle w:val="Nessuno"/>
          <w:rFonts w:ascii="Times New Roman" w:eastAsia="Times New Roman" w:hAnsi="Times New Roman" w:cs="Times New Roman"/>
          <w:color w:val="000000" w:themeColor="text1"/>
        </w:rPr>
        <w:t xml:space="preserve"> si intendono assolti attraverso l'invio dei medesimi dati alla Banca dati nazionale dei contratti pubblici presso l’ANAC e alla banca dati delle amministrazioni pubbliche ai sensi dell'articolo 2 del decreto legislativo 29 dicembre 2011, n. 229, limitatamente alla parte lavori</w:t>
      </w:r>
      <w:r w:rsidR="00D13052" w:rsidRPr="00BD54D8">
        <w:rPr>
          <w:rStyle w:val="Nessuno"/>
          <w:rFonts w:ascii="Times New Roman" w:eastAsia="Times New Roman" w:hAnsi="Times New Roman" w:cs="Times New Roman"/>
          <w:b/>
          <w:bCs/>
          <w:color w:val="000000" w:themeColor="text1"/>
        </w:rPr>
        <w:t>.</w:t>
      </w:r>
      <w:r w:rsidR="005173E5" w:rsidRPr="00BD54D8">
        <w:rPr>
          <w:rFonts w:ascii="Times New Roman" w:eastAsia="Times New Roman" w:hAnsi="Times New Roman" w:cs="Times New Roman"/>
          <w:b/>
          <w:bCs/>
          <w:color w:val="000000" w:themeColor="text1"/>
        </w:rPr>
        <w:t>»</w:t>
      </w:r>
      <w:r w:rsidR="005173E5" w:rsidRPr="00BD54D8">
        <w:rPr>
          <w:rFonts w:ascii="Times New Roman" w:eastAsia="Times New Roman" w:hAnsi="Times New Roman" w:cs="Times New Roman"/>
          <w:b/>
          <w:bCs/>
          <w:strike/>
          <w:color w:val="000000" w:themeColor="text1"/>
        </w:rPr>
        <w:t>”</w:t>
      </w:r>
      <w:r w:rsidRPr="00BD54D8">
        <w:rPr>
          <w:rStyle w:val="Nessuno"/>
          <w:rFonts w:ascii="Times New Roman" w:eastAsia="Times New Roman" w:hAnsi="Times New Roman" w:cs="Times New Roman"/>
          <w:b/>
          <w:bCs/>
          <w:color w:val="000000" w:themeColor="text1"/>
        </w:rPr>
        <w:t>.</w:t>
      </w:r>
    </w:p>
    <w:p w14:paraId="494638D1" w14:textId="67099B5C" w:rsidR="0083753D" w:rsidRPr="00BD54D8" w:rsidRDefault="0083753D" w:rsidP="0083753D">
      <w:pPr>
        <w:jc w:val="both"/>
        <w:rPr>
          <w:rFonts w:ascii="Times New Roman" w:eastAsia="Times New Roman" w:hAnsi="Times New Roman" w:cs="Times New Roman"/>
          <w:b/>
          <w:bCs/>
          <w:color w:val="000000" w:themeColor="text1"/>
        </w:rPr>
      </w:pPr>
      <w:r w:rsidRPr="00BD54D8">
        <w:rPr>
          <w:rFonts w:ascii="Times New Roman" w:eastAsia="Times New Roman" w:hAnsi="Times New Roman" w:cs="Times New Roman"/>
          <w:b/>
          <w:strike/>
          <w:color w:val="000000" w:themeColor="text1"/>
        </w:rPr>
        <w:t>7</w:t>
      </w:r>
      <w:r w:rsidRPr="00BD54D8">
        <w:rPr>
          <w:rFonts w:ascii="Times New Roman" w:eastAsia="Times New Roman" w:hAnsi="Times New Roman" w:cs="Times New Roman"/>
          <w:b/>
          <w:color w:val="000000" w:themeColor="text1"/>
        </w:rPr>
        <w:t>.</w:t>
      </w:r>
      <w:r w:rsidR="009F04A1" w:rsidRPr="00BD54D8">
        <w:rPr>
          <w:rFonts w:ascii="Times New Roman" w:eastAsia="Times New Roman" w:hAnsi="Times New Roman" w:cs="Times New Roman"/>
          <w:b/>
          <w:color w:val="000000" w:themeColor="text1"/>
        </w:rPr>
        <w:t>5</w:t>
      </w:r>
      <w:r w:rsidR="009C0860" w:rsidRPr="00BD54D8">
        <w:rPr>
          <w:rFonts w:ascii="Times New Roman" w:eastAsia="Times New Roman" w:hAnsi="Times New Roman" w:cs="Times New Roman"/>
          <w:b/>
          <w:color w:val="000000" w:themeColor="text1"/>
        </w:rPr>
        <w:t>.</w:t>
      </w:r>
      <w:r w:rsidR="009C0860" w:rsidRPr="00BD54D8">
        <w:rPr>
          <w:rFonts w:ascii="Times New Roman" w:eastAsia="Times New Roman" w:hAnsi="Times New Roman" w:cs="Times New Roman"/>
          <w:bCs/>
          <w:color w:val="000000" w:themeColor="text1"/>
        </w:rPr>
        <w:t xml:space="preserve"> </w:t>
      </w:r>
      <w:r w:rsidRPr="00BD54D8">
        <w:rPr>
          <w:rStyle w:val="Nessuno"/>
          <w:rFonts w:ascii="Times New Roman" w:eastAsia="Times New Roman" w:hAnsi="Times New Roman" w:cs="Times New Roman"/>
          <w:bCs/>
          <w:color w:val="000000" w:themeColor="text1"/>
        </w:rPr>
        <w:t>All’articolo 38</w:t>
      </w:r>
      <w:r w:rsidR="001B1251" w:rsidRPr="00BD54D8">
        <w:rPr>
          <w:rStyle w:val="Nessuno"/>
          <w:rFonts w:ascii="Times New Roman" w:eastAsia="Times New Roman" w:hAnsi="Times New Roman" w:cs="Times New Roman"/>
          <w:b/>
          <w:color w:val="000000" w:themeColor="text1"/>
        </w:rPr>
        <w:t>, comma 2,</w:t>
      </w:r>
      <w:r w:rsidRPr="00BD54D8">
        <w:rPr>
          <w:rStyle w:val="Nessuno"/>
          <w:rFonts w:ascii="Times New Roman" w:eastAsia="Times New Roman" w:hAnsi="Times New Roman" w:cs="Times New Roman"/>
          <w:b/>
          <w:color w:val="000000" w:themeColor="text1"/>
        </w:rPr>
        <w:t xml:space="preserve"> </w:t>
      </w:r>
      <w:r w:rsidRPr="00BD54D8">
        <w:rPr>
          <w:rStyle w:val="Nessuno"/>
          <w:rFonts w:ascii="Times New Roman" w:eastAsia="Times New Roman" w:hAnsi="Times New Roman" w:cs="Times New Roman"/>
          <w:bCs/>
          <w:color w:val="000000" w:themeColor="text1"/>
        </w:rPr>
        <w:t xml:space="preserve">del decreto legislativo 14 marzo 2013, n. 33, le parole: </w:t>
      </w:r>
      <w:r w:rsidR="005173E5" w:rsidRPr="00BD54D8">
        <w:rPr>
          <w:rFonts w:ascii="Times New Roman" w:eastAsia="Times New Roman" w:hAnsi="Times New Roman" w:cs="Times New Roman"/>
          <w:b/>
          <w:strike/>
          <w:color w:val="000000" w:themeColor="text1"/>
        </w:rPr>
        <w:t>“</w:t>
      </w:r>
      <w:r w:rsidR="005173E5" w:rsidRPr="00BD54D8">
        <w:rPr>
          <w:rFonts w:ascii="Times New Roman" w:eastAsia="Times New Roman" w:hAnsi="Times New Roman" w:cs="Times New Roman"/>
          <w:b/>
          <w:color w:val="000000" w:themeColor="text1"/>
        </w:rPr>
        <w:t>«</w:t>
      </w:r>
      <w:r w:rsidRPr="00BD54D8">
        <w:rPr>
          <w:rStyle w:val="Nessuno"/>
          <w:rFonts w:ascii="Times New Roman" w:eastAsia="Times New Roman" w:hAnsi="Times New Roman" w:cs="Times New Roman"/>
          <w:bCs/>
          <w:color w:val="000000" w:themeColor="text1"/>
        </w:rPr>
        <w:t>all'articolo 21 del decreto legislativo 18 aprile 2016, n. 50</w:t>
      </w:r>
      <w:r w:rsidR="005173E5" w:rsidRPr="00BD54D8">
        <w:rPr>
          <w:rFonts w:ascii="Times New Roman" w:eastAsia="Times New Roman" w:hAnsi="Times New Roman" w:cs="Times New Roman"/>
          <w:b/>
          <w:color w:val="000000" w:themeColor="text1"/>
        </w:rPr>
        <w:t>»</w:t>
      </w:r>
      <w:r w:rsidR="005173E5" w:rsidRPr="00BD54D8">
        <w:rPr>
          <w:rFonts w:ascii="Times New Roman" w:eastAsia="Times New Roman" w:hAnsi="Times New Roman" w:cs="Times New Roman"/>
          <w:b/>
          <w:strike/>
          <w:color w:val="000000" w:themeColor="text1"/>
        </w:rPr>
        <w:t>”</w:t>
      </w:r>
      <w:r w:rsidRPr="00BD54D8">
        <w:rPr>
          <w:rStyle w:val="Nessuno"/>
          <w:rFonts w:ascii="Times New Roman" w:eastAsia="Times New Roman" w:hAnsi="Times New Roman" w:cs="Times New Roman"/>
          <w:bCs/>
          <w:color w:val="000000" w:themeColor="text1"/>
        </w:rPr>
        <w:t xml:space="preserve"> sono sostituite dalle seguenti:</w:t>
      </w:r>
      <w:r w:rsidRPr="00BD54D8">
        <w:rPr>
          <w:rStyle w:val="Nessuno"/>
          <w:rFonts w:ascii="Times New Roman" w:eastAsia="Times New Roman" w:hAnsi="Times New Roman" w:cs="Times New Roman"/>
          <w:b/>
          <w:color w:val="000000" w:themeColor="text1"/>
        </w:rPr>
        <w:t xml:space="preserve"> </w:t>
      </w:r>
      <w:r w:rsidR="005173E5" w:rsidRPr="00BD54D8">
        <w:rPr>
          <w:rFonts w:ascii="Times New Roman" w:eastAsia="Times New Roman" w:hAnsi="Times New Roman" w:cs="Times New Roman"/>
          <w:b/>
          <w:strike/>
          <w:color w:val="000000" w:themeColor="text1"/>
        </w:rPr>
        <w:t>“</w:t>
      </w:r>
      <w:r w:rsidR="005173E5" w:rsidRPr="00BD54D8">
        <w:rPr>
          <w:rFonts w:ascii="Times New Roman" w:eastAsia="Times New Roman" w:hAnsi="Times New Roman" w:cs="Times New Roman"/>
          <w:b/>
          <w:color w:val="000000" w:themeColor="text1"/>
        </w:rPr>
        <w:t>«</w:t>
      </w:r>
      <w:r w:rsidRPr="00BD54D8">
        <w:rPr>
          <w:rStyle w:val="Nessuno"/>
          <w:rFonts w:ascii="Times New Roman" w:eastAsia="Times New Roman" w:hAnsi="Times New Roman" w:cs="Times New Roman"/>
          <w:bCs/>
          <w:color w:val="000000" w:themeColor="text1"/>
        </w:rPr>
        <w:t xml:space="preserve">all'articolo 37 del </w:t>
      </w:r>
      <w:r w:rsidR="00A904BD" w:rsidRPr="00BD54D8">
        <w:rPr>
          <w:rStyle w:val="Nessuno"/>
          <w:rFonts w:ascii="Times New Roman" w:eastAsia="Times New Roman" w:hAnsi="Times New Roman" w:cs="Times New Roman"/>
          <w:b/>
          <w:bCs/>
          <w:color w:val="000000" w:themeColor="text1"/>
        </w:rPr>
        <w:t>codice dei contratti pubblici</w:t>
      </w:r>
      <w:r w:rsidR="00E13FDD" w:rsidRPr="00BD54D8">
        <w:rPr>
          <w:rStyle w:val="Nessuno"/>
          <w:rFonts w:ascii="Times New Roman" w:eastAsia="Times New Roman" w:hAnsi="Times New Roman" w:cs="Times New Roman"/>
          <w:b/>
          <w:bCs/>
          <w:color w:val="000000" w:themeColor="text1"/>
        </w:rPr>
        <w:t>,</w:t>
      </w:r>
      <w:r w:rsidR="00A904BD" w:rsidRPr="00BD54D8">
        <w:rPr>
          <w:rStyle w:val="Nessuno"/>
          <w:rFonts w:ascii="Times New Roman" w:eastAsia="Times New Roman" w:hAnsi="Times New Roman" w:cs="Times New Roman"/>
          <w:b/>
          <w:bCs/>
          <w:color w:val="000000" w:themeColor="text1"/>
        </w:rPr>
        <w:t xml:space="preserve"> </w:t>
      </w:r>
      <w:r w:rsidR="00BE7C30" w:rsidRPr="00BD54D8">
        <w:rPr>
          <w:rFonts w:ascii="Times New Roman" w:eastAsia="Times New Roman" w:hAnsi="Times New Roman" w:cs="Times New Roman"/>
          <w:b/>
          <w:bCs/>
          <w:color w:val="000000" w:themeColor="text1"/>
        </w:rPr>
        <w:t xml:space="preserve">di cui al </w:t>
      </w:r>
      <w:r w:rsidR="00A904BD" w:rsidRPr="00BD54D8">
        <w:rPr>
          <w:rFonts w:ascii="Times New Roman" w:eastAsia="Times New Roman" w:hAnsi="Times New Roman" w:cs="Times New Roman"/>
          <w:b/>
          <w:bCs/>
          <w:color w:val="000000" w:themeColor="text1"/>
        </w:rPr>
        <w:t xml:space="preserve">decreto legislativo </w:t>
      </w:r>
      <w:r w:rsidR="00791855" w:rsidRPr="00BD54D8">
        <w:rPr>
          <w:rFonts w:ascii="Times New Roman" w:eastAsia="Times New Roman" w:hAnsi="Times New Roman" w:cs="Times New Roman"/>
          <w:b/>
          <w:bCs/>
          <w:color w:val="000000" w:themeColor="text1"/>
        </w:rPr>
        <w:t>di attuazione</w:t>
      </w:r>
      <w:r w:rsidR="00A904BD" w:rsidRPr="00BD54D8">
        <w:rPr>
          <w:rFonts w:ascii="Times New Roman" w:eastAsia="Times New Roman" w:hAnsi="Times New Roman" w:cs="Times New Roman"/>
          <w:b/>
          <w:bCs/>
          <w:color w:val="000000" w:themeColor="text1"/>
        </w:rPr>
        <w:t xml:space="preserve"> della legge 21 giugno 2022, n. 78</w:t>
      </w:r>
      <w:r w:rsidR="005173E5" w:rsidRPr="00BD54D8">
        <w:rPr>
          <w:rFonts w:ascii="Times New Roman" w:eastAsia="Times New Roman" w:hAnsi="Times New Roman" w:cs="Times New Roman"/>
          <w:b/>
          <w:bCs/>
          <w:color w:val="000000" w:themeColor="text1"/>
        </w:rPr>
        <w:t>»</w:t>
      </w:r>
      <w:r w:rsidR="005173E5" w:rsidRPr="00BD54D8">
        <w:rPr>
          <w:rFonts w:ascii="Times New Roman" w:eastAsia="Times New Roman" w:hAnsi="Times New Roman" w:cs="Times New Roman"/>
          <w:b/>
          <w:bCs/>
          <w:strike/>
          <w:color w:val="000000" w:themeColor="text1"/>
        </w:rPr>
        <w:t>”</w:t>
      </w:r>
      <w:r w:rsidRPr="00BD54D8">
        <w:rPr>
          <w:rStyle w:val="Nessuno"/>
          <w:rFonts w:ascii="Times New Roman" w:eastAsia="Times New Roman" w:hAnsi="Times New Roman" w:cs="Times New Roman"/>
          <w:b/>
          <w:bCs/>
          <w:color w:val="000000" w:themeColor="text1"/>
        </w:rPr>
        <w:t>.</w:t>
      </w:r>
    </w:p>
    <w:p w14:paraId="2D57CF0A" w14:textId="2957F36B" w:rsidR="0083753D" w:rsidRPr="00BD54D8" w:rsidRDefault="009F04A1" w:rsidP="0083753D">
      <w:pPr>
        <w:jc w:val="both"/>
        <w:rPr>
          <w:rFonts w:ascii="Times New Roman" w:eastAsia="Times New Roman" w:hAnsi="Times New Roman" w:cs="Times New Roman"/>
          <w:b/>
          <w:color w:val="000000" w:themeColor="text1"/>
        </w:rPr>
      </w:pPr>
      <w:r w:rsidRPr="00BD54D8">
        <w:rPr>
          <w:rFonts w:ascii="Times New Roman" w:eastAsia="Times New Roman" w:hAnsi="Times New Roman" w:cs="Times New Roman"/>
          <w:b/>
          <w:color w:val="000000" w:themeColor="text1"/>
        </w:rPr>
        <w:t>6</w:t>
      </w:r>
      <w:r w:rsidR="00D35F3B" w:rsidRPr="00BD54D8">
        <w:rPr>
          <w:rFonts w:ascii="Times New Roman" w:eastAsia="Times New Roman" w:hAnsi="Times New Roman" w:cs="Times New Roman"/>
          <w:b/>
          <w:color w:val="000000" w:themeColor="text1"/>
        </w:rPr>
        <w:t>.</w:t>
      </w:r>
      <w:r w:rsidR="0083753D" w:rsidRPr="00BD54D8">
        <w:rPr>
          <w:rFonts w:ascii="Times New Roman" w:eastAsia="Times New Roman" w:hAnsi="Times New Roman" w:cs="Times New Roman"/>
          <w:bCs/>
          <w:color w:val="000000" w:themeColor="text1"/>
        </w:rPr>
        <w:t xml:space="preserve"> All’articolo 95, comma 5, del </w:t>
      </w:r>
      <w:r w:rsidR="00323744" w:rsidRPr="00BD54D8">
        <w:rPr>
          <w:rFonts w:ascii="Times New Roman" w:eastAsia="Calibri" w:hAnsi="Times New Roman" w:cs="Times New Roman"/>
          <w:b/>
          <w:bCs/>
          <w:color w:val="000000" w:themeColor="text1"/>
          <w:lang w:eastAsia="zh-CN"/>
        </w:rPr>
        <w:t>codice della crisi di impresa e dell'insolvenza</w:t>
      </w:r>
      <w:r w:rsidR="00D23640" w:rsidRPr="00BD54D8">
        <w:rPr>
          <w:rFonts w:ascii="Times New Roman" w:hAnsi="Times New Roman" w:cs="Times New Roman"/>
          <w:b/>
          <w:bCs/>
          <w:color w:val="000000" w:themeColor="text1"/>
        </w:rPr>
        <w:t>,</w:t>
      </w:r>
      <w:r w:rsidR="00323744" w:rsidRPr="00BD54D8">
        <w:rPr>
          <w:rFonts w:ascii="Times New Roman" w:eastAsia="Calibri" w:hAnsi="Times New Roman" w:cs="Times New Roman"/>
          <w:b/>
          <w:bCs/>
          <w:color w:val="000000" w:themeColor="text1"/>
          <w:lang w:eastAsia="zh-CN"/>
        </w:rPr>
        <w:t xml:space="preserve"> di cui</w:t>
      </w:r>
      <w:r w:rsidR="00321BB8" w:rsidRPr="00BD54D8">
        <w:rPr>
          <w:rFonts w:ascii="Times New Roman" w:eastAsia="Calibri" w:hAnsi="Times New Roman" w:cs="Times New Roman"/>
          <w:b/>
          <w:bCs/>
          <w:color w:val="000000" w:themeColor="text1"/>
          <w:lang w:eastAsia="zh-CN"/>
        </w:rPr>
        <w:t xml:space="preserve"> al</w:t>
      </w:r>
      <w:r w:rsidR="00323744" w:rsidRPr="00BD54D8">
        <w:rPr>
          <w:rFonts w:ascii="Times New Roman" w:eastAsia="Calibri" w:hAnsi="Times New Roman" w:cs="Times New Roman"/>
          <w:color w:val="000000" w:themeColor="text1"/>
          <w:lang w:eastAsia="zh-CN"/>
        </w:rPr>
        <w:t xml:space="preserve"> </w:t>
      </w:r>
      <w:r w:rsidR="0083753D" w:rsidRPr="00BD54D8">
        <w:rPr>
          <w:rFonts w:ascii="Times New Roman" w:eastAsia="Times New Roman" w:hAnsi="Times New Roman" w:cs="Times New Roman"/>
          <w:bCs/>
          <w:color w:val="000000" w:themeColor="text1"/>
        </w:rPr>
        <w:t xml:space="preserve">decreto legislativo 12 gennaio 2019, n. 14, </w:t>
      </w:r>
      <w:r w:rsidR="0083753D" w:rsidRPr="00BD54D8">
        <w:rPr>
          <w:rFonts w:ascii="Times New Roman" w:eastAsia="Times New Roman" w:hAnsi="Times New Roman" w:cs="Times New Roman"/>
          <w:b/>
          <w:strike/>
          <w:color w:val="000000" w:themeColor="text1"/>
        </w:rPr>
        <w:t>sono soppresse</w:t>
      </w:r>
      <w:r w:rsidR="0083753D" w:rsidRPr="00BD54D8">
        <w:rPr>
          <w:rFonts w:ascii="Times New Roman" w:eastAsia="Times New Roman" w:hAnsi="Times New Roman" w:cs="Times New Roman"/>
          <w:bCs/>
          <w:color w:val="000000" w:themeColor="text1"/>
        </w:rPr>
        <w:t xml:space="preserve"> le parole</w:t>
      </w:r>
      <w:r w:rsidR="00191B96" w:rsidRPr="00BD54D8">
        <w:rPr>
          <w:rFonts w:ascii="Times New Roman" w:eastAsia="Times New Roman" w:hAnsi="Times New Roman" w:cs="Times New Roman"/>
          <w:b/>
          <w:color w:val="000000" w:themeColor="text1"/>
        </w:rPr>
        <w:t>:</w:t>
      </w:r>
      <w:r w:rsidR="00191B96" w:rsidRPr="00BD54D8">
        <w:rPr>
          <w:rFonts w:ascii="Times New Roman" w:eastAsia="Times New Roman" w:hAnsi="Times New Roman" w:cs="Times New Roman"/>
          <w:bCs/>
          <w:color w:val="000000" w:themeColor="text1"/>
        </w:rPr>
        <w:t xml:space="preserve"> «purché</w:t>
      </w:r>
      <w:r w:rsidR="0083753D" w:rsidRPr="00BD54D8">
        <w:rPr>
          <w:rFonts w:ascii="Times New Roman" w:eastAsia="Times New Roman" w:hAnsi="Times New Roman" w:cs="Times New Roman"/>
          <w:bCs/>
          <w:color w:val="000000" w:themeColor="text1"/>
        </w:rPr>
        <w:t xml:space="preserve"> non rivesta la qualità di mandataria e</w:t>
      </w:r>
      <w:r w:rsidR="00D13052" w:rsidRPr="00BD54D8">
        <w:rPr>
          <w:rFonts w:ascii="Times New Roman" w:eastAsia="Times New Roman" w:hAnsi="Times New Roman" w:cs="Times New Roman"/>
          <w:bCs/>
          <w:color w:val="000000" w:themeColor="text1"/>
        </w:rPr>
        <w:t xml:space="preserve">» </w:t>
      </w:r>
      <w:r w:rsidR="00D13052" w:rsidRPr="00BD54D8">
        <w:rPr>
          <w:rFonts w:ascii="Times New Roman" w:eastAsia="Times New Roman" w:hAnsi="Times New Roman" w:cs="Times New Roman"/>
          <w:b/>
          <w:color w:val="000000" w:themeColor="text1"/>
        </w:rPr>
        <w:t>sono soppresse</w:t>
      </w:r>
      <w:r w:rsidR="0083753D" w:rsidRPr="00BD54D8">
        <w:rPr>
          <w:rFonts w:ascii="Times New Roman" w:eastAsia="Times New Roman" w:hAnsi="Times New Roman" w:cs="Times New Roman"/>
          <w:b/>
          <w:color w:val="000000" w:themeColor="text1"/>
        </w:rPr>
        <w:t>.</w:t>
      </w:r>
    </w:p>
    <w:p w14:paraId="6458EE74" w14:textId="26E5A3D0" w:rsidR="007945E5" w:rsidRPr="00BD54D8" w:rsidRDefault="009F04A1" w:rsidP="0083753D">
      <w:pPr>
        <w:jc w:val="both"/>
        <w:rPr>
          <w:rFonts w:ascii="Times New Roman" w:eastAsia="Times New Roman" w:hAnsi="Times New Roman" w:cs="Times New Roman"/>
          <w:b/>
          <w:color w:val="000000" w:themeColor="text1"/>
        </w:rPr>
      </w:pPr>
      <w:r w:rsidRPr="00BD54D8">
        <w:rPr>
          <w:rFonts w:ascii="Times New Roman" w:eastAsia="Times New Roman" w:hAnsi="Times New Roman" w:cs="Times New Roman"/>
          <w:b/>
          <w:color w:val="000000" w:themeColor="text1"/>
        </w:rPr>
        <w:t>7</w:t>
      </w:r>
      <w:r w:rsidR="007945E5" w:rsidRPr="00BD54D8">
        <w:rPr>
          <w:rFonts w:ascii="Times New Roman" w:eastAsia="Times New Roman" w:hAnsi="Times New Roman" w:cs="Times New Roman"/>
          <w:b/>
          <w:color w:val="000000" w:themeColor="text1"/>
        </w:rPr>
        <w:t>. Gli organi costituzionali adeguano i propri ordinamenti ai principi e criteri di cui al presente codice nell’ambito della propria autonomia organizzativa e delle prerogative ad essi costituzionalmente riconosciute.</w:t>
      </w:r>
    </w:p>
    <w:p w14:paraId="514E0163" w14:textId="32B2D625" w:rsidR="00813DAB" w:rsidRPr="00BD54D8" w:rsidRDefault="009F04A1" w:rsidP="00813DAB">
      <w:pPr>
        <w:jc w:val="both"/>
        <w:rPr>
          <w:rStyle w:val="Rimandonotaapidipagina"/>
          <w:rFonts w:ascii="Times New Roman" w:eastAsia="Times New Roman" w:hAnsi="Times New Roman" w:cs="Times New Roman"/>
          <w:b/>
          <w:color w:val="000000" w:themeColor="text1"/>
        </w:rPr>
      </w:pPr>
      <w:r w:rsidRPr="00BD54D8">
        <w:rPr>
          <w:rFonts w:ascii="Times New Roman" w:eastAsia="Times New Roman" w:hAnsi="Times New Roman" w:cs="Times New Roman"/>
          <w:b/>
          <w:color w:val="000000" w:themeColor="text1"/>
        </w:rPr>
        <w:t>8</w:t>
      </w:r>
      <w:r w:rsidR="00194FA9" w:rsidRPr="00BD54D8">
        <w:rPr>
          <w:rFonts w:ascii="Times New Roman" w:eastAsia="Times New Roman" w:hAnsi="Times New Roman" w:cs="Times New Roman"/>
          <w:b/>
          <w:color w:val="000000" w:themeColor="text1"/>
        </w:rPr>
        <w:t xml:space="preserve">. </w:t>
      </w:r>
      <w:r w:rsidR="00D76159" w:rsidRPr="00BD54D8">
        <w:rPr>
          <w:rFonts w:ascii="Times New Roman" w:eastAsia="Times New Roman" w:hAnsi="Times New Roman" w:cs="Times New Roman"/>
          <w:b/>
          <w:bCs/>
        </w:rPr>
        <w:t>Le Regioni a Statuto speciale e le province autonome di Trento e di Bolzano adeguano la propria legislazione secondo le disposizioni contenute nei rispettivi statuti e nelle relative norme di attuazione.</w:t>
      </w:r>
    </w:p>
    <w:p w14:paraId="230165FA" w14:textId="77777777" w:rsidR="0083753D" w:rsidRPr="00BD54D8" w:rsidRDefault="0083753D" w:rsidP="0083753D">
      <w:pPr>
        <w:jc w:val="both"/>
        <w:rPr>
          <w:rFonts w:ascii="Times New Roman" w:eastAsia="Calibri" w:hAnsi="Times New Roman" w:cs="Times New Roman"/>
          <w:i/>
          <w:color w:val="000000" w:themeColor="text1"/>
        </w:rPr>
      </w:pPr>
    </w:p>
    <w:p w14:paraId="6FEEAC5C" w14:textId="4827EF59" w:rsidR="0083753D" w:rsidRPr="00BD54D8" w:rsidRDefault="0083753D" w:rsidP="0083753D">
      <w:pPr>
        <w:jc w:val="both"/>
        <w:rPr>
          <w:rFonts w:ascii="Times New Roman" w:eastAsia="Times New Roman" w:hAnsi="Times New Roman" w:cs="Times New Roman"/>
          <w:b/>
          <w:bCs/>
          <w:i/>
          <w:iCs/>
          <w:color w:val="000000" w:themeColor="text1"/>
        </w:rPr>
      </w:pPr>
      <w:r w:rsidRPr="00BD54D8">
        <w:rPr>
          <w:rFonts w:ascii="Times New Roman" w:eastAsia="Times New Roman" w:hAnsi="Times New Roman" w:cs="Times New Roman"/>
          <w:b/>
          <w:bCs/>
          <w:color w:val="000000" w:themeColor="text1"/>
        </w:rPr>
        <w:t>Articolo 22</w:t>
      </w:r>
      <w:r w:rsidR="00E4542D" w:rsidRPr="00BD54D8">
        <w:rPr>
          <w:rFonts w:ascii="Times New Roman" w:eastAsia="Times New Roman" w:hAnsi="Times New Roman" w:cs="Times New Roman"/>
          <w:b/>
          <w:bCs/>
          <w:color w:val="000000" w:themeColor="text1"/>
        </w:rPr>
        <w:t>5</w:t>
      </w:r>
      <w:r w:rsidRPr="00BD54D8">
        <w:rPr>
          <w:rFonts w:ascii="Times New Roman" w:eastAsia="Times New Roman" w:hAnsi="Times New Roman" w:cs="Times New Roman"/>
          <w:b/>
          <w:bCs/>
          <w:color w:val="000000" w:themeColor="text1"/>
        </w:rPr>
        <w:t>.</w:t>
      </w:r>
    </w:p>
    <w:p w14:paraId="460E79A0" w14:textId="77777777" w:rsidR="00037708" w:rsidRPr="00BD54D8" w:rsidRDefault="0083753D" w:rsidP="00037708">
      <w:pPr>
        <w:jc w:val="both"/>
        <w:rPr>
          <w:rStyle w:val="Hyperlink0"/>
          <w:rFonts w:ascii="Times New Roman" w:hAnsi="Times New Roman" w:cs="Times New Roman"/>
          <w:i/>
          <w:color w:val="000000" w:themeColor="text1"/>
        </w:rPr>
      </w:pPr>
      <w:r w:rsidRPr="00BD54D8">
        <w:rPr>
          <w:rStyle w:val="Hyperlink0"/>
          <w:rFonts w:ascii="Times New Roman" w:hAnsi="Times New Roman" w:cs="Times New Roman"/>
          <w:i/>
          <w:color w:val="000000" w:themeColor="text1"/>
        </w:rPr>
        <w:t>Disposizioni transitorie e di coordinamento.</w:t>
      </w:r>
    </w:p>
    <w:p w14:paraId="7FBE81A1" w14:textId="2FFF3768"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color w:val="000000" w:themeColor="text1"/>
          <w:lang w:eastAsia="it-IT"/>
        </w:rPr>
        <w:t xml:space="preserve">1.  </w:t>
      </w:r>
      <w:r w:rsidRPr="00BD54D8">
        <w:rPr>
          <w:rFonts w:ascii="Times New Roman" w:eastAsia="Calibri" w:hAnsi="Times New Roman" w:cs="Times New Roman"/>
          <w:b/>
          <w:bCs/>
          <w:color w:val="000000" w:themeColor="text1"/>
          <w:lang w:eastAsia="it-IT"/>
        </w:rPr>
        <w:t>Fino alla data del 31 dicembre 2023,</w:t>
      </w:r>
      <w:r w:rsidRPr="00BD54D8">
        <w:rPr>
          <w:rFonts w:ascii="Times New Roman" w:eastAsia="Calibri" w:hAnsi="Times New Roman" w:cs="Times New Roman"/>
          <w:color w:val="000000" w:themeColor="text1"/>
          <w:lang w:eastAsia="it-IT"/>
        </w:rPr>
        <w:t xml:space="preserve"> gli avvisi e i bandi sono pubblicati, ai fini della decorrenza degli effetti di legge, nella Gazzetta Ufficiale della Repubblica italiana, serie speciale relativa ai contratti pubblici, entro il sesto giorno feriale successivo a quello del ricevimento della documentazione da parte dell'Ufficio inserzioni dell'Istituto poligrafico e zecca dello Stato. </w:t>
      </w:r>
      <w:r w:rsidRPr="00BD54D8">
        <w:rPr>
          <w:rFonts w:ascii="Times New Roman" w:eastAsia="Calibri" w:hAnsi="Times New Roman" w:cs="Times New Roman"/>
          <w:b/>
          <w:bCs/>
          <w:color w:val="000000" w:themeColor="text1"/>
          <w:lang w:eastAsia="it-IT"/>
        </w:rPr>
        <w:t xml:space="preserve">Fino al 31 dicembre 2023 trovano applicazione le disposizioni di cui agli articoli 70, 72, 73, 127, comma 2, 129, comma 4 del </w:t>
      </w:r>
      <w:r w:rsidR="009F04A1" w:rsidRPr="00BD54D8">
        <w:rPr>
          <w:rFonts w:ascii="Times New Roman" w:eastAsia="Calibri" w:hAnsi="Times New Roman" w:cs="Times New Roman"/>
          <w:b/>
          <w:bCs/>
          <w:lang w:eastAsia="it-IT"/>
        </w:rPr>
        <w:t xml:space="preserve">codice dei contratti pubblici, di cui al </w:t>
      </w:r>
      <w:r w:rsidRPr="00BD54D8">
        <w:rPr>
          <w:rFonts w:ascii="Times New Roman" w:eastAsia="Calibri" w:hAnsi="Times New Roman" w:cs="Times New Roman"/>
          <w:b/>
          <w:bCs/>
          <w:color w:val="000000" w:themeColor="text1"/>
          <w:lang w:eastAsia="it-IT"/>
        </w:rPr>
        <w:t xml:space="preserve">decreto legislativo 18 aprile 2016, n. 50 e del decreto del Ministero delle infrastrutture e dei trasporti adottato in attuazione dell’articolo 73, comma 4 del </w:t>
      </w:r>
      <w:r w:rsidR="004D0F46" w:rsidRPr="00BD54D8">
        <w:rPr>
          <w:rFonts w:ascii="Times New Roman" w:eastAsia="Calibri" w:hAnsi="Times New Roman" w:cs="Times New Roman"/>
          <w:b/>
          <w:bCs/>
          <w:color w:val="000000" w:themeColor="text1"/>
          <w:lang w:eastAsia="it-IT"/>
        </w:rPr>
        <w:t xml:space="preserve">medesimo codice di cui al </w:t>
      </w:r>
      <w:r w:rsidRPr="00BD54D8">
        <w:rPr>
          <w:rFonts w:ascii="Times New Roman" w:eastAsia="Calibri" w:hAnsi="Times New Roman" w:cs="Times New Roman"/>
          <w:b/>
          <w:bCs/>
          <w:color w:val="000000" w:themeColor="text1"/>
          <w:lang w:eastAsia="it-IT"/>
        </w:rPr>
        <w:t>decreto legislativo 18 aprile 2016, n. 50</w:t>
      </w:r>
      <w:r w:rsidR="004D0F46" w:rsidRPr="00BD54D8">
        <w:rPr>
          <w:rFonts w:ascii="Times New Roman" w:eastAsia="Calibri" w:hAnsi="Times New Roman" w:cs="Times New Roman"/>
          <w:b/>
          <w:bCs/>
          <w:color w:val="000000" w:themeColor="text1"/>
          <w:lang w:eastAsia="it-IT"/>
        </w:rPr>
        <w:t xml:space="preserve"> del 2016</w:t>
      </w:r>
      <w:r w:rsidRPr="00BD54D8">
        <w:rPr>
          <w:rFonts w:ascii="Times New Roman" w:eastAsia="Calibri" w:hAnsi="Times New Roman" w:cs="Times New Roman"/>
          <w:b/>
          <w:bCs/>
          <w:color w:val="000000" w:themeColor="text1"/>
          <w:lang w:eastAsia="it-IT"/>
        </w:rPr>
        <w:t>.</w:t>
      </w:r>
      <w:r w:rsidRPr="00BD54D8">
        <w:rPr>
          <w:rFonts w:ascii="Times New Roman" w:eastAsia="Calibri" w:hAnsi="Times New Roman" w:cs="Times New Roman"/>
          <w:color w:val="000000" w:themeColor="text1"/>
          <w:lang w:eastAsia="it-IT"/>
        </w:rPr>
        <w:t xml:space="preserve"> Le spese per la pubblicazione obbligatoria degli avvisi e dei bandi di gara sono rimborsate alla stazione appaltante dall'aggiudicatario entro il termine di </w:t>
      </w:r>
      <w:r w:rsidRPr="00BD54D8">
        <w:rPr>
          <w:rFonts w:ascii="Times New Roman" w:eastAsia="Calibri" w:hAnsi="Times New Roman" w:cs="Times New Roman"/>
          <w:strike/>
          <w:color w:val="000000" w:themeColor="text1"/>
          <w:lang w:eastAsia="it-IT"/>
        </w:rPr>
        <w:t>60</w:t>
      </w:r>
      <w:r w:rsidRPr="00BD54D8">
        <w:rPr>
          <w:rFonts w:ascii="Times New Roman" w:eastAsia="Calibri" w:hAnsi="Times New Roman" w:cs="Times New Roman"/>
          <w:color w:val="000000" w:themeColor="text1"/>
          <w:lang w:eastAsia="it-IT"/>
        </w:rPr>
        <w:t xml:space="preserve"> </w:t>
      </w:r>
      <w:r w:rsidRPr="00BD54D8">
        <w:rPr>
          <w:rFonts w:ascii="Times New Roman" w:eastAsia="Calibri" w:hAnsi="Times New Roman" w:cs="Times New Roman"/>
          <w:b/>
          <w:bCs/>
          <w:color w:val="000000" w:themeColor="text1"/>
          <w:lang w:eastAsia="it-IT"/>
        </w:rPr>
        <w:t xml:space="preserve">sessanta </w:t>
      </w:r>
      <w:r w:rsidRPr="00BD54D8">
        <w:rPr>
          <w:rFonts w:ascii="Times New Roman" w:eastAsia="Calibri" w:hAnsi="Times New Roman" w:cs="Times New Roman"/>
          <w:color w:val="000000" w:themeColor="text1"/>
          <w:lang w:eastAsia="it-IT"/>
        </w:rPr>
        <w:t>giorni dall'aggiudicazione. La pubblicazione di informazioni ulteriori, complementari o aggiuntive avviene esclusivamente in via telematica e non può comportare oneri finanziari a carico della stazione appaltante</w:t>
      </w:r>
      <w:r w:rsidRPr="00BD54D8">
        <w:rPr>
          <w:rFonts w:ascii="Times New Roman" w:eastAsia="Calibri" w:hAnsi="Times New Roman" w:cs="Times New Roman"/>
          <w:b/>
          <w:bCs/>
          <w:color w:val="000000" w:themeColor="text1"/>
          <w:lang w:eastAsia="it-IT"/>
        </w:rPr>
        <w:t xml:space="preserve">. Fino al 31 dicembre 2023 continuano le pubblicazioni sulla piattaforma del Servizio contratti pubblici del Ministero delle infrastrutture e dei trasporti </w:t>
      </w:r>
      <w:r w:rsidRPr="00BD54D8">
        <w:rPr>
          <w:rFonts w:ascii="Times New Roman" w:eastAsia="Calibri" w:hAnsi="Times New Roman" w:cs="Times New Roman"/>
          <w:b/>
          <w:bCs/>
          <w:strike/>
          <w:color w:val="000000" w:themeColor="text1"/>
          <w:lang w:eastAsia="it-IT"/>
        </w:rPr>
        <w:t xml:space="preserve">realizzata in collaborazione con le </w:t>
      </w:r>
      <w:r w:rsidR="004D0F46" w:rsidRPr="00BD54D8">
        <w:rPr>
          <w:rFonts w:ascii="Times New Roman" w:eastAsia="Calibri" w:hAnsi="Times New Roman" w:cs="Times New Roman"/>
          <w:b/>
          <w:bCs/>
          <w:strike/>
          <w:color w:val="000000" w:themeColor="text1"/>
          <w:lang w:eastAsia="it-IT"/>
        </w:rPr>
        <w:t>r</w:t>
      </w:r>
      <w:r w:rsidRPr="00BD54D8">
        <w:rPr>
          <w:rFonts w:ascii="Times New Roman" w:eastAsia="Calibri" w:hAnsi="Times New Roman" w:cs="Times New Roman"/>
          <w:b/>
          <w:bCs/>
          <w:strike/>
          <w:color w:val="000000" w:themeColor="text1"/>
          <w:lang w:eastAsia="it-IT"/>
        </w:rPr>
        <w:t xml:space="preserve">egioni e </w:t>
      </w:r>
      <w:r w:rsidR="004D0F46" w:rsidRPr="00BD54D8">
        <w:rPr>
          <w:rFonts w:ascii="Times New Roman" w:eastAsia="Calibri" w:hAnsi="Times New Roman" w:cs="Times New Roman"/>
          <w:b/>
          <w:bCs/>
          <w:strike/>
          <w:color w:val="000000" w:themeColor="text1"/>
          <w:lang w:eastAsia="it-IT"/>
        </w:rPr>
        <w:t>p</w:t>
      </w:r>
      <w:r w:rsidRPr="00BD54D8">
        <w:rPr>
          <w:rFonts w:ascii="Times New Roman" w:eastAsia="Calibri" w:hAnsi="Times New Roman" w:cs="Times New Roman"/>
          <w:b/>
          <w:bCs/>
          <w:strike/>
          <w:color w:val="000000" w:themeColor="text1"/>
          <w:lang w:eastAsia="it-IT"/>
        </w:rPr>
        <w:t>rovince autonome</w:t>
      </w:r>
      <w:r w:rsidRPr="00BD54D8">
        <w:rPr>
          <w:rFonts w:ascii="Times New Roman" w:eastAsia="Calibri" w:hAnsi="Times New Roman" w:cs="Times New Roman"/>
          <w:b/>
          <w:bCs/>
          <w:color w:val="000000" w:themeColor="text1"/>
          <w:lang w:eastAsia="it-IT"/>
        </w:rPr>
        <w:t xml:space="preserve"> di cui all’Allegato B </w:t>
      </w:r>
      <w:r w:rsidR="004D0F46" w:rsidRPr="00BD54D8">
        <w:rPr>
          <w:rFonts w:ascii="Times New Roman" w:eastAsia="Calibri" w:hAnsi="Times New Roman" w:cs="Times New Roman"/>
          <w:b/>
          <w:bCs/>
          <w:strike/>
          <w:color w:val="000000" w:themeColor="text1"/>
          <w:lang w:eastAsia="it-IT"/>
        </w:rPr>
        <w:t>de</w:t>
      </w:r>
      <w:r w:rsidRPr="00BD54D8">
        <w:rPr>
          <w:rFonts w:ascii="Times New Roman" w:eastAsia="Calibri" w:hAnsi="Times New Roman" w:cs="Times New Roman"/>
          <w:b/>
          <w:bCs/>
          <w:strike/>
          <w:color w:val="000000" w:themeColor="text1"/>
          <w:lang w:eastAsia="it-IT"/>
        </w:rPr>
        <w:t>l</w:t>
      </w:r>
      <w:r w:rsidRPr="00BD54D8">
        <w:rPr>
          <w:rFonts w:ascii="Times New Roman" w:eastAsia="Calibri" w:hAnsi="Times New Roman" w:cs="Times New Roman"/>
          <w:b/>
          <w:bCs/>
          <w:color w:val="000000" w:themeColor="text1"/>
          <w:lang w:eastAsia="it-IT"/>
        </w:rPr>
        <w:t xml:space="preserve"> </w:t>
      </w:r>
      <w:r w:rsidR="004D0F46" w:rsidRPr="00BD54D8">
        <w:rPr>
          <w:rFonts w:ascii="Times New Roman" w:eastAsia="Calibri" w:hAnsi="Times New Roman" w:cs="Times New Roman"/>
          <w:b/>
          <w:bCs/>
          <w:color w:val="000000" w:themeColor="text1"/>
          <w:lang w:eastAsia="it-IT"/>
        </w:rPr>
        <w:t xml:space="preserve">al </w:t>
      </w:r>
      <w:r w:rsidRPr="00BD54D8">
        <w:rPr>
          <w:rFonts w:ascii="Times New Roman" w:eastAsia="Calibri" w:hAnsi="Times New Roman" w:cs="Times New Roman"/>
          <w:b/>
          <w:bCs/>
          <w:color w:val="000000" w:themeColor="text1"/>
          <w:lang w:eastAsia="it-IT"/>
        </w:rPr>
        <w:t xml:space="preserve">decreto legislativo 14 marzo 2013, n. 33. </w:t>
      </w:r>
      <w:r w:rsidRPr="00BD54D8">
        <w:rPr>
          <w:rFonts w:ascii="Times New Roman" w:eastAsia="Calibri" w:hAnsi="Times New Roman" w:cs="Times New Roman"/>
          <w:b/>
          <w:bCs/>
          <w:strike/>
          <w:color w:val="000000" w:themeColor="text1"/>
          <w:lang w:eastAsia="it-IT"/>
        </w:rPr>
        <w:t xml:space="preserve">ai sensi degli articoli 66, 122 e 124 del decreto legislativo 12 aprile 2006 n. 163. </w:t>
      </w:r>
      <w:r w:rsidRPr="00BD54D8">
        <w:rPr>
          <w:rFonts w:ascii="Times New Roman" w:eastAsia="Calibri" w:hAnsi="Times New Roman" w:cs="Times New Roman"/>
          <w:b/>
          <w:bCs/>
          <w:color w:val="000000" w:themeColor="text1"/>
          <w:lang w:eastAsia="it-IT"/>
        </w:rPr>
        <w:t xml:space="preserve">Dal 1° gennaio 2024, acquistano efficacia gli </w:t>
      </w:r>
      <w:r w:rsidR="00880733" w:rsidRPr="00BD54D8">
        <w:rPr>
          <w:rFonts w:ascii="Times New Roman" w:eastAsia="Calibri" w:hAnsi="Times New Roman" w:cs="Times New Roman"/>
          <w:b/>
          <w:bCs/>
          <w:color w:val="000000" w:themeColor="text1"/>
          <w:lang w:eastAsia="it-IT"/>
        </w:rPr>
        <w:t>articoli 27</w:t>
      </w:r>
      <w:r w:rsidRPr="00BD54D8">
        <w:rPr>
          <w:rFonts w:ascii="Times New Roman" w:eastAsia="Calibri" w:hAnsi="Times New Roman" w:cs="Times New Roman"/>
          <w:b/>
          <w:bCs/>
          <w:color w:val="000000" w:themeColor="text1"/>
          <w:lang w:eastAsia="it-IT"/>
        </w:rPr>
        <w:t>, 81,83, 84 e 85.</w:t>
      </w:r>
    </w:p>
    <w:p w14:paraId="4A8007A8" w14:textId="77777777" w:rsidR="005F3BAB" w:rsidRPr="00BD54D8" w:rsidRDefault="005F3BAB" w:rsidP="005F3BAB">
      <w:pPr>
        <w:spacing w:line="252" w:lineRule="auto"/>
        <w:jc w:val="both"/>
        <w:rPr>
          <w:rFonts w:ascii="Times New Roman" w:eastAsia="Calibri" w:hAnsi="Times New Roman" w:cs="Times New Roman"/>
          <w:b/>
          <w:bCs/>
          <w:strike/>
          <w:color w:val="000000" w:themeColor="text1"/>
          <w:lang w:eastAsia="it-IT"/>
        </w:rPr>
      </w:pPr>
      <w:r w:rsidRPr="00BD54D8">
        <w:rPr>
          <w:rFonts w:ascii="Times New Roman" w:eastAsia="Calibri" w:hAnsi="Times New Roman" w:cs="Times New Roman"/>
          <w:b/>
          <w:bCs/>
          <w:strike/>
          <w:color w:val="000000" w:themeColor="text1"/>
          <w:lang w:eastAsia="it-IT"/>
        </w:rPr>
        <w:t>2. Fatto salvo quanto disposto dall’articolo 63, a decorrere dal 1° gennaio 2024 l’ANAC non rilascia il codice identificativo di gara (CIG) ai soggetti che, sebbene vi siano tenuti, non si sono adeguati a quanto previsto dagli articoli 19, 20, 21, 22, 23, 25, 27, 28, 29, 30, 35 e 36.</w:t>
      </w:r>
    </w:p>
    <w:p w14:paraId="2CB28FC6" w14:textId="59C2DB34"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Times New Roman" w:hAnsi="Times New Roman" w:cs="Times New Roman"/>
          <w:b/>
          <w:color w:val="000000" w:themeColor="text1"/>
        </w:rPr>
        <w:t>2. Le disposizioni</w:t>
      </w:r>
      <w:r w:rsidRPr="00BD54D8">
        <w:rPr>
          <w:rFonts w:ascii="Times New Roman" w:eastAsia="Calibri" w:hAnsi="Times New Roman" w:cs="Times New Roman"/>
          <w:b/>
          <w:bCs/>
          <w:color w:val="000000" w:themeColor="text1"/>
          <w:lang w:eastAsia="it-IT"/>
        </w:rPr>
        <w:t xml:space="preserve"> di cui agli articoli 19, 20, 21, 22, 23, 24, 25, 26, 28, 29, 30, 31, 35, 36, 37, comma 4, </w:t>
      </w:r>
      <w:r w:rsidRPr="00BD54D8">
        <w:rPr>
          <w:rFonts w:ascii="Times New Roman" w:eastAsia="Times New Roman" w:hAnsi="Times New Roman" w:cs="Times New Roman"/>
          <w:b/>
          <w:color w:val="000000" w:themeColor="text1"/>
        </w:rPr>
        <w:t xml:space="preserve">99, 106, comma 3, ultimo periodo, 115, comma 5, 119, comma 5, </w:t>
      </w:r>
      <w:r w:rsidRPr="00BD54D8">
        <w:rPr>
          <w:rFonts w:ascii="Times New Roman" w:eastAsia="Calibri" w:hAnsi="Times New Roman" w:cs="Times New Roman"/>
          <w:b/>
          <w:bCs/>
          <w:color w:val="000000" w:themeColor="text1"/>
          <w:lang w:eastAsia="it-IT"/>
        </w:rPr>
        <w:t xml:space="preserve">e 224, comma 6 acquistano efficacia a decorrere dal 1° gennaio 2024. In via transitoria, le disposizioni di cui agli articoli 21, comma 7, 29, </w:t>
      </w:r>
      <w:r w:rsidR="00B55880" w:rsidRPr="00BD54D8">
        <w:rPr>
          <w:rFonts w:ascii="Times New Roman" w:eastAsia="Calibri" w:hAnsi="Times New Roman" w:cs="Times New Roman"/>
          <w:b/>
          <w:bCs/>
          <w:color w:val="000000" w:themeColor="text1"/>
          <w:lang w:eastAsia="it-IT"/>
        </w:rPr>
        <w:t xml:space="preserve">40, </w:t>
      </w:r>
      <w:r w:rsidRPr="00BD54D8">
        <w:rPr>
          <w:rFonts w:ascii="Times New Roman" w:eastAsia="Calibri" w:hAnsi="Times New Roman" w:cs="Times New Roman"/>
          <w:b/>
          <w:bCs/>
          <w:color w:val="000000" w:themeColor="text1"/>
          <w:lang w:eastAsia="it-IT"/>
        </w:rPr>
        <w:t>41 comma 2-bis, , 44, 52, 53, 58,</w:t>
      </w:r>
      <w:r w:rsidR="00AC6D61" w:rsidRPr="00BD54D8">
        <w:rPr>
          <w:rFonts w:ascii="Times New Roman" w:eastAsia="Calibri" w:hAnsi="Times New Roman" w:cs="Times New Roman"/>
          <w:b/>
          <w:bCs/>
          <w:color w:val="000000" w:themeColor="text1"/>
          <w:lang w:eastAsia="it-IT"/>
        </w:rPr>
        <w:t xml:space="preserve"> 74</w:t>
      </w:r>
      <w:r w:rsidR="00AA4780" w:rsidRPr="00BD54D8">
        <w:rPr>
          <w:rFonts w:ascii="Times New Roman" w:eastAsia="Calibri" w:hAnsi="Times New Roman" w:cs="Times New Roman"/>
          <w:b/>
          <w:bCs/>
          <w:color w:val="000000" w:themeColor="text1"/>
          <w:lang w:eastAsia="it-IT"/>
        </w:rPr>
        <w:t>,</w:t>
      </w:r>
      <w:r w:rsidRPr="00BD54D8">
        <w:rPr>
          <w:rFonts w:ascii="Times New Roman" w:eastAsia="Calibri" w:hAnsi="Times New Roman" w:cs="Times New Roman"/>
          <w:b/>
          <w:bCs/>
          <w:color w:val="000000" w:themeColor="text1"/>
          <w:lang w:eastAsia="it-IT"/>
        </w:rPr>
        <w:t xml:space="preserve"> 81, 85, </w:t>
      </w:r>
      <w:r w:rsidR="006B7553" w:rsidRPr="00BD54D8">
        <w:rPr>
          <w:rFonts w:ascii="Times New Roman" w:eastAsia="Calibri" w:hAnsi="Times New Roman" w:cs="Times New Roman"/>
          <w:b/>
          <w:bCs/>
          <w:color w:val="000000" w:themeColor="text1"/>
          <w:lang w:eastAsia="it-IT"/>
        </w:rPr>
        <w:t>10</w:t>
      </w:r>
      <w:r w:rsidRPr="00BD54D8">
        <w:rPr>
          <w:rFonts w:ascii="Times New Roman" w:eastAsia="Calibri" w:hAnsi="Times New Roman" w:cs="Times New Roman"/>
          <w:b/>
          <w:bCs/>
          <w:color w:val="000000" w:themeColor="text1"/>
          <w:lang w:eastAsia="it-IT"/>
        </w:rPr>
        <w:t xml:space="preserve">5, comma 7, 111, comma 2-bis, 213 commi 8, 9 e 10, 214, comma 6 del </w:t>
      </w:r>
      <w:r w:rsidR="004D0F46" w:rsidRPr="00BD54D8">
        <w:rPr>
          <w:rFonts w:ascii="Times New Roman" w:eastAsia="Calibri" w:hAnsi="Times New Roman" w:cs="Times New Roman"/>
          <w:b/>
          <w:bCs/>
          <w:lang w:eastAsia="it-IT"/>
        </w:rPr>
        <w:t xml:space="preserve">codice dei contratti pubblici, di cui al </w:t>
      </w:r>
      <w:r w:rsidRPr="00BD54D8">
        <w:rPr>
          <w:rFonts w:ascii="Times New Roman" w:eastAsia="Calibri" w:hAnsi="Times New Roman" w:cs="Times New Roman"/>
          <w:b/>
          <w:bCs/>
          <w:color w:val="000000" w:themeColor="text1"/>
          <w:lang w:eastAsia="it-IT"/>
        </w:rPr>
        <w:t>decreto legislativo 18 aprile 2016, n. 50 continuano ad applicarsi fino al  31 dicembre 2023 per lo svolgimento delle attività relative:</w:t>
      </w:r>
    </w:p>
    <w:p w14:paraId="59426D4E"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a) alla redazione o acquisizione degli atti relativi alle procedure di programmazione, progettazione, pubblicazione, affidamento ed esecuzione dei contratti;</w:t>
      </w:r>
    </w:p>
    <w:p w14:paraId="64682306"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b) alla trasmissione dei dati e documenti relativi alle procedure di cui alla lettera a);</w:t>
      </w:r>
    </w:p>
    <w:p w14:paraId="0A148748"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c) all’accesso alla documentazione di gara;</w:t>
      </w:r>
    </w:p>
    <w:p w14:paraId="5096906D"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d) alla presentazione del documento di gara unico europeo;</w:t>
      </w:r>
    </w:p>
    <w:p w14:paraId="3B2F7313"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e) alla presentazione delle offerte;</w:t>
      </w:r>
    </w:p>
    <w:p w14:paraId="265E72B3"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f) all’apertura e la conservazione del fascicolo di gara;</w:t>
      </w:r>
    </w:p>
    <w:p w14:paraId="10630BDB" w14:textId="77777777"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 xml:space="preserve">g) al controllo tecnico, contabile e amministrativo dei contratti anche in fase di esecuzione e la gestione delle garanzie.  </w:t>
      </w:r>
    </w:p>
    <w:p w14:paraId="42CA8755" w14:textId="4C84B18D" w:rsidR="005F3BAB" w:rsidRPr="00BD54D8" w:rsidRDefault="005F3BAB" w:rsidP="005F3BAB">
      <w:pPr>
        <w:spacing w:line="252" w:lineRule="auto"/>
        <w:jc w:val="both"/>
        <w:rPr>
          <w:rFonts w:ascii="Times New Roman" w:eastAsia="Calibri" w:hAnsi="Times New Roman" w:cs="Times New Roman"/>
          <w:b/>
          <w:bCs/>
          <w:color w:val="000000" w:themeColor="text1"/>
          <w:lang w:eastAsia="it-IT"/>
        </w:rPr>
      </w:pPr>
      <w:r w:rsidRPr="00BD54D8">
        <w:rPr>
          <w:rFonts w:ascii="Times New Roman" w:eastAsia="Calibri" w:hAnsi="Times New Roman" w:cs="Times New Roman"/>
          <w:b/>
          <w:bCs/>
          <w:color w:val="000000" w:themeColor="text1"/>
          <w:lang w:eastAsia="it-IT"/>
        </w:rPr>
        <w:t>3. Il requisito di qualificazione di cui all’articolo 4, comma 1, lett</w:t>
      </w:r>
      <w:r w:rsidR="004D0F46" w:rsidRPr="00BD54D8">
        <w:rPr>
          <w:rFonts w:ascii="Times New Roman" w:eastAsia="Calibri" w:hAnsi="Times New Roman" w:cs="Times New Roman"/>
          <w:b/>
          <w:bCs/>
          <w:color w:val="000000" w:themeColor="text1"/>
          <w:lang w:eastAsia="it-IT"/>
        </w:rPr>
        <w:t>era</w:t>
      </w:r>
      <w:r w:rsidRPr="00BD54D8">
        <w:rPr>
          <w:rFonts w:ascii="Times New Roman" w:eastAsia="Calibri" w:hAnsi="Times New Roman" w:cs="Times New Roman"/>
          <w:b/>
          <w:bCs/>
          <w:color w:val="000000" w:themeColor="text1"/>
          <w:lang w:eastAsia="it-IT"/>
        </w:rPr>
        <w:t xml:space="preserve"> c) e all’ articolo 6, comma 1, lett</w:t>
      </w:r>
      <w:r w:rsidR="004D0F46" w:rsidRPr="00BD54D8">
        <w:rPr>
          <w:rFonts w:ascii="Times New Roman" w:eastAsia="Calibri" w:hAnsi="Times New Roman" w:cs="Times New Roman"/>
          <w:b/>
          <w:bCs/>
          <w:color w:val="000000" w:themeColor="text1"/>
          <w:lang w:eastAsia="it-IT"/>
        </w:rPr>
        <w:t>era</w:t>
      </w:r>
      <w:r w:rsidRPr="00BD54D8">
        <w:rPr>
          <w:rFonts w:ascii="Times New Roman" w:eastAsia="Calibri" w:hAnsi="Times New Roman" w:cs="Times New Roman"/>
          <w:b/>
          <w:bCs/>
          <w:color w:val="000000" w:themeColor="text1"/>
          <w:lang w:eastAsia="it-IT"/>
        </w:rPr>
        <w:t xml:space="preserve"> c) dell’Allegato II 4 </w:t>
      </w:r>
      <w:r w:rsidRPr="00BD54D8">
        <w:rPr>
          <w:rFonts w:ascii="Times New Roman" w:eastAsia="Calibri" w:hAnsi="Times New Roman" w:cs="Times New Roman"/>
          <w:b/>
          <w:bCs/>
          <w:strike/>
          <w:color w:val="000000" w:themeColor="text1"/>
          <w:lang w:eastAsia="it-IT"/>
        </w:rPr>
        <w:t>del codice</w:t>
      </w:r>
      <w:r w:rsidRPr="00BD54D8">
        <w:rPr>
          <w:rFonts w:ascii="Times New Roman" w:eastAsia="Calibri" w:hAnsi="Times New Roman" w:cs="Times New Roman"/>
          <w:b/>
          <w:bCs/>
          <w:color w:val="000000" w:themeColor="text1"/>
          <w:lang w:eastAsia="it-IT"/>
        </w:rPr>
        <w:t xml:space="preserve"> è richiesto a decorrere dal 1° gennaio 2024.</w:t>
      </w:r>
    </w:p>
    <w:p w14:paraId="7266E1F0" w14:textId="1F39CAB9" w:rsidR="0083753D" w:rsidRPr="00BD54D8" w:rsidRDefault="005F3BAB" w:rsidP="00037708">
      <w:pPr>
        <w:jc w:val="both"/>
        <w:rPr>
          <w:rFonts w:ascii="Times New Roman" w:eastAsia="Times New Roman" w:hAnsi="Times New Roman" w:cs="Times New Roman"/>
          <w:i/>
          <w:color w:val="000000" w:themeColor="text1"/>
        </w:rPr>
      </w:pPr>
      <w:r w:rsidRPr="00BD54D8">
        <w:rPr>
          <w:rFonts w:ascii="Times New Roman" w:hAnsi="Times New Roman" w:cs="Times New Roman"/>
          <w:b/>
          <w:bCs/>
          <w:strike/>
          <w:color w:val="000000" w:themeColor="text1"/>
        </w:rPr>
        <w:t>3</w:t>
      </w:r>
      <w:r w:rsidR="0083753D" w:rsidRPr="00BD54D8">
        <w:rPr>
          <w:rFonts w:ascii="Times New Roman" w:hAnsi="Times New Roman" w:cs="Times New Roman"/>
          <w:b/>
          <w:bCs/>
          <w:color w:val="000000" w:themeColor="text1"/>
        </w:rPr>
        <w:t>.</w:t>
      </w:r>
      <w:r w:rsidR="006B7553" w:rsidRPr="00BD54D8">
        <w:rPr>
          <w:rFonts w:ascii="Times New Roman" w:hAnsi="Times New Roman" w:cs="Times New Roman"/>
          <w:b/>
          <w:bCs/>
          <w:color w:val="000000" w:themeColor="text1"/>
        </w:rPr>
        <w:t>4</w:t>
      </w:r>
      <w:r w:rsidR="0083753D" w:rsidRPr="00BD54D8">
        <w:rPr>
          <w:rFonts w:ascii="Times New Roman" w:hAnsi="Times New Roman" w:cs="Times New Roman"/>
          <w:color w:val="000000" w:themeColor="text1"/>
        </w:rPr>
        <w:t xml:space="preserve"> In sede di prima applicazione dell’articolo 47 e fino all’attuazione delle disposizioni di cui a</w:t>
      </w:r>
      <w:r w:rsidR="008F52F6" w:rsidRPr="00BD54D8">
        <w:rPr>
          <w:rFonts w:ascii="Times New Roman" w:hAnsi="Times New Roman" w:cs="Times New Roman"/>
          <w:color w:val="000000" w:themeColor="text1"/>
        </w:rPr>
        <w:t>ll’</w:t>
      </w:r>
      <w:r w:rsidR="0083753D" w:rsidRPr="00BD54D8">
        <w:rPr>
          <w:rFonts w:ascii="Times New Roman" w:hAnsi="Times New Roman" w:cs="Times New Roman"/>
          <w:color w:val="000000" w:themeColor="text1"/>
        </w:rPr>
        <w:t xml:space="preserve">allegato I.11, la composizione del Consiglio superiore dei lavori pubblici e le competenze delle sezioni restano quelle vigenti alla data di entrata in vigore del codice, ivi compreso quanto disposto dall’articolo 45 del decreto-legge </w:t>
      </w:r>
      <w:r w:rsidR="00776DDF" w:rsidRPr="00BD54D8">
        <w:rPr>
          <w:rFonts w:ascii="Times New Roman" w:hAnsi="Times New Roman" w:cs="Times New Roman"/>
          <w:bCs/>
          <w:color w:val="000000" w:themeColor="text1"/>
        </w:rPr>
        <w:t>31 maggio 2021 n. 77, convertito, con modificazioni, dalla legge 29 luglio 2021 n. 108</w:t>
      </w:r>
      <w:r w:rsidR="0083753D" w:rsidRPr="00BD54D8">
        <w:rPr>
          <w:rFonts w:ascii="Times New Roman" w:hAnsi="Times New Roman" w:cs="Times New Roman"/>
          <w:color w:val="000000" w:themeColor="text1"/>
        </w:rPr>
        <w:t>.</w:t>
      </w:r>
    </w:p>
    <w:p w14:paraId="397B92B9" w14:textId="5F1A8D54" w:rsidR="00925DDC" w:rsidRPr="00BD54D8" w:rsidRDefault="006C641B" w:rsidP="0083753D">
      <w:pPr>
        <w:pStyle w:val="Paragrafoelenco"/>
        <w:ind w:left="0"/>
        <w:jc w:val="both"/>
        <w:rPr>
          <w:rFonts w:ascii="Times New Roman" w:hAnsi="Times New Roman" w:cs="Times New Roman"/>
          <w:bCs/>
          <w:color w:val="000000" w:themeColor="text1"/>
        </w:rPr>
      </w:pPr>
      <w:r w:rsidRPr="00BD54D8">
        <w:rPr>
          <w:rFonts w:ascii="Times New Roman" w:hAnsi="Times New Roman" w:cs="Times New Roman"/>
          <w:b/>
          <w:strike/>
          <w:color w:val="000000" w:themeColor="text1"/>
        </w:rPr>
        <w:t>4</w:t>
      </w:r>
      <w:r w:rsidR="00925DDC" w:rsidRPr="00BD54D8">
        <w:rPr>
          <w:rFonts w:ascii="Times New Roman" w:hAnsi="Times New Roman" w:cs="Times New Roman"/>
          <w:b/>
          <w:color w:val="000000" w:themeColor="text1"/>
        </w:rPr>
        <w:t>.</w:t>
      </w:r>
      <w:r w:rsidR="006B7553" w:rsidRPr="00BD54D8">
        <w:rPr>
          <w:rFonts w:ascii="Times New Roman" w:hAnsi="Times New Roman" w:cs="Times New Roman"/>
          <w:b/>
          <w:color w:val="000000" w:themeColor="text1"/>
        </w:rPr>
        <w:t>5</w:t>
      </w:r>
      <w:r w:rsidR="005F3BAB" w:rsidRPr="00BD54D8">
        <w:rPr>
          <w:rFonts w:ascii="Times New Roman" w:hAnsi="Times New Roman" w:cs="Times New Roman"/>
          <w:b/>
          <w:color w:val="000000" w:themeColor="text1"/>
        </w:rPr>
        <w:t>.</w:t>
      </w:r>
      <w:r w:rsidR="00615640" w:rsidRPr="00BD54D8">
        <w:rPr>
          <w:rFonts w:ascii="Times New Roman" w:hAnsi="Times New Roman" w:cs="Times New Roman"/>
          <w:bCs/>
          <w:color w:val="000000" w:themeColor="text1"/>
        </w:rPr>
        <w:t xml:space="preserve"> </w:t>
      </w:r>
      <w:r w:rsidR="00925DDC" w:rsidRPr="00BD54D8">
        <w:rPr>
          <w:rFonts w:ascii="Times New Roman" w:hAnsi="Times New Roman" w:cs="Times New Roman"/>
          <w:bCs/>
          <w:color w:val="000000" w:themeColor="text1"/>
        </w:rPr>
        <w:t>Fino all’adozione del regolamento</w:t>
      </w:r>
      <w:r w:rsidR="00042CCA" w:rsidRPr="00BD54D8">
        <w:rPr>
          <w:rFonts w:ascii="Times New Roman" w:hAnsi="Times New Roman" w:cs="Times New Roman"/>
          <w:bCs/>
          <w:color w:val="000000" w:themeColor="text1"/>
        </w:rPr>
        <w:t xml:space="preserve"> di cui all’articolo 13, comma 4</w:t>
      </w:r>
      <w:r w:rsidR="00925DDC" w:rsidRPr="00BD54D8">
        <w:rPr>
          <w:rFonts w:ascii="Times New Roman" w:hAnsi="Times New Roman" w:cs="Times New Roman"/>
          <w:bCs/>
          <w:color w:val="000000" w:themeColor="text1"/>
        </w:rPr>
        <w:t>, continua ad applicarsi il regolamento di cui al decreto del Ministro degli affari esteri e della cooperazione internazionale 2 novembre 2017, n. 192.</w:t>
      </w:r>
    </w:p>
    <w:p w14:paraId="29CD2B86" w14:textId="35793C3F" w:rsidR="00376785" w:rsidRPr="00BD54D8" w:rsidRDefault="006C641B" w:rsidP="00376785">
      <w:pPr>
        <w:jc w:val="both"/>
        <w:rPr>
          <w:rFonts w:ascii="Times New Roman" w:eastAsia="Times New Roman" w:hAnsi="Times New Roman" w:cs="Times New Roman"/>
          <w:bCs/>
          <w:color w:val="000000" w:themeColor="text1"/>
        </w:rPr>
      </w:pPr>
      <w:r w:rsidRPr="00BD54D8">
        <w:rPr>
          <w:rFonts w:ascii="Times New Roman" w:hAnsi="Times New Roman" w:cs="Times New Roman"/>
          <w:b/>
          <w:strike/>
          <w:color w:val="000000" w:themeColor="text1"/>
        </w:rPr>
        <w:t>5</w:t>
      </w:r>
      <w:r w:rsidR="00376785" w:rsidRPr="00BD54D8">
        <w:rPr>
          <w:rFonts w:ascii="Times New Roman" w:hAnsi="Times New Roman" w:cs="Times New Roman"/>
          <w:b/>
          <w:strike/>
          <w:color w:val="000000" w:themeColor="text1"/>
        </w:rPr>
        <w:t>.</w:t>
      </w:r>
      <w:r w:rsidR="006B7553" w:rsidRPr="00BD54D8">
        <w:rPr>
          <w:rFonts w:ascii="Times New Roman" w:hAnsi="Times New Roman" w:cs="Times New Roman"/>
          <w:b/>
          <w:color w:val="000000" w:themeColor="text1"/>
        </w:rPr>
        <w:t>6</w:t>
      </w:r>
      <w:r w:rsidR="005F3BAB" w:rsidRPr="00BD54D8">
        <w:rPr>
          <w:rFonts w:ascii="Times New Roman" w:hAnsi="Times New Roman" w:cs="Times New Roman"/>
          <w:b/>
          <w:color w:val="000000" w:themeColor="text1"/>
        </w:rPr>
        <w:t>.</w:t>
      </w:r>
      <w:r w:rsidR="00376785" w:rsidRPr="00BD54D8">
        <w:rPr>
          <w:rFonts w:ascii="Times New Roman" w:hAnsi="Times New Roman" w:cs="Times New Roman"/>
          <w:bCs/>
          <w:color w:val="000000" w:themeColor="text1"/>
        </w:rPr>
        <w:t xml:space="preserve"> Fino all’adozione del regolamento di cui all’articolo </w:t>
      </w:r>
      <w:r w:rsidR="0028563A" w:rsidRPr="00BD54D8">
        <w:rPr>
          <w:rFonts w:ascii="Times New Roman" w:hAnsi="Times New Roman" w:cs="Times New Roman"/>
          <w:bCs/>
          <w:color w:val="000000" w:themeColor="text1"/>
        </w:rPr>
        <w:t xml:space="preserve">136, </w:t>
      </w:r>
      <w:r w:rsidR="00376785" w:rsidRPr="00BD54D8">
        <w:rPr>
          <w:rFonts w:ascii="Times New Roman" w:eastAsia="Calibri" w:hAnsi="Times New Roman" w:cs="Times New Roman"/>
          <w:bCs/>
          <w:color w:val="000000" w:themeColor="text1"/>
        </w:rPr>
        <w:t xml:space="preserve">comma 4, </w:t>
      </w:r>
      <w:r w:rsidR="0028563A" w:rsidRPr="00BD54D8">
        <w:rPr>
          <w:rFonts w:ascii="Times New Roman" w:eastAsia="Calibri" w:hAnsi="Times New Roman" w:cs="Times New Roman"/>
          <w:bCs/>
          <w:color w:val="000000" w:themeColor="text1"/>
        </w:rPr>
        <w:t>continua ad applicarsi</w:t>
      </w:r>
      <w:r w:rsidR="00376785" w:rsidRPr="00BD54D8">
        <w:rPr>
          <w:rFonts w:ascii="Times New Roman" w:eastAsia="Calibri" w:hAnsi="Times New Roman" w:cs="Times New Roman"/>
          <w:bCs/>
          <w:color w:val="000000" w:themeColor="text1"/>
        </w:rPr>
        <w:t xml:space="preserve"> il </w:t>
      </w:r>
      <w:r w:rsidR="00035CA1" w:rsidRPr="00BD54D8">
        <w:rPr>
          <w:rFonts w:ascii="Times New Roman" w:eastAsia="Calibri" w:hAnsi="Times New Roman" w:cs="Times New Roman"/>
          <w:b/>
          <w:color w:val="000000" w:themeColor="text1"/>
        </w:rPr>
        <w:t xml:space="preserve">regolamento recante </w:t>
      </w:r>
      <w:r w:rsidR="00E246F8" w:rsidRPr="00BD54D8">
        <w:rPr>
          <w:rFonts w:ascii="Times New Roman" w:eastAsia="Calibri" w:hAnsi="Times New Roman" w:cs="Times New Roman"/>
          <w:b/>
          <w:color w:val="000000" w:themeColor="text1"/>
        </w:rPr>
        <w:t xml:space="preserve">la </w:t>
      </w:r>
      <w:r w:rsidR="00035CA1" w:rsidRPr="00BD54D8">
        <w:rPr>
          <w:rFonts w:ascii="Times New Roman" w:eastAsia="Calibri" w:hAnsi="Times New Roman" w:cs="Times New Roman"/>
          <w:b/>
          <w:color w:val="000000" w:themeColor="text1"/>
        </w:rPr>
        <w:t>disciplina delle attività del Ministero della difesa in materia di lavori, servizi e forniture di cui al</w:t>
      </w:r>
      <w:r w:rsidR="00035CA1" w:rsidRPr="00BD54D8">
        <w:rPr>
          <w:rFonts w:ascii="Times New Roman" w:eastAsia="Calibri" w:hAnsi="Times New Roman" w:cs="Times New Roman"/>
          <w:bCs/>
          <w:color w:val="000000" w:themeColor="text1"/>
        </w:rPr>
        <w:t xml:space="preserve"> </w:t>
      </w:r>
      <w:r w:rsidR="00376785" w:rsidRPr="00BD54D8">
        <w:rPr>
          <w:rFonts w:ascii="Times New Roman" w:eastAsia="Times New Roman" w:hAnsi="Times New Roman" w:cs="Times New Roman"/>
          <w:bCs/>
          <w:color w:val="000000" w:themeColor="text1"/>
        </w:rPr>
        <w:t>decreto del Presidente della Repubblica 15 novembre 2012, n. 236</w:t>
      </w:r>
      <w:r w:rsidR="0028563A" w:rsidRPr="00BD54D8">
        <w:rPr>
          <w:rFonts w:ascii="Times New Roman" w:eastAsia="Times New Roman" w:hAnsi="Times New Roman" w:cs="Times New Roman"/>
          <w:bCs/>
          <w:color w:val="000000" w:themeColor="text1"/>
        </w:rPr>
        <w:t>, in quanto compatibile con le disposizioni di cui all’allegato II.20.</w:t>
      </w:r>
    </w:p>
    <w:p w14:paraId="2858ACE9" w14:textId="7FD4109B" w:rsidR="00BB6B5A" w:rsidRPr="00BD54D8" w:rsidRDefault="006C641B" w:rsidP="00BB6B5A">
      <w:pPr>
        <w:pStyle w:val="Paragrafoelenco"/>
        <w:ind w:left="0"/>
        <w:jc w:val="both"/>
        <w:rPr>
          <w:rFonts w:ascii="Times New Roman" w:hAnsi="Times New Roman" w:cs="Times New Roman"/>
          <w:bCs/>
          <w:color w:val="000000" w:themeColor="text1"/>
        </w:rPr>
      </w:pPr>
      <w:r w:rsidRPr="00BD54D8">
        <w:rPr>
          <w:rFonts w:ascii="Times New Roman" w:hAnsi="Times New Roman" w:cs="Times New Roman"/>
          <w:b/>
          <w:strike/>
          <w:color w:val="000000" w:themeColor="text1"/>
        </w:rPr>
        <w:t>6</w:t>
      </w:r>
      <w:r w:rsidR="00BB6B5A" w:rsidRPr="00BD54D8">
        <w:rPr>
          <w:rFonts w:ascii="Times New Roman" w:hAnsi="Times New Roman" w:cs="Times New Roman"/>
          <w:b/>
          <w:strike/>
          <w:color w:val="000000" w:themeColor="text1"/>
        </w:rPr>
        <w:t>.</w:t>
      </w:r>
      <w:r w:rsidR="006B7553" w:rsidRPr="00BD54D8">
        <w:rPr>
          <w:rFonts w:ascii="Times New Roman" w:hAnsi="Times New Roman" w:cs="Times New Roman"/>
          <w:b/>
          <w:color w:val="000000" w:themeColor="text1"/>
        </w:rPr>
        <w:t>7</w:t>
      </w:r>
      <w:r w:rsidR="005F3BAB" w:rsidRPr="00BD54D8">
        <w:rPr>
          <w:rFonts w:ascii="Times New Roman" w:hAnsi="Times New Roman" w:cs="Times New Roman"/>
          <w:b/>
          <w:color w:val="000000" w:themeColor="text1"/>
        </w:rPr>
        <w:t>.</w:t>
      </w:r>
      <w:r w:rsidR="00BB6B5A" w:rsidRPr="00BD54D8">
        <w:rPr>
          <w:rFonts w:ascii="Times New Roman" w:hAnsi="Times New Roman" w:cs="Times New Roman"/>
          <w:bCs/>
          <w:color w:val="000000" w:themeColor="text1"/>
        </w:rPr>
        <w:t xml:space="preserve"> Per le garanzie previste all’articolo 117, comma 12, nelle more dell’adozione del decreto ivi previsto, si applicano le disposizioni del decreto del Ministro dello sviluppo economico 19 gennaio 2018, n. 31.</w:t>
      </w:r>
    </w:p>
    <w:p w14:paraId="25613508" w14:textId="77777777" w:rsidR="0028563A" w:rsidRPr="00BD54D8" w:rsidRDefault="0028563A" w:rsidP="00BB6B5A">
      <w:pPr>
        <w:pStyle w:val="Paragrafoelenco"/>
        <w:ind w:left="0"/>
        <w:jc w:val="both"/>
        <w:rPr>
          <w:rFonts w:ascii="Times New Roman" w:hAnsi="Times New Roman" w:cs="Times New Roman"/>
          <w:bCs/>
          <w:color w:val="000000" w:themeColor="text1"/>
        </w:rPr>
      </w:pPr>
    </w:p>
    <w:p w14:paraId="5E1F27E7" w14:textId="73A5B953" w:rsidR="00D76159" w:rsidRPr="00BD54D8" w:rsidRDefault="006C641B" w:rsidP="00D76159">
      <w:pPr>
        <w:pStyle w:val="Paragrafoelenco"/>
        <w:ind w:left="0"/>
        <w:jc w:val="both"/>
        <w:rPr>
          <w:rFonts w:ascii="Times New Roman" w:hAnsi="Times New Roman" w:cs="Times New Roman"/>
          <w:bCs/>
          <w:color w:val="000000" w:themeColor="text1"/>
        </w:rPr>
      </w:pPr>
      <w:r w:rsidRPr="00BD54D8">
        <w:rPr>
          <w:rFonts w:ascii="Times New Roman" w:hAnsi="Times New Roman" w:cs="Times New Roman"/>
          <w:b/>
          <w:strike/>
          <w:color w:val="000000" w:themeColor="text1"/>
        </w:rPr>
        <w:t>7</w:t>
      </w:r>
      <w:r w:rsidR="00BB6B5A" w:rsidRPr="00BD54D8">
        <w:rPr>
          <w:rFonts w:ascii="Times New Roman" w:hAnsi="Times New Roman" w:cs="Times New Roman"/>
          <w:b/>
          <w:color w:val="000000" w:themeColor="text1"/>
        </w:rPr>
        <w:t>.</w:t>
      </w:r>
      <w:r w:rsidR="006B7553" w:rsidRPr="00BD54D8">
        <w:rPr>
          <w:rFonts w:ascii="Times New Roman" w:hAnsi="Times New Roman" w:cs="Times New Roman"/>
          <w:b/>
          <w:color w:val="000000" w:themeColor="text1"/>
        </w:rPr>
        <w:t>8</w:t>
      </w:r>
      <w:r w:rsidR="005F3BAB" w:rsidRPr="00BD54D8">
        <w:rPr>
          <w:rFonts w:ascii="Times New Roman" w:hAnsi="Times New Roman" w:cs="Times New Roman"/>
          <w:b/>
          <w:color w:val="000000" w:themeColor="text1"/>
        </w:rPr>
        <w:t>.</w:t>
      </w:r>
      <w:r w:rsidR="00BB6B5A" w:rsidRPr="00BD54D8">
        <w:rPr>
          <w:rFonts w:ascii="Times New Roman" w:hAnsi="Times New Roman" w:cs="Times New Roman"/>
          <w:bCs/>
          <w:color w:val="000000" w:themeColor="text1"/>
        </w:rPr>
        <w:t xml:space="preserve"> </w:t>
      </w:r>
      <w:r w:rsidR="00952BB5" w:rsidRPr="00BD54D8">
        <w:rPr>
          <w:rFonts w:ascii="Times New Roman" w:hAnsi="Times New Roman" w:cs="Times New Roman"/>
          <w:bCs/>
          <w:color w:val="000000" w:themeColor="text1"/>
        </w:rPr>
        <w:t>I</w:t>
      </w:r>
      <w:r w:rsidR="00BB6B5A" w:rsidRPr="00BD54D8">
        <w:rPr>
          <w:rFonts w:ascii="Times New Roman" w:hAnsi="Times New Roman" w:cs="Times New Roman"/>
          <w:bCs/>
          <w:color w:val="000000" w:themeColor="text1"/>
        </w:rPr>
        <w:t xml:space="preserve">n relazione alle procedure </w:t>
      </w:r>
      <w:r w:rsidR="00952BB5" w:rsidRPr="00BD54D8">
        <w:rPr>
          <w:rFonts w:ascii="Times New Roman" w:hAnsi="Times New Roman" w:cs="Times New Roman"/>
          <w:bCs/>
          <w:color w:val="000000" w:themeColor="text1"/>
        </w:rPr>
        <w:t>di affidamento e ai contratti riguardant</w:t>
      </w:r>
      <w:r w:rsidR="00BB6B5A" w:rsidRPr="00BD54D8">
        <w:rPr>
          <w:rFonts w:ascii="Times New Roman" w:hAnsi="Times New Roman" w:cs="Times New Roman"/>
          <w:bCs/>
          <w:color w:val="000000" w:themeColor="text1"/>
        </w:rPr>
        <w:t>i investimenti pubblici, anche suddivisi in lotti, finanziat</w:t>
      </w:r>
      <w:r w:rsidR="00952BB5" w:rsidRPr="00BD54D8">
        <w:rPr>
          <w:rFonts w:ascii="Times New Roman" w:hAnsi="Times New Roman" w:cs="Times New Roman"/>
          <w:bCs/>
          <w:color w:val="000000" w:themeColor="text1"/>
        </w:rPr>
        <w:t>i</w:t>
      </w:r>
      <w:r w:rsidR="00BB6B5A" w:rsidRPr="00BD54D8">
        <w:rPr>
          <w:rFonts w:ascii="Times New Roman" w:hAnsi="Times New Roman" w:cs="Times New Roman"/>
          <w:bCs/>
          <w:color w:val="000000" w:themeColor="text1"/>
        </w:rPr>
        <w:t xml:space="preserve"> in tutto o in parte con le risorse previste dal PNRR e dal PNC, </w:t>
      </w:r>
      <w:r w:rsidR="008D4109" w:rsidRPr="00BD54D8">
        <w:rPr>
          <w:rFonts w:ascii="Times New Roman" w:hAnsi="Times New Roman" w:cs="Times New Roman"/>
          <w:b/>
          <w:color w:val="000000" w:themeColor="text1"/>
        </w:rPr>
        <w:t>nonché dai programmi cofinanziati dai fondi strutturali dell’Unione europea, ivi comprese le infrastrutture di supporto ad essi connesse, anche se non finanziate con dette risorse,</w:t>
      </w:r>
      <w:r w:rsidR="008D4109" w:rsidRPr="00BD54D8">
        <w:rPr>
          <w:rFonts w:ascii="Times New Roman" w:hAnsi="Times New Roman" w:cs="Times New Roman"/>
          <w:bCs/>
          <w:color w:val="000000" w:themeColor="text1"/>
        </w:rPr>
        <w:t xml:space="preserve"> </w:t>
      </w:r>
      <w:r w:rsidR="00BB6B5A" w:rsidRPr="00BD54D8">
        <w:rPr>
          <w:rFonts w:ascii="Times New Roman" w:hAnsi="Times New Roman" w:cs="Times New Roman"/>
          <w:bCs/>
          <w:color w:val="000000" w:themeColor="text1"/>
        </w:rPr>
        <w:t xml:space="preserve">si applicano, anche dopo </w:t>
      </w:r>
      <w:r w:rsidR="00952BB5" w:rsidRPr="00BD54D8">
        <w:rPr>
          <w:rFonts w:ascii="Times New Roman" w:hAnsi="Times New Roman" w:cs="Times New Roman"/>
          <w:bCs/>
          <w:color w:val="000000" w:themeColor="text1"/>
        </w:rPr>
        <w:t>il 1° luglio 2023,</w:t>
      </w:r>
      <w:r w:rsidR="00BB6B5A" w:rsidRPr="00BD54D8">
        <w:rPr>
          <w:rFonts w:ascii="Times New Roman" w:hAnsi="Times New Roman" w:cs="Times New Roman"/>
          <w:bCs/>
          <w:color w:val="000000" w:themeColor="text1"/>
        </w:rPr>
        <w:t xml:space="preserve"> le disposizioni di cui al decreto-legge </w:t>
      </w:r>
      <w:r w:rsidR="00BB6B5A" w:rsidRPr="00BD54D8">
        <w:rPr>
          <w:rFonts w:ascii="Times New Roman" w:hAnsi="Times New Roman" w:cs="Times New Roman"/>
          <w:b/>
          <w:strike/>
          <w:color w:val="000000" w:themeColor="text1"/>
        </w:rPr>
        <w:t xml:space="preserve">31 </w:t>
      </w:r>
      <w:r w:rsidR="00BB6B5A" w:rsidRPr="00BD54D8">
        <w:rPr>
          <w:rFonts w:ascii="Times New Roman" w:hAnsi="Times New Roman" w:cs="Times New Roman"/>
          <w:bCs/>
          <w:color w:val="000000" w:themeColor="text1"/>
        </w:rPr>
        <w:t>n. 77</w:t>
      </w:r>
      <w:r w:rsidR="00776DDF" w:rsidRPr="00BD54D8">
        <w:rPr>
          <w:rFonts w:ascii="Times New Roman" w:hAnsi="Times New Roman" w:cs="Times New Roman"/>
          <w:bCs/>
          <w:color w:val="000000" w:themeColor="text1"/>
        </w:rPr>
        <w:t xml:space="preserve"> del 2021</w:t>
      </w:r>
      <w:r w:rsidR="00BB6B5A" w:rsidRPr="00BD54D8">
        <w:rPr>
          <w:rFonts w:ascii="Times New Roman" w:hAnsi="Times New Roman" w:cs="Times New Roman"/>
          <w:bCs/>
          <w:color w:val="000000" w:themeColor="text1"/>
        </w:rPr>
        <w:t>, convertito, con modificazioni, dalla legge</w:t>
      </w:r>
      <w:r w:rsidR="00776DDF" w:rsidRPr="00BD54D8">
        <w:rPr>
          <w:rFonts w:ascii="Times New Roman" w:hAnsi="Times New Roman" w:cs="Times New Roman"/>
          <w:bCs/>
          <w:color w:val="000000" w:themeColor="text1"/>
        </w:rPr>
        <w:t xml:space="preserve"> </w:t>
      </w:r>
      <w:r w:rsidR="00BB6B5A" w:rsidRPr="00BD54D8">
        <w:rPr>
          <w:rFonts w:ascii="Times New Roman" w:hAnsi="Times New Roman" w:cs="Times New Roman"/>
          <w:bCs/>
          <w:color w:val="000000" w:themeColor="text1"/>
        </w:rPr>
        <w:t xml:space="preserve"> n. 108</w:t>
      </w:r>
      <w:r w:rsidR="00776DDF" w:rsidRPr="00BD54D8">
        <w:rPr>
          <w:rFonts w:ascii="Times New Roman" w:hAnsi="Times New Roman" w:cs="Times New Roman"/>
          <w:bCs/>
          <w:color w:val="000000" w:themeColor="text1"/>
        </w:rPr>
        <w:t xml:space="preserve"> del 2021</w:t>
      </w:r>
      <w:r w:rsidR="008D4109" w:rsidRPr="00BD54D8">
        <w:rPr>
          <w:rFonts w:ascii="Times New Roman" w:hAnsi="Times New Roman" w:cs="Times New Roman"/>
          <w:b/>
          <w:color w:val="000000" w:themeColor="text1"/>
        </w:rPr>
        <w:t>, al decreto-legge 24 febbraio 2023, n. 13, nonché le specifiche disposizioni legislative finalizzate a semplificare e agevolare la realizzazione degli obiettivi stabiliti dal</w:t>
      </w:r>
      <w:r w:rsidR="004D0F46" w:rsidRPr="00BD54D8">
        <w:rPr>
          <w:rFonts w:ascii="Times New Roman" w:hAnsi="Times New Roman" w:cs="Times New Roman"/>
          <w:b/>
          <w:color w:val="000000" w:themeColor="text1"/>
        </w:rPr>
        <w:t xml:space="preserve"> PNRR, dal PNC</w:t>
      </w:r>
      <w:r w:rsidR="008D4109" w:rsidRPr="00BD54D8">
        <w:rPr>
          <w:rFonts w:ascii="Times New Roman" w:hAnsi="Times New Roman" w:cs="Times New Roman"/>
          <w:b/>
          <w:color w:val="000000" w:themeColor="text1"/>
        </w:rPr>
        <w:t xml:space="preserve"> </w:t>
      </w:r>
      <w:r w:rsidR="008D4109" w:rsidRPr="00BD54D8">
        <w:rPr>
          <w:rFonts w:ascii="Times New Roman" w:hAnsi="Times New Roman" w:cs="Times New Roman"/>
          <w:b/>
          <w:strike/>
          <w:color w:val="000000" w:themeColor="text1"/>
        </w:rPr>
        <w:t xml:space="preserve">Piano Nazionale di Ripresa e Resilienza, di cui al regolamento (UE) 2021/241 del Parlamento europeo e del Consiglio del 12 febbraio 2021, dal Piano nazionale per gli investimenti complementari di cui al decreto-legge 6 maggio 2021, n. 59, </w:t>
      </w:r>
      <w:r w:rsidR="006377E0" w:rsidRPr="00BD54D8">
        <w:rPr>
          <w:rFonts w:ascii="Times New Roman" w:hAnsi="Times New Roman" w:cs="Times New Roman"/>
          <w:b/>
          <w:strike/>
          <w:color w:val="000000" w:themeColor="text1"/>
        </w:rPr>
        <w:t xml:space="preserve">convertito, con modificazioni, dalla legge </w:t>
      </w:r>
      <w:r w:rsidR="008D4109" w:rsidRPr="00BD54D8">
        <w:rPr>
          <w:rFonts w:ascii="Times New Roman" w:hAnsi="Times New Roman" w:cs="Times New Roman"/>
          <w:b/>
          <w:color w:val="000000" w:themeColor="text1"/>
        </w:rPr>
        <w:t xml:space="preserve">nonché dal Piano </w:t>
      </w:r>
      <w:r w:rsidR="004D0F46" w:rsidRPr="00BD54D8">
        <w:rPr>
          <w:rFonts w:ascii="Times New Roman" w:hAnsi="Times New Roman" w:cs="Times New Roman"/>
          <w:b/>
          <w:color w:val="000000" w:themeColor="text1"/>
        </w:rPr>
        <w:t>n</w:t>
      </w:r>
      <w:r w:rsidR="008D4109" w:rsidRPr="00BD54D8">
        <w:rPr>
          <w:rFonts w:ascii="Times New Roman" w:hAnsi="Times New Roman" w:cs="Times New Roman"/>
          <w:b/>
          <w:color w:val="000000" w:themeColor="text1"/>
        </w:rPr>
        <w:t xml:space="preserve">azionale </w:t>
      </w:r>
      <w:r w:rsidR="004D0F46" w:rsidRPr="00BD54D8">
        <w:rPr>
          <w:rFonts w:ascii="Times New Roman" w:hAnsi="Times New Roman" w:cs="Times New Roman"/>
          <w:b/>
          <w:color w:val="000000" w:themeColor="text1"/>
        </w:rPr>
        <w:t>i</w:t>
      </w:r>
      <w:r w:rsidR="008D4109" w:rsidRPr="00BD54D8">
        <w:rPr>
          <w:rFonts w:ascii="Times New Roman" w:hAnsi="Times New Roman" w:cs="Times New Roman"/>
          <w:b/>
          <w:color w:val="000000" w:themeColor="text1"/>
        </w:rPr>
        <w:t>ntegrato per l'</w:t>
      </w:r>
      <w:r w:rsidR="004D0F46" w:rsidRPr="00BD54D8">
        <w:rPr>
          <w:rFonts w:ascii="Times New Roman" w:hAnsi="Times New Roman" w:cs="Times New Roman"/>
          <w:b/>
          <w:color w:val="000000" w:themeColor="text1"/>
        </w:rPr>
        <w:t>e</w:t>
      </w:r>
      <w:r w:rsidR="008D4109" w:rsidRPr="00BD54D8">
        <w:rPr>
          <w:rFonts w:ascii="Times New Roman" w:hAnsi="Times New Roman" w:cs="Times New Roman"/>
          <w:b/>
          <w:color w:val="000000" w:themeColor="text1"/>
        </w:rPr>
        <w:t xml:space="preserve">nergia e il </w:t>
      </w:r>
      <w:r w:rsidR="004D0F46" w:rsidRPr="00BD54D8">
        <w:rPr>
          <w:rFonts w:ascii="Times New Roman" w:hAnsi="Times New Roman" w:cs="Times New Roman"/>
          <w:b/>
          <w:color w:val="000000" w:themeColor="text1"/>
        </w:rPr>
        <w:t>c</w:t>
      </w:r>
      <w:r w:rsidR="008D4109" w:rsidRPr="00BD54D8">
        <w:rPr>
          <w:rFonts w:ascii="Times New Roman" w:hAnsi="Times New Roman" w:cs="Times New Roman"/>
          <w:b/>
          <w:color w:val="000000" w:themeColor="text1"/>
        </w:rPr>
        <w:t xml:space="preserve">lima 2030 di cui al </w:t>
      </w:r>
      <w:r w:rsidR="004D0F46" w:rsidRPr="00BD54D8">
        <w:rPr>
          <w:rFonts w:ascii="Times New Roman" w:hAnsi="Times New Roman" w:cs="Times New Roman"/>
          <w:b/>
          <w:color w:val="000000" w:themeColor="text1"/>
        </w:rPr>
        <w:t>r</w:t>
      </w:r>
      <w:r w:rsidR="008D4109" w:rsidRPr="00BD54D8">
        <w:rPr>
          <w:rFonts w:ascii="Times New Roman" w:hAnsi="Times New Roman" w:cs="Times New Roman"/>
          <w:b/>
          <w:color w:val="000000" w:themeColor="text1"/>
        </w:rPr>
        <w:t>egolamento (UE) 2018/1999 del Parlamento europeo e del Consiglio</w:t>
      </w:r>
      <w:r w:rsidR="004D0F46" w:rsidRPr="00BD54D8">
        <w:rPr>
          <w:rFonts w:ascii="Times New Roman" w:hAnsi="Times New Roman" w:cs="Times New Roman"/>
          <w:b/>
          <w:color w:val="000000" w:themeColor="text1"/>
        </w:rPr>
        <w:t>,</w:t>
      </w:r>
      <w:r w:rsidR="008D4109" w:rsidRPr="00BD54D8">
        <w:rPr>
          <w:rFonts w:ascii="Times New Roman" w:hAnsi="Times New Roman" w:cs="Times New Roman"/>
          <w:b/>
          <w:color w:val="000000" w:themeColor="text1"/>
        </w:rPr>
        <w:t xml:space="preserve"> dell'11 dicembre 2018.</w:t>
      </w:r>
      <w:r w:rsidR="00BB6B5A" w:rsidRPr="00BD54D8">
        <w:rPr>
          <w:rFonts w:ascii="Times New Roman" w:hAnsi="Times New Roman" w:cs="Times New Roman"/>
          <w:bCs/>
          <w:color w:val="000000" w:themeColor="text1"/>
        </w:rPr>
        <w:t xml:space="preserve"> </w:t>
      </w:r>
    </w:p>
    <w:p w14:paraId="07F0AB87" w14:textId="77777777" w:rsidR="00D76159" w:rsidRPr="00BD54D8" w:rsidRDefault="00D76159" w:rsidP="00D76159">
      <w:pPr>
        <w:pStyle w:val="Paragrafoelenco"/>
        <w:ind w:left="0"/>
        <w:jc w:val="both"/>
        <w:rPr>
          <w:rFonts w:ascii="Times New Roman" w:hAnsi="Times New Roman" w:cs="Times New Roman"/>
          <w:bCs/>
          <w:color w:val="000000" w:themeColor="text1"/>
        </w:rPr>
      </w:pPr>
    </w:p>
    <w:p w14:paraId="0B010839" w14:textId="3F3D9B6E" w:rsidR="00D76159" w:rsidRPr="00BD54D8" w:rsidRDefault="00D76159" w:rsidP="00D76159">
      <w:pPr>
        <w:pStyle w:val="Paragrafoelenco"/>
        <w:ind w:left="0"/>
        <w:jc w:val="both"/>
        <w:rPr>
          <w:rFonts w:ascii="Times New Roman" w:hAnsi="Times New Roman" w:cs="Times New Roman"/>
          <w:bCs/>
          <w:color w:val="000000" w:themeColor="text1"/>
        </w:rPr>
      </w:pPr>
      <w:r w:rsidRPr="00BD54D8">
        <w:rPr>
          <w:rFonts w:ascii="Times New Roman" w:hAnsi="Times New Roman" w:cs="Times New Roman"/>
          <w:b/>
          <w:color w:val="000000" w:themeColor="text1"/>
        </w:rPr>
        <w:t>9.</w:t>
      </w:r>
      <w:r w:rsidRPr="00BD54D8">
        <w:rPr>
          <w:rFonts w:ascii="Times New Roman" w:hAnsi="Times New Roman" w:cs="Times New Roman"/>
          <w:bCs/>
          <w:color w:val="000000" w:themeColor="text1"/>
        </w:rPr>
        <w:t xml:space="preserve"> </w:t>
      </w:r>
      <w:r w:rsidRPr="00BD54D8">
        <w:rPr>
          <w:rFonts w:ascii="Times New Roman" w:hAnsi="Times New Roman" w:cs="Times New Roman"/>
          <w:b/>
          <w:bCs/>
          <w:color w:val="000000" w:themeColor="text1"/>
        </w:rPr>
        <w:t xml:space="preserve">A decorrere dalla data in cui il codice acquista efficacia ai sensi dell’articolo 229, comma 2, le disposizioni di cui all’articolo 23 del </w:t>
      </w:r>
      <w:r w:rsidR="004D0F46" w:rsidRPr="00BD54D8">
        <w:rPr>
          <w:rFonts w:ascii="Times New Roman" w:eastAsia="Calibri" w:hAnsi="Times New Roman" w:cs="Times New Roman"/>
          <w:b/>
          <w:bCs/>
          <w:lang w:eastAsia="it-IT"/>
        </w:rPr>
        <w:t xml:space="preserve">codice dei contratti pubblici, di cui al </w:t>
      </w:r>
      <w:r w:rsidRPr="00BD54D8">
        <w:rPr>
          <w:rFonts w:ascii="Times New Roman" w:hAnsi="Times New Roman" w:cs="Times New Roman"/>
          <w:b/>
          <w:bCs/>
          <w:color w:val="000000" w:themeColor="text1"/>
        </w:rPr>
        <w:t xml:space="preserve">decreto legislativo 18 aprile 2016 n. 50 continuano ad applicarsi ai procedimenti in corso. A tal fine, per procedimenti in corso si intendono le procedure per le quali è stato formalizzato l’incarico di progettazione alla data in cui il codice acquista efficacia. Nel caso in cui l’incarico di redazione del progetto di fattibilità tecnico economica sia stato formalizzato prima della data in cui il codice acquista efficacia, la stazione appaltante può procedere all’affidamento congiunto di progettazione ed esecuzione dei lavori sulla base del progetto di fattibilità tecnico ed economica oppure sulla base di un progetto definitivo redatto ai sensi dell’articolo 23 del </w:t>
      </w:r>
      <w:r w:rsidR="004D0F46" w:rsidRPr="00BD54D8">
        <w:rPr>
          <w:rFonts w:ascii="Times New Roman" w:eastAsia="Calibri" w:hAnsi="Times New Roman" w:cs="Times New Roman"/>
          <w:b/>
          <w:bCs/>
          <w:lang w:eastAsia="it-IT"/>
        </w:rPr>
        <w:t xml:space="preserve">codice dei contratti pubblici, di cui </w:t>
      </w:r>
      <w:r w:rsidRPr="00BD54D8">
        <w:rPr>
          <w:rFonts w:ascii="Times New Roman" w:hAnsi="Times New Roman" w:cs="Times New Roman"/>
          <w:b/>
          <w:bCs/>
          <w:color w:val="000000" w:themeColor="text1"/>
        </w:rPr>
        <w:t>decreto legislativo 18 aprile 2016 n. 50.</w:t>
      </w:r>
    </w:p>
    <w:p w14:paraId="24FA7C53" w14:textId="77777777" w:rsidR="00D76159" w:rsidRPr="00BD54D8" w:rsidRDefault="00D76159" w:rsidP="00952BB5">
      <w:pPr>
        <w:pStyle w:val="Paragrafoelenco"/>
        <w:ind w:left="0"/>
        <w:jc w:val="both"/>
        <w:rPr>
          <w:rFonts w:ascii="Times New Roman" w:hAnsi="Times New Roman" w:cs="Times New Roman"/>
          <w:bCs/>
          <w:color w:val="000000" w:themeColor="text1"/>
        </w:rPr>
      </w:pPr>
    </w:p>
    <w:p w14:paraId="63A7C886" w14:textId="00E73010" w:rsidR="008D4109" w:rsidRPr="00BD54D8" w:rsidRDefault="008D4109" w:rsidP="008D4109">
      <w:pPr>
        <w:framePr w:hSpace="141" w:wrap="around" w:vAnchor="text" w:hAnchor="text" w:y="1"/>
        <w:suppressOverlap/>
        <w:jc w:val="both"/>
        <w:rPr>
          <w:rFonts w:ascii="Times New Roman" w:hAnsi="Times New Roman" w:cs="Times New Roman"/>
          <w:b/>
          <w:color w:val="000000" w:themeColor="text1"/>
        </w:rPr>
      </w:pPr>
      <w:r w:rsidRPr="00BD54D8">
        <w:rPr>
          <w:rFonts w:ascii="Times New Roman" w:hAnsi="Times New Roman" w:cs="Times New Roman"/>
          <w:b/>
          <w:strike/>
          <w:color w:val="000000" w:themeColor="text1"/>
        </w:rPr>
        <w:t>8.</w:t>
      </w:r>
      <w:r w:rsidR="00D76159" w:rsidRPr="00BD54D8">
        <w:rPr>
          <w:rFonts w:ascii="Times New Roman" w:hAnsi="Times New Roman" w:cs="Times New Roman"/>
          <w:b/>
          <w:color w:val="000000" w:themeColor="text1"/>
        </w:rPr>
        <w:t>10</w:t>
      </w:r>
      <w:r w:rsidR="005F3BAB" w:rsidRPr="00BD54D8">
        <w:rPr>
          <w:rFonts w:ascii="Times New Roman" w:hAnsi="Times New Roman" w:cs="Times New Roman"/>
          <w:b/>
          <w:color w:val="000000" w:themeColor="text1"/>
        </w:rPr>
        <w:t>.</w:t>
      </w:r>
      <w:r w:rsidRPr="00BD54D8">
        <w:rPr>
          <w:rFonts w:ascii="Times New Roman" w:hAnsi="Times New Roman" w:cs="Times New Roman"/>
          <w:b/>
          <w:color w:val="000000" w:themeColor="text1"/>
        </w:rPr>
        <w:t xml:space="preserve"> Per gli interventi ricompresi tra le infrastrutture strategiche di cui alla disciplina prevista dall’articolo 163 e seguenti del </w:t>
      </w:r>
      <w:r w:rsidR="006377E0" w:rsidRPr="00BD54D8">
        <w:rPr>
          <w:rFonts w:ascii="Times New Roman" w:hAnsi="Times New Roman" w:cs="Times New Roman"/>
          <w:b/>
          <w:color w:val="000000" w:themeColor="text1"/>
        </w:rPr>
        <w:t xml:space="preserve">codice dei contratti pubblici relativi a lavori, servizi e forniture, di cui al </w:t>
      </w:r>
      <w:r w:rsidRPr="00BD54D8">
        <w:rPr>
          <w:rFonts w:ascii="Times New Roman" w:hAnsi="Times New Roman" w:cs="Times New Roman"/>
          <w:b/>
          <w:color w:val="000000" w:themeColor="text1"/>
        </w:rPr>
        <w:t>decreto legislativo 12 aprile 2006, n. 163, già inseriti negli strumenti di programmazione approvati e per i quali la procedura di valutazione di impatto ambientale sia già stata avviata alla data di entrata in vigore del</w:t>
      </w:r>
      <w:r w:rsidR="006377E0" w:rsidRPr="00BD54D8">
        <w:rPr>
          <w:rFonts w:ascii="Times New Roman" w:hAnsi="Times New Roman" w:cs="Times New Roman"/>
          <w:b/>
          <w:color w:val="000000" w:themeColor="text1"/>
        </w:rPr>
        <w:t xml:space="preserve"> codice dei contratti pubblici, di cui al</w:t>
      </w:r>
      <w:r w:rsidRPr="00BD54D8">
        <w:rPr>
          <w:rFonts w:ascii="Times New Roman" w:hAnsi="Times New Roman" w:cs="Times New Roman"/>
          <w:b/>
          <w:color w:val="000000" w:themeColor="text1"/>
        </w:rPr>
        <w:t xml:space="preserve"> decreto legislativo 18 aprile 2016, n. 50, i relativi progetti sono approvati secondo la disciplina prevista dall’articolo 163 e seguenti del </w:t>
      </w:r>
      <w:r w:rsidR="006377E0" w:rsidRPr="00BD54D8">
        <w:rPr>
          <w:rFonts w:ascii="Times New Roman" w:hAnsi="Times New Roman" w:cs="Times New Roman"/>
          <w:b/>
          <w:color w:val="000000" w:themeColor="text1"/>
        </w:rPr>
        <w:t xml:space="preserve">codice dei contratti pubblici relativi a lavori, servizi e forniture, di cui al </w:t>
      </w:r>
      <w:r w:rsidRPr="00BD54D8">
        <w:rPr>
          <w:rFonts w:ascii="Times New Roman" w:hAnsi="Times New Roman" w:cs="Times New Roman"/>
          <w:b/>
          <w:color w:val="000000" w:themeColor="text1"/>
        </w:rPr>
        <w:t>decreto legislativo 12 aprile 2006 n. 163.</w:t>
      </w:r>
    </w:p>
    <w:p w14:paraId="36C4B730" w14:textId="62CB5BB5" w:rsidR="008D4109" w:rsidRPr="00BD54D8" w:rsidRDefault="008D4109" w:rsidP="008D4109">
      <w:pPr>
        <w:framePr w:hSpace="141" w:wrap="around" w:vAnchor="text" w:hAnchor="text" w:y="1"/>
        <w:suppressOverlap/>
        <w:jc w:val="both"/>
        <w:rPr>
          <w:rFonts w:ascii="Times New Roman" w:hAnsi="Times New Roman" w:cs="Times New Roman"/>
          <w:b/>
          <w:color w:val="000000" w:themeColor="text1"/>
        </w:rPr>
      </w:pPr>
      <w:r w:rsidRPr="00BD54D8">
        <w:rPr>
          <w:rFonts w:ascii="Times New Roman" w:hAnsi="Times New Roman" w:cs="Times New Roman"/>
          <w:b/>
          <w:strike/>
          <w:color w:val="000000" w:themeColor="text1"/>
        </w:rPr>
        <w:t>9</w:t>
      </w:r>
      <w:r w:rsidR="005F3BAB" w:rsidRPr="00BD54D8">
        <w:rPr>
          <w:rFonts w:ascii="Times New Roman" w:hAnsi="Times New Roman" w:cs="Times New Roman"/>
          <w:b/>
          <w:strike/>
          <w:color w:val="000000" w:themeColor="text1"/>
        </w:rPr>
        <w:t>.</w:t>
      </w:r>
      <w:r w:rsidR="005F3BAB" w:rsidRPr="00BD54D8">
        <w:rPr>
          <w:rFonts w:ascii="Times New Roman" w:hAnsi="Times New Roman" w:cs="Times New Roman"/>
          <w:b/>
          <w:color w:val="000000" w:themeColor="text1"/>
        </w:rPr>
        <w:t>1</w:t>
      </w:r>
      <w:r w:rsidR="00D76159" w:rsidRPr="00BD54D8">
        <w:rPr>
          <w:rFonts w:ascii="Times New Roman" w:hAnsi="Times New Roman" w:cs="Times New Roman"/>
          <w:b/>
          <w:color w:val="000000" w:themeColor="text1"/>
        </w:rPr>
        <w:t>1</w:t>
      </w:r>
      <w:r w:rsidR="006B7553" w:rsidRPr="00BD54D8">
        <w:rPr>
          <w:rFonts w:ascii="Times New Roman" w:hAnsi="Times New Roman" w:cs="Times New Roman"/>
          <w:b/>
          <w:color w:val="000000" w:themeColor="text1"/>
        </w:rPr>
        <w:t>.</w:t>
      </w:r>
      <w:r w:rsidRPr="00BD54D8">
        <w:rPr>
          <w:rFonts w:ascii="Times New Roman" w:hAnsi="Times New Roman" w:cs="Times New Roman"/>
          <w:b/>
          <w:color w:val="000000" w:themeColor="text1"/>
        </w:rPr>
        <w:t xml:space="preserve"> Le procedure per la valutazione di impatto ambientale delle grandi opere avviate alla data di entrata in vigore del </w:t>
      </w:r>
      <w:r w:rsidR="006377E0" w:rsidRPr="00BD54D8">
        <w:rPr>
          <w:rFonts w:ascii="Times New Roman" w:hAnsi="Times New Roman" w:cs="Times New Roman"/>
          <w:b/>
          <w:color w:val="000000" w:themeColor="text1"/>
        </w:rPr>
        <w:t xml:space="preserve">codice dei contratti pubblici, di cui al </w:t>
      </w:r>
      <w:r w:rsidRPr="00BD54D8">
        <w:rPr>
          <w:rFonts w:ascii="Times New Roman" w:hAnsi="Times New Roman" w:cs="Times New Roman"/>
          <w:b/>
          <w:color w:val="000000" w:themeColor="text1"/>
        </w:rPr>
        <w:t xml:space="preserve">decreto legislativo 18 aprile 2016, n. 50, secondo la disciplina già prevista dagli articoli 182, 183, 184 e 185 </w:t>
      </w:r>
      <w:r w:rsidR="006377E0" w:rsidRPr="00BD54D8">
        <w:rPr>
          <w:rFonts w:ascii="Times New Roman" w:hAnsi="Times New Roman" w:cs="Times New Roman"/>
          <w:b/>
          <w:color w:val="000000" w:themeColor="text1"/>
        </w:rPr>
        <w:t xml:space="preserve">del codice dei contratti pubblici relativi a lavori, servizi e forniture, </w:t>
      </w:r>
      <w:r w:rsidRPr="00BD54D8">
        <w:rPr>
          <w:rFonts w:ascii="Times New Roman" w:hAnsi="Times New Roman" w:cs="Times New Roman"/>
          <w:b/>
          <w:color w:val="000000" w:themeColor="text1"/>
        </w:rPr>
        <w:t xml:space="preserve">di cui al decreto legislativo 12 aprile 2006, n. 163, sono concluse in conformità alle disposizioni e alle attribuzioni di competenza vigenti all'epoca del predetto avvio. Le medesime procedure trovano applicazione anche per le varianti. </w:t>
      </w:r>
    </w:p>
    <w:p w14:paraId="47178CB4" w14:textId="0321C23F" w:rsidR="008D4109" w:rsidRPr="00BD54D8" w:rsidRDefault="008D4109" w:rsidP="008D4109">
      <w:pPr>
        <w:pStyle w:val="Paragrafoelenco"/>
        <w:ind w:left="0"/>
        <w:jc w:val="both"/>
        <w:rPr>
          <w:rFonts w:ascii="Times New Roman" w:hAnsi="Times New Roman" w:cs="Times New Roman"/>
          <w:b/>
          <w:color w:val="000000" w:themeColor="text1"/>
        </w:rPr>
      </w:pPr>
      <w:r w:rsidRPr="00BD54D8">
        <w:rPr>
          <w:rFonts w:ascii="Times New Roman" w:hAnsi="Times New Roman" w:cs="Times New Roman"/>
          <w:b/>
          <w:strike/>
          <w:color w:val="000000" w:themeColor="text1"/>
        </w:rPr>
        <w:t>10.</w:t>
      </w:r>
      <w:r w:rsidR="005F3BAB" w:rsidRPr="00BD54D8">
        <w:rPr>
          <w:rFonts w:ascii="Times New Roman" w:hAnsi="Times New Roman" w:cs="Times New Roman"/>
          <w:b/>
          <w:color w:val="000000" w:themeColor="text1"/>
        </w:rPr>
        <w:t>1</w:t>
      </w:r>
      <w:r w:rsidR="00D76159" w:rsidRPr="00BD54D8">
        <w:rPr>
          <w:rFonts w:ascii="Times New Roman" w:hAnsi="Times New Roman" w:cs="Times New Roman"/>
          <w:b/>
          <w:color w:val="000000" w:themeColor="text1"/>
        </w:rPr>
        <w:t>2</w:t>
      </w:r>
      <w:r w:rsidR="005F3BAB" w:rsidRPr="00BD54D8">
        <w:rPr>
          <w:rFonts w:ascii="Times New Roman" w:hAnsi="Times New Roman" w:cs="Times New Roman"/>
          <w:b/>
          <w:color w:val="000000" w:themeColor="text1"/>
        </w:rPr>
        <w:t>.</w:t>
      </w:r>
      <w:r w:rsidRPr="00BD54D8">
        <w:rPr>
          <w:rFonts w:ascii="Times New Roman" w:hAnsi="Times New Roman" w:cs="Times New Roman"/>
          <w:b/>
          <w:color w:val="000000" w:themeColor="text1"/>
        </w:rPr>
        <w:t xml:space="preserve"> Le proroghe della dichiarazione di pubblica utilità e del vincolo preordinato all’esproprio in scadenza su progetti già approvati dal </w:t>
      </w:r>
      <w:r w:rsidR="006377E0" w:rsidRPr="00BD54D8">
        <w:rPr>
          <w:rFonts w:ascii="Times New Roman" w:hAnsi="Times New Roman" w:cs="Times New Roman"/>
          <w:b/>
          <w:color w:val="000000" w:themeColor="text1"/>
        </w:rPr>
        <w:t xml:space="preserve">CIPESS </w:t>
      </w:r>
      <w:r w:rsidRPr="00BD54D8">
        <w:rPr>
          <w:rFonts w:ascii="Times New Roman" w:hAnsi="Times New Roman" w:cs="Times New Roman"/>
          <w:b/>
          <w:strike/>
          <w:color w:val="000000" w:themeColor="text1"/>
        </w:rPr>
        <w:t>Comitato interministeriale per la programmazione economica (CIPE, poi CIPESS)</w:t>
      </w:r>
      <w:r w:rsidRPr="00BD54D8">
        <w:rPr>
          <w:rFonts w:ascii="Times New Roman" w:hAnsi="Times New Roman" w:cs="Times New Roman"/>
          <w:b/>
          <w:color w:val="000000" w:themeColor="text1"/>
        </w:rPr>
        <w:t xml:space="preserve"> in base al previgente </w:t>
      </w:r>
      <w:r w:rsidR="006377E0" w:rsidRPr="00BD54D8">
        <w:rPr>
          <w:rFonts w:ascii="Times New Roman" w:hAnsi="Times New Roman" w:cs="Times New Roman"/>
          <w:b/>
          <w:color w:val="000000" w:themeColor="text1"/>
        </w:rPr>
        <w:t xml:space="preserve">codice dei contratti pubblici relativi a lavori, servizi e forniture di cui al </w:t>
      </w:r>
      <w:r w:rsidRPr="00BD54D8">
        <w:rPr>
          <w:rFonts w:ascii="Times New Roman" w:hAnsi="Times New Roman" w:cs="Times New Roman"/>
          <w:b/>
          <w:color w:val="000000" w:themeColor="text1"/>
        </w:rPr>
        <w:t>decreto legislativo 12 aprile 2006, n. 163, sono approvate direttamente dal soggetto aggiudicatore. Il Ministero delle infrastrutture e dei trasporti entro il 31 dicembre di ciascun anno rende una informativa al CIPESS in merito alle proroghe disposte nel corso dell’anno e ai termini in scadenza nell’anno successivo.</w:t>
      </w:r>
    </w:p>
    <w:p w14:paraId="361AF5A8" w14:textId="1C854595" w:rsidR="00952BB5" w:rsidRPr="00BD54D8" w:rsidRDefault="002C615B" w:rsidP="002C615B">
      <w:pPr>
        <w:jc w:val="both"/>
        <w:rPr>
          <w:rFonts w:asciiTheme="majorBidi" w:hAnsiTheme="majorBidi" w:cstheme="majorBidi"/>
          <w:b/>
          <w:bCs/>
          <w:color w:val="000000" w:themeColor="text1"/>
        </w:rPr>
      </w:pPr>
      <w:r w:rsidRPr="00BD54D8">
        <w:rPr>
          <w:rFonts w:asciiTheme="majorBidi" w:hAnsiTheme="majorBidi" w:cstheme="majorBidi"/>
          <w:b/>
          <w:bCs/>
          <w:strike/>
          <w:color w:val="000000" w:themeColor="text1"/>
        </w:rPr>
        <w:t>11.</w:t>
      </w:r>
      <w:r w:rsidR="005F3BAB" w:rsidRPr="00BD54D8">
        <w:rPr>
          <w:rFonts w:asciiTheme="majorBidi" w:hAnsiTheme="majorBidi" w:cstheme="majorBidi"/>
          <w:b/>
          <w:bCs/>
          <w:color w:val="000000" w:themeColor="text1"/>
        </w:rPr>
        <w:t>1</w:t>
      </w:r>
      <w:r w:rsidR="00D76159" w:rsidRPr="00BD54D8">
        <w:rPr>
          <w:rFonts w:asciiTheme="majorBidi" w:hAnsiTheme="majorBidi" w:cstheme="majorBidi"/>
          <w:b/>
          <w:bCs/>
          <w:color w:val="000000" w:themeColor="text1"/>
        </w:rPr>
        <w:t>3</w:t>
      </w:r>
      <w:r w:rsidR="006B7553" w:rsidRPr="00BD54D8">
        <w:rPr>
          <w:rFonts w:asciiTheme="majorBidi" w:hAnsiTheme="majorBidi" w:cstheme="majorBidi"/>
          <w:b/>
          <w:bCs/>
          <w:color w:val="000000" w:themeColor="text1"/>
        </w:rPr>
        <w:t>.</w:t>
      </w:r>
      <w:r w:rsidRPr="00BD54D8">
        <w:rPr>
          <w:rFonts w:asciiTheme="majorBidi" w:hAnsiTheme="majorBidi" w:cstheme="majorBidi"/>
          <w:b/>
          <w:bCs/>
          <w:color w:val="000000" w:themeColor="text1"/>
        </w:rPr>
        <w:t xml:space="preserve"> Gli articoli 47, comma 1, 83, comma 2, e 216, comma 14, del codice dei contratti pubblici, di cui al decreto legislativo 18 aprile 2016, n. 50, si interpretano nel senso che, in via transitoria, relativamente ai consorzi di cui all’art</w:t>
      </w:r>
      <w:r w:rsidR="006377E0" w:rsidRPr="00BD54D8">
        <w:rPr>
          <w:rFonts w:asciiTheme="majorBidi" w:hAnsiTheme="majorBidi" w:cstheme="majorBidi"/>
          <w:b/>
          <w:bCs/>
          <w:color w:val="000000" w:themeColor="text1"/>
        </w:rPr>
        <w:t>icolo</w:t>
      </w:r>
      <w:r w:rsidRPr="00BD54D8">
        <w:rPr>
          <w:rFonts w:asciiTheme="majorBidi" w:hAnsiTheme="majorBidi" w:cstheme="majorBidi"/>
          <w:b/>
          <w:bCs/>
          <w:color w:val="000000" w:themeColor="text1"/>
        </w:rPr>
        <w:t xml:space="preserve"> 45, comma 1, lett</w:t>
      </w:r>
      <w:r w:rsidR="009A795E" w:rsidRPr="00BD54D8">
        <w:rPr>
          <w:rFonts w:asciiTheme="majorBidi" w:hAnsiTheme="majorBidi" w:cstheme="majorBidi"/>
          <w:b/>
          <w:bCs/>
          <w:color w:val="000000" w:themeColor="text1"/>
        </w:rPr>
        <w:t>era</w:t>
      </w:r>
      <w:r w:rsidRPr="00BD54D8">
        <w:rPr>
          <w:rFonts w:asciiTheme="majorBidi" w:hAnsiTheme="majorBidi" w:cstheme="majorBidi"/>
          <w:b/>
          <w:bCs/>
          <w:color w:val="000000" w:themeColor="text1"/>
        </w:rPr>
        <w:t xml:space="preserve"> c), </w:t>
      </w:r>
      <w:r w:rsidR="004D0F46" w:rsidRPr="00BD54D8">
        <w:rPr>
          <w:rFonts w:asciiTheme="majorBidi" w:hAnsiTheme="majorBidi" w:cstheme="majorBidi"/>
          <w:b/>
          <w:bCs/>
        </w:rPr>
        <w:t xml:space="preserve">del medesimo codice, </w:t>
      </w:r>
      <w:r w:rsidRPr="00BD54D8">
        <w:rPr>
          <w:rFonts w:asciiTheme="majorBidi" w:hAnsiTheme="majorBidi" w:cstheme="majorBidi"/>
          <w:b/>
          <w:bCs/>
          <w:color w:val="000000" w:themeColor="text1"/>
        </w:rPr>
        <w:t xml:space="preserve">ai fini della partecipazione alle gare e dell’esecuzione si applica il regime di qualificazione previsto dall’articolo 36, comma 7, del </w:t>
      </w:r>
      <w:r w:rsidR="006377E0" w:rsidRPr="00BD54D8">
        <w:rPr>
          <w:rFonts w:ascii="Times New Roman" w:hAnsi="Times New Roman" w:cs="Times New Roman"/>
          <w:b/>
          <w:color w:val="000000" w:themeColor="text1"/>
        </w:rPr>
        <w:t xml:space="preserve">codice dei contratti pubblici relativi a lavori, servizi e forniture di cui al </w:t>
      </w:r>
      <w:r w:rsidRPr="00BD54D8">
        <w:rPr>
          <w:rFonts w:asciiTheme="majorBidi" w:hAnsiTheme="majorBidi" w:cstheme="majorBidi"/>
          <w:b/>
          <w:bCs/>
          <w:color w:val="000000" w:themeColor="text1"/>
        </w:rPr>
        <w:t xml:space="preserve">decreto legislativo 18 aprile 2006 n. 163 e dagli articoli 81 e 94 del </w:t>
      </w:r>
      <w:r w:rsidR="009A795E" w:rsidRPr="00BD54D8">
        <w:rPr>
          <w:rFonts w:ascii="Times New Roman" w:hAnsi="Times New Roman" w:cs="Times New Roman"/>
          <w:b/>
          <w:color w:val="000000" w:themeColor="text1"/>
        </w:rPr>
        <w:t>regolamento di esecuzione ed attuazione di cui al</w:t>
      </w:r>
      <w:r w:rsidR="009A795E" w:rsidRPr="00BD54D8">
        <w:rPr>
          <w:rFonts w:asciiTheme="majorBidi" w:hAnsiTheme="majorBidi" w:cstheme="majorBidi"/>
          <w:b/>
          <w:bCs/>
          <w:color w:val="000000" w:themeColor="text1"/>
        </w:rPr>
        <w:t xml:space="preserve"> </w:t>
      </w:r>
      <w:r w:rsidRPr="00BD54D8">
        <w:rPr>
          <w:rFonts w:asciiTheme="majorBidi" w:hAnsiTheme="majorBidi" w:cstheme="majorBidi"/>
          <w:b/>
          <w:bCs/>
          <w:color w:val="000000" w:themeColor="text1"/>
        </w:rPr>
        <w:t>decreto del Presidente della Repubblica 5 ottobre 2010, n. 207. L’articolo 47, comma 2-</w:t>
      </w:r>
      <w:r w:rsidRPr="00BD54D8">
        <w:rPr>
          <w:rFonts w:asciiTheme="majorBidi" w:hAnsiTheme="majorBidi" w:cstheme="majorBidi"/>
          <w:b/>
          <w:bCs/>
          <w:i/>
          <w:iCs/>
          <w:color w:val="000000" w:themeColor="text1"/>
        </w:rPr>
        <w:t>bis</w:t>
      </w:r>
      <w:r w:rsidRPr="00BD54D8">
        <w:rPr>
          <w:rFonts w:asciiTheme="majorBidi" w:hAnsiTheme="majorBidi" w:cstheme="majorBidi"/>
          <w:b/>
          <w:bCs/>
          <w:color w:val="000000" w:themeColor="text1"/>
        </w:rPr>
        <w:t>, del codice dei contratti pubblici, di cui al decreto legislativo 18 aprile 2016, n. 50, si interpreta nel senso che, negli appalti di servizi e forniture, la sussistenza in capo ai consorzi stabili dei requisiti richiesti nel bando di gara per l'affidamento di servizi e forniture è valutata a seguito della verifica della effettiva esistenza dei predetti requisiti in capo ai singoli consorziati, anche se diversi da quelli designati in gara.</w:t>
      </w:r>
    </w:p>
    <w:p w14:paraId="10C4598B" w14:textId="4AE3F2D9" w:rsidR="005F3BAB" w:rsidRPr="00BD54D8" w:rsidRDefault="005F3BAB" w:rsidP="005F3BAB">
      <w:pPr>
        <w:jc w:val="both"/>
        <w:rPr>
          <w:rFonts w:asciiTheme="majorBidi" w:eastAsia="Calibri" w:hAnsiTheme="majorBidi" w:cstheme="majorBidi"/>
          <w:b/>
          <w:bCs/>
          <w:color w:val="000000" w:themeColor="text1"/>
        </w:rPr>
      </w:pPr>
      <w:r w:rsidRPr="00BD54D8">
        <w:rPr>
          <w:rFonts w:asciiTheme="majorBidi" w:eastAsia="Calibri" w:hAnsiTheme="majorBidi" w:cstheme="majorBidi"/>
          <w:b/>
          <w:bCs/>
          <w:color w:val="000000" w:themeColor="text1"/>
        </w:rPr>
        <w:t>1</w:t>
      </w:r>
      <w:r w:rsidR="00D76159" w:rsidRPr="00BD54D8">
        <w:rPr>
          <w:rFonts w:asciiTheme="majorBidi" w:eastAsia="Calibri" w:hAnsiTheme="majorBidi" w:cstheme="majorBidi"/>
          <w:b/>
          <w:bCs/>
          <w:color w:val="000000" w:themeColor="text1"/>
        </w:rPr>
        <w:t>4</w:t>
      </w:r>
      <w:r w:rsidRPr="00BD54D8">
        <w:rPr>
          <w:rFonts w:asciiTheme="majorBidi" w:eastAsia="Calibri" w:hAnsiTheme="majorBidi" w:cstheme="majorBidi"/>
          <w:b/>
          <w:bCs/>
          <w:color w:val="000000" w:themeColor="text1"/>
        </w:rPr>
        <w:t xml:space="preserve">. Qualora, entro novanta giorni dalla data in cui il </w:t>
      </w:r>
      <w:r w:rsidRPr="00BD54D8">
        <w:rPr>
          <w:rFonts w:asciiTheme="majorBidi" w:eastAsia="Calibri" w:hAnsiTheme="majorBidi" w:cstheme="majorBidi"/>
          <w:b/>
          <w:bCs/>
          <w:strike/>
          <w:color w:val="000000" w:themeColor="text1"/>
        </w:rPr>
        <w:t>presente</w:t>
      </w:r>
      <w:r w:rsidRPr="00BD54D8">
        <w:rPr>
          <w:rFonts w:asciiTheme="majorBidi" w:eastAsia="Calibri" w:hAnsiTheme="majorBidi" w:cstheme="majorBidi"/>
          <w:b/>
          <w:bCs/>
          <w:color w:val="000000" w:themeColor="text1"/>
        </w:rPr>
        <w:t xml:space="preserve"> codice acquista efficacia ai sensi dell’articolo 229, comma 2, siano emanati regolamenti governativi o adottati regolamenti ministeriali sostitutivi di allegati al codice, il cui contenuto sia identico a quello dell’allegato stesso, sugli schemi dei regolamenti non è acquisito il parere del Consiglio di Stato e delle Commissioni parlamentari.</w:t>
      </w:r>
    </w:p>
    <w:p w14:paraId="78939F41" w14:textId="0158D050" w:rsidR="005F3BAB" w:rsidRPr="00BD54D8" w:rsidRDefault="005F3BAB" w:rsidP="005F3BAB">
      <w:pPr>
        <w:jc w:val="both"/>
        <w:rPr>
          <w:rFonts w:asciiTheme="majorBidi" w:eastAsia="Calibri" w:hAnsiTheme="majorBidi" w:cstheme="majorBidi"/>
          <w:b/>
          <w:bCs/>
          <w:color w:val="000000" w:themeColor="text1"/>
        </w:rPr>
      </w:pPr>
      <w:r w:rsidRPr="00BD54D8">
        <w:rPr>
          <w:rFonts w:asciiTheme="majorBidi" w:eastAsia="Calibri" w:hAnsiTheme="majorBidi" w:cstheme="majorBidi"/>
          <w:b/>
          <w:bCs/>
          <w:color w:val="000000" w:themeColor="text1"/>
        </w:rPr>
        <w:t>1</w:t>
      </w:r>
      <w:r w:rsidR="00D76159" w:rsidRPr="00BD54D8">
        <w:rPr>
          <w:rFonts w:asciiTheme="majorBidi" w:eastAsia="Calibri" w:hAnsiTheme="majorBidi" w:cstheme="majorBidi"/>
          <w:b/>
          <w:bCs/>
          <w:color w:val="000000" w:themeColor="text1"/>
        </w:rPr>
        <w:t>5</w:t>
      </w:r>
      <w:r w:rsidRPr="00BD54D8">
        <w:rPr>
          <w:rFonts w:asciiTheme="majorBidi" w:eastAsia="Calibri" w:hAnsiTheme="majorBidi" w:cstheme="majorBidi"/>
          <w:b/>
          <w:bCs/>
          <w:color w:val="000000" w:themeColor="text1"/>
        </w:rPr>
        <w:t xml:space="preserve">. Salvo quanto previsto </w:t>
      </w:r>
      <w:r w:rsidR="00AD08CE" w:rsidRPr="00BD54D8">
        <w:rPr>
          <w:rFonts w:asciiTheme="majorBidi" w:eastAsia="Calibri" w:hAnsiTheme="majorBidi" w:cstheme="majorBidi"/>
          <w:b/>
          <w:bCs/>
          <w:color w:val="000000" w:themeColor="text1"/>
        </w:rPr>
        <w:t>d</w:t>
      </w:r>
      <w:r w:rsidRPr="00BD54D8">
        <w:rPr>
          <w:rFonts w:asciiTheme="majorBidi" w:eastAsia="Calibri" w:hAnsiTheme="majorBidi" w:cstheme="majorBidi"/>
          <w:b/>
          <w:bCs/>
          <w:color w:val="000000" w:themeColor="text1"/>
        </w:rPr>
        <w:t>al comma 1</w:t>
      </w:r>
      <w:r w:rsidR="0035379E" w:rsidRPr="00BD54D8">
        <w:rPr>
          <w:rFonts w:asciiTheme="majorBidi" w:eastAsia="Calibri" w:hAnsiTheme="majorBidi" w:cstheme="majorBidi"/>
          <w:b/>
          <w:bCs/>
          <w:color w:val="000000" w:themeColor="text1"/>
        </w:rPr>
        <w:t>4</w:t>
      </w:r>
      <w:r w:rsidRPr="00BD54D8">
        <w:rPr>
          <w:rFonts w:asciiTheme="majorBidi" w:eastAsia="Calibri" w:hAnsiTheme="majorBidi" w:cstheme="majorBidi"/>
          <w:b/>
          <w:bCs/>
          <w:color w:val="000000" w:themeColor="text1"/>
        </w:rPr>
        <w:t>, gli schemi dei regolamenti di cui agli articoli 17, comma 3</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40, comma 2, 41, commi 2 e 4</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45, comma 1</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47, comma 4</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54, comma </w:t>
      </w:r>
      <w:r w:rsidR="006D6343" w:rsidRPr="00BD54D8">
        <w:rPr>
          <w:rFonts w:asciiTheme="majorBidi" w:eastAsia="Calibri" w:hAnsiTheme="majorBidi" w:cstheme="majorBidi"/>
          <w:b/>
          <w:bCs/>
          <w:color w:val="000000" w:themeColor="text1"/>
        </w:rPr>
        <w:t>3</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61, comma 5</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70, comma 3</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71, comma 5</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84, comma 1</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89, comma 2</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100, comma 3</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105, comma 1</w:t>
      </w:r>
      <w:r w:rsidR="00AD08CE" w:rsidRPr="00BD54D8">
        <w:rPr>
          <w:rFonts w:asciiTheme="majorBidi" w:eastAsia="Calibri" w:hAnsiTheme="majorBidi" w:cstheme="majorBidi"/>
          <w:b/>
          <w:bCs/>
          <w:color w:val="000000" w:themeColor="text1"/>
        </w:rPr>
        <w:t xml:space="preserve">, </w:t>
      </w:r>
      <w:r w:rsidRPr="00BD54D8">
        <w:rPr>
          <w:rFonts w:asciiTheme="majorBidi" w:eastAsia="Calibri" w:hAnsiTheme="majorBidi" w:cstheme="majorBidi"/>
          <w:b/>
          <w:bCs/>
          <w:color w:val="000000" w:themeColor="text1"/>
        </w:rPr>
        <w:t>106, comma 8</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114, comma 5</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120, comma 14</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135, comma 3</w:t>
      </w:r>
      <w:r w:rsidR="00AD08CE" w:rsidRPr="00BD54D8">
        <w:rPr>
          <w:rFonts w:asciiTheme="majorBidi" w:eastAsia="Calibri" w:hAnsiTheme="majorBidi" w:cstheme="majorBidi"/>
          <w:b/>
          <w:bCs/>
          <w:color w:val="000000" w:themeColor="text1"/>
        </w:rPr>
        <w:t>,</w:t>
      </w:r>
      <w:r w:rsidRPr="00BD54D8">
        <w:rPr>
          <w:rFonts w:asciiTheme="majorBidi" w:eastAsia="Calibri" w:hAnsiTheme="majorBidi" w:cstheme="majorBidi"/>
          <w:b/>
          <w:bCs/>
          <w:color w:val="000000" w:themeColor="text1"/>
        </w:rPr>
        <w:t xml:space="preserve"> 182, comma 2 e 213, comma 15, sono trasmessi alle Camere ai fini dell’acquisizione dei pareri delle competenti Commissioni parlamentari che si esprimono entro </w:t>
      </w:r>
      <w:r w:rsidRPr="00BD54D8">
        <w:rPr>
          <w:rFonts w:asciiTheme="majorBidi" w:eastAsia="Calibri" w:hAnsiTheme="majorBidi" w:cstheme="majorBidi"/>
          <w:b/>
          <w:bCs/>
          <w:strike/>
          <w:color w:val="000000" w:themeColor="text1"/>
        </w:rPr>
        <w:t>30</w:t>
      </w:r>
      <w:r w:rsidR="004666F3" w:rsidRPr="00BD54D8">
        <w:rPr>
          <w:rFonts w:asciiTheme="majorBidi" w:eastAsia="Calibri" w:hAnsiTheme="majorBidi" w:cstheme="majorBidi"/>
          <w:b/>
          <w:bCs/>
          <w:color w:val="000000" w:themeColor="text1"/>
        </w:rPr>
        <w:t xml:space="preserve"> trenta</w:t>
      </w:r>
      <w:r w:rsidRPr="00BD54D8">
        <w:rPr>
          <w:rFonts w:asciiTheme="majorBidi" w:eastAsia="Calibri" w:hAnsiTheme="majorBidi" w:cstheme="majorBidi"/>
          <w:b/>
          <w:bCs/>
          <w:color w:val="000000" w:themeColor="text1"/>
        </w:rPr>
        <w:t xml:space="preserve"> giorni, decorsi i quali i regolamenti possono essere comunque emanati o adottati.</w:t>
      </w:r>
    </w:p>
    <w:p w14:paraId="0587381C" w14:textId="4BBAB820" w:rsidR="005F3BAB" w:rsidRPr="00BD54D8" w:rsidRDefault="005F3BAB" w:rsidP="005F3BAB">
      <w:pPr>
        <w:jc w:val="both"/>
        <w:rPr>
          <w:rFonts w:asciiTheme="majorBidi" w:eastAsia="Calibri" w:hAnsiTheme="majorBidi" w:cstheme="majorBidi"/>
          <w:b/>
          <w:bCs/>
          <w:color w:val="000000" w:themeColor="text1"/>
        </w:rPr>
      </w:pPr>
      <w:r w:rsidRPr="00BD54D8">
        <w:rPr>
          <w:rFonts w:asciiTheme="majorBidi" w:eastAsia="Calibri" w:hAnsiTheme="majorBidi" w:cstheme="majorBidi"/>
          <w:b/>
          <w:bCs/>
          <w:color w:val="000000" w:themeColor="text1"/>
        </w:rPr>
        <w:t>1</w:t>
      </w:r>
      <w:r w:rsidR="00D76159" w:rsidRPr="00BD54D8">
        <w:rPr>
          <w:rFonts w:asciiTheme="majorBidi" w:eastAsia="Calibri" w:hAnsiTheme="majorBidi" w:cstheme="majorBidi"/>
          <w:b/>
          <w:bCs/>
          <w:color w:val="000000" w:themeColor="text1"/>
        </w:rPr>
        <w:t>6</w:t>
      </w:r>
      <w:r w:rsidRPr="00BD54D8">
        <w:rPr>
          <w:rFonts w:asciiTheme="majorBidi" w:eastAsia="Calibri" w:hAnsiTheme="majorBidi" w:cstheme="majorBidi"/>
          <w:b/>
          <w:bCs/>
          <w:color w:val="000000" w:themeColor="text1"/>
        </w:rPr>
        <w:t xml:space="preserve">. A decorrere dalla data in cui il </w:t>
      </w:r>
      <w:r w:rsidRPr="00BD54D8">
        <w:rPr>
          <w:rFonts w:asciiTheme="majorBidi" w:eastAsia="Calibri" w:hAnsiTheme="majorBidi" w:cstheme="majorBidi"/>
          <w:b/>
          <w:bCs/>
          <w:strike/>
          <w:color w:val="000000" w:themeColor="text1"/>
        </w:rPr>
        <w:t>presente</w:t>
      </w:r>
      <w:r w:rsidRPr="00BD54D8">
        <w:rPr>
          <w:rFonts w:asciiTheme="majorBidi" w:eastAsia="Calibri" w:hAnsiTheme="majorBidi" w:cstheme="majorBidi"/>
          <w:b/>
          <w:bCs/>
          <w:color w:val="000000" w:themeColor="text1"/>
        </w:rPr>
        <w:t xml:space="preserve"> codice acquista efficacia ai sensi dell’articolo 229, comma 2, in luogo dei regolamenti </w:t>
      </w:r>
      <w:r w:rsidR="00D4145F" w:rsidRPr="00BD54D8">
        <w:rPr>
          <w:rFonts w:asciiTheme="majorBidi" w:eastAsia="Calibri" w:hAnsiTheme="majorBidi" w:cstheme="majorBidi"/>
          <w:b/>
          <w:bCs/>
          <w:color w:val="000000" w:themeColor="text1"/>
        </w:rPr>
        <w:t xml:space="preserve">e delle linee guida </w:t>
      </w:r>
      <w:r w:rsidR="00A32034" w:rsidRPr="00BD54D8">
        <w:rPr>
          <w:rFonts w:asciiTheme="majorBidi" w:eastAsia="Calibri" w:hAnsiTheme="majorBidi" w:cstheme="majorBidi"/>
          <w:b/>
          <w:bCs/>
          <w:color w:val="000000" w:themeColor="text1"/>
        </w:rPr>
        <w:t xml:space="preserve">dell’ANAC </w:t>
      </w:r>
      <w:r w:rsidRPr="00BD54D8">
        <w:rPr>
          <w:rFonts w:asciiTheme="majorBidi" w:eastAsia="Calibri" w:hAnsiTheme="majorBidi" w:cstheme="majorBidi"/>
          <w:b/>
          <w:bCs/>
          <w:color w:val="000000" w:themeColor="text1"/>
        </w:rPr>
        <w:t xml:space="preserve">adottati in attuazione del </w:t>
      </w:r>
      <w:r w:rsidR="00AD08CE" w:rsidRPr="00BD54D8">
        <w:rPr>
          <w:rFonts w:ascii="Times New Roman" w:eastAsia="Calibri" w:hAnsi="Times New Roman" w:cs="Times New Roman"/>
          <w:b/>
          <w:bCs/>
          <w:lang w:eastAsia="it-IT"/>
        </w:rPr>
        <w:t>codice dei contratti pubblici, di cui al</w:t>
      </w:r>
      <w:r w:rsidR="00AD08CE" w:rsidRPr="00BD54D8">
        <w:rPr>
          <w:rFonts w:ascii="Times New Roman" w:hAnsi="Times New Roman" w:cs="Times New Roman"/>
          <w:b/>
          <w:bCs/>
        </w:rPr>
        <w:t xml:space="preserve"> </w:t>
      </w:r>
      <w:r w:rsidRPr="00BD54D8">
        <w:rPr>
          <w:rFonts w:asciiTheme="majorBidi" w:eastAsia="Calibri" w:hAnsiTheme="majorBidi" w:cstheme="majorBidi"/>
          <w:b/>
          <w:bCs/>
          <w:color w:val="000000" w:themeColor="text1"/>
        </w:rPr>
        <w:t xml:space="preserve">decreto legislativo n. 50 del 2016 </w:t>
      </w:r>
      <w:r w:rsidRPr="00BD54D8">
        <w:rPr>
          <w:rFonts w:asciiTheme="majorBidi" w:eastAsia="Calibri" w:hAnsiTheme="majorBidi" w:cstheme="majorBidi"/>
          <w:b/>
          <w:bCs/>
          <w:strike/>
          <w:color w:val="000000" w:themeColor="text1"/>
        </w:rPr>
        <w:t>e delle linee guida adottate dall’ANAC</w:t>
      </w:r>
      <w:r w:rsidRPr="00BD54D8">
        <w:rPr>
          <w:rFonts w:asciiTheme="majorBidi" w:eastAsia="Calibri" w:hAnsiTheme="majorBidi" w:cstheme="majorBidi"/>
          <w:b/>
          <w:bCs/>
          <w:color w:val="000000" w:themeColor="text1"/>
        </w:rPr>
        <w:t xml:space="preserve">, </w:t>
      </w:r>
      <w:r w:rsidR="00A32034" w:rsidRPr="00BD54D8">
        <w:rPr>
          <w:rFonts w:asciiTheme="majorBidi" w:eastAsia="Calibri" w:hAnsiTheme="majorBidi" w:cstheme="majorBidi"/>
          <w:b/>
          <w:bCs/>
          <w:color w:val="000000" w:themeColor="text1"/>
        </w:rPr>
        <w:t xml:space="preserve">laddove non diversamente previsto dal presente codice, </w:t>
      </w:r>
      <w:r w:rsidRPr="00BD54D8">
        <w:rPr>
          <w:rFonts w:asciiTheme="majorBidi" w:eastAsia="Calibri" w:hAnsiTheme="majorBidi" w:cstheme="majorBidi"/>
          <w:b/>
          <w:bCs/>
          <w:color w:val="000000" w:themeColor="text1"/>
        </w:rPr>
        <w:t>si applicano le corrispondenti disposizioni del presente codice e dei suoi allegati.</w:t>
      </w:r>
    </w:p>
    <w:p w14:paraId="3441F7CC" w14:textId="77777777" w:rsidR="00BE7516" w:rsidRPr="00BD54D8" w:rsidRDefault="00BE7516" w:rsidP="0083753D">
      <w:pPr>
        <w:jc w:val="both"/>
        <w:rPr>
          <w:rFonts w:ascii="Times New Roman" w:eastAsia="Calibri" w:hAnsi="Times New Roman" w:cs="Times New Roman"/>
          <w:color w:val="000000" w:themeColor="text1"/>
        </w:rPr>
      </w:pPr>
    </w:p>
    <w:p w14:paraId="5E23C0E7" w14:textId="77777777" w:rsidR="00D76159" w:rsidRPr="00BD54D8" w:rsidRDefault="00D76159" w:rsidP="0083753D">
      <w:pPr>
        <w:jc w:val="both"/>
        <w:rPr>
          <w:rFonts w:ascii="Times New Roman" w:eastAsia="Times New Roman" w:hAnsi="Times New Roman" w:cs="Times New Roman"/>
          <w:b/>
          <w:bCs/>
          <w:color w:val="000000" w:themeColor="text1"/>
        </w:rPr>
      </w:pPr>
    </w:p>
    <w:p w14:paraId="29F8CF93" w14:textId="2014EF0E" w:rsidR="0083753D" w:rsidRPr="00BD54D8" w:rsidRDefault="0083753D" w:rsidP="0083753D">
      <w:pPr>
        <w:jc w:val="both"/>
        <w:rPr>
          <w:rFonts w:ascii="Times New Roman" w:eastAsia="Times New Roman" w:hAnsi="Times New Roman" w:cs="Times New Roman"/>
          <w:b/>
          <w:bCs/>
          <w:i/>
          <w:iCs/>
          <w:color w:val="000000" w:themeColor="text1"/>
        </w:rPr>
      </w:pPr>
      <w:r w:rsidRPr="00BD54D8">
        <w:rPr>
          <w:rFonts w:ascii="Times New Roman" w:eastAsia="Times New Roman" w:hAnsi="Times New Roman" w:cs="Times New Roman"/>
          <w:b/>
          <w:bCs/>
          <w:color w:val="000000" w:themeColor="text1"/>
        </w:rPr>
        <w:t>Articolo 22</w:t>
      </w:r>
      <w:r w:rsidR="00E4542D" w:rsidRPr="00BD54D8">
        <w:rPr>
          <w:rFonts w:ascii="Times New Roman" w:eastAsia="Times New Roman" w:hAnsi="Times New Roman" w:cs="Times New Roman"/>
          <w:b/>
          <w:bCs/>
          <w:color w:val="000000" w:themeColor="text1"/>
        </w:rPr>
        <w:t>6</w:t>
      </w:r>
      <w:r w:rsidRPr="00BD54D8">
        <w:rPr>
          <w:rFonts w:ascii="Times New Roman" w:eastAsia="Times New Roman" w:hAnsi="Times New Roman" w:cs="Times New Roman"/>
          <w:b/>
          <w:bCs/>
          <w:color w:val="000000" w:themeColor="text1"/>
        </w:rPr>
        <w:t>.</w:t>
      </w:r>
    </w:p>
    <w:p w14:paraId="063F65E3" w14:textId="77777777" w:rsidR="0083753D" w:rsidRPr="00BD54D8" w:rsidRDefault="0083753D" w:rsidP="0083753D">
      <w:pPr>
        <w:jc w:val="both"/>
        <w:rPr>
          <w:rFonts w:ascii="Times New Roman" w:eastAsia="Times New Roman" w:hAnsi="Times New Roman" w:cs="Times New Roman"/>
          <w:i/>
          <w:color w:val="000000" w:themeColor="text1"/>
        </w:rPr>
      </w:pPr>
      <w:r w:rsidRPr="00BD54D8">
        <w:rPr>
          <w:rStyle w:val="Hyperlink0"/>
          <w:rFonts w:ascii="Times New Roman" w:hAnsi="Times New Roman" w:cs="Times New Roman"/>
          <w:i/>
          <w:color w:val="000000" w:themeColor="text1"/>
        </w:rPr>
        <w:t>Abrogazioni e disposizioni finali.</w:t>
      </w:r>
    </w:p>
    <w:p w14:paraId="3D208A80" w14:textId="384DFA44" w:rsidR="0083753D" w:rsidRPr="00BD54D8" w:rsidRDefault="0083753D" w:rsidP="0083753D">
      <w:pPr>
        <w:pStyle w:val="Paragrafoelenco"/>
        <w:tabs>
          <w:tab w:val="left" w:pos="851"/>
        </w:tabs>
        <w:ind w:left="0"/>
        <w:jc w:val="both"/>
        <w:rPr>
          <w:rFonts w:ascii="Times New Roman" w:hAnsi="Times New Roman" w:cs="Times New Roman"/>
          <w:strike/>
          <w:color w:val="000000" w:themeColor="text1"/>
        </w:rPr>
      </w:pPr>
      <w:r w:rsidRPr="00BD54D8">
        <w:rPr>
          <w:rFonts w:ascii="Times New Roman" w:hAnsi="Times New Roman" w:cs="Times New Roman"/>
          <w:color w:val="000000" w:themeColor="text1"/>
        </w:rPr>
        <w:t>1. Il decreto legislativo 18 aprile 2016, n. 50</w:t>
      </w:r>
      <w:r w:rsidR="001B1251" w:rsidRPr="00BD54D8">
        <w:rPr>
          <w:rStyle w:val="Nessuno"/>
          <w:rFonts w:ascii="Times New Roman" w:hAnsi="Times New Roman" w:cs="Times New Roman"/>
          <w:color w:val="000000" w:themeColor="text1"/>
        </w:rPr>
        <w:t>,</w:t>
      </w:r>
      <w:r w:rsidRPr="00BD54D8">
        <w:rPr>
          <w:rFonts w:ascii="Times New Roman" w:hAnsi="Times New Roman" w:cs="Times New Roman"/>
          <w:color w:val="000000" w:themeColor="text1"/>
        </w:rPr>
        <w:t xml:space="preserve"> è abrogato</w:t>
      </w:r>
      <w:r w:rsidR="00F02DC4" w:rsidRPr="00BD54D8">
        <w:rPr>
          <w:rFonts w:ascii="Times New Roman" w:hAnsi="Times New Roman" w:cs="Times New Roman"/>
          <w:color w:val="000000" w:themeColor="text1"/>
        </w:rPr>
        <w:t xml:space="preserve"> dal 1° luglio 2023</w:t>
      </w:r>
      <w:r w:rsidR="00615640" w:rsidRPr="00BD54D8">
        <w:rPr>
          <w:rFonts w:ascii="Times New Roman" w:hAnsi="Times New Roman" w:cs="Times New Roman"/>
          <w:color w:val="000000" w:themeColor="text1"/>
        </w:rPr>
        <w:t>.</w:t>
      </w:r>
    </w:p>
    <w:p w14:paraId="3F2D6CD0" w14:textId="7DB6147E" w:rsidR="0083753D" w:rsidRPr="00BD54D8" w:rsidRDefault="0083753D" w:rsidP="0083753D">
      <w:pPr>
        <w:jc w:val="both"/>
        <w:rPr>
          <w:rFonts w:ascii="Times New Roman" w:hAnsi="Times New Roman" w:cs="Times New Roman"/>
          <w:color w:val="000000" w:themeColor="text1"/>
        </w:rPr>
      </w:pPr>
      <w:r w:rsidRPr="00BD54D8">
        <w:rPr>
          <w:rFonts w:ascii="Times New Roman" w:eastAsia="Calibri" w:hAnsi="Times New Roman" w:cs="Times New Roman"/>
          <w:color w:val="000000" w:themeColor="text1"/>
        </w:rPr>
        <w:t>2.</w:t>
      </w:r>
      <w:r w:rsidRPr="00BD54D8">
        <w:rPr>
          <w:rFonts w:ascii="Times New Roman" w:eastAsia="Times New Roman" w:hAnsi="Times New Roman" w:cs="Times New Roman"/>
          <w:color w:val="000000" w:themeColor="text1"/>
        </w:rPr>
        <w:t xml:space="preserve"> A decorrere dalla data in cui il codice acquista efficacia ai sensi dell’articolo 22</w:t>
      </w:r>
      <w:r w:rsidR="00C87027" w:rsidRPr="00BD54D8">
        <w:rPr>
          <w:rFonts w:ascii="Times New Roman" w:eastAsia="Times New Roman" w:hAnsi="Times New Roman" w:cs="Times New Roman"/>
          <w:color w:val="000000" w:themeColor="text1"/>
        </w:rPr>
        <w:t>9</w:t>
      </w:r>
      <w:r w:rsidRPr="00BD54D8">
        <w:rPr>
          <w:rFonts w:ascii="Times New Roman" w:eastAsia="Times New Roman" w:hAnsi="Times New Roman" w:cs="Times New Roman"/>
          <w:color w:val="000000" w:themeColor="text1"/>
        </w:rPr>
        <w:t xml:space="preserve">, comma 2, le </w:t>
      </w:r>
      <w:r w:rsidR="00BE7516" w:rsidRPr="00BD54D8">
        <w:rPr>
          <w:rFonts w:ascii="Times New Roman" w:eastAsia="Times New Roman" w:hAnsi="Times New Roman" w:cs="Times New Roman"/>
          <w:color w:val="000000" w:themeColor="text1"/>
        </w:rPr>
        <w:t xml:space="preserve">disposizioni </w:t>
      </w:r>
      <w:r w:rsidR="00BE7516" w:rsidRPr="00BD54D8">
        <w:rPr>
          <w:rFonts w:ascii="Times New Roman" w:eastAsia="Times New Roman" w:hAnsi="Times New Roman" w:cs="Times New Roman"/>
          <w:b/>
          <w:bCs/>
          <w:color w:val="000000" w:themeColor="text1"/>
        </w:rPr>
        <w:t>di</w:t>
      </w:r>
      <w:r w:rsidRPr="00BD54D8">
        <w:rPr>
          <w:rFonts w:ascii="Times New Roman" w:eastAsia="Times New Roman" w:hAnsi="Times New Roman" w:cs="Times New Roman"/>
          <w:color w:val="000000" w:themeColor="text1"/>
        </w:rPr>
        <w:t xml:space="preserve"> cui al decreto legislativo </w:t>
      </w:r>
      <w:r w:rsidRPr="00BD54D8">
        <w:rPr>
          <w:rFonts w:ascii="Times New Roman" w:eastAsia="Times New Roman" w:hAnsi="Times New Roman" w:cs="Times New Roman"/>
          <w:b/>
          <w:bCs/>
          <w:strike/>
          <w:color w:val="000000" w:themeColor="text1"/>
        </w:rPr>
        <w:t>18 aprile 2016,</w:t>
      </w:r>
      <w:r w:rsidRPr="00BD54D8">
        <w:rPr>
          <w:rFonts w:ascii="Times New Roman" w:eastAsia="Times New Roman" w:hAnsi="Times New Roman" w:cs="Times New Roman"/>
          <w:strike/>
          <w:color w:val="000000" w:themeColor="text1"/>
        </w:rPr>
        <w:t xml:space="preserve"> </w:t>
      </w:r>
      <w:r w:rsidRPr="00BD54D8">
        <w:rPr>
          <w:rFonts w:ascii="Times New Roman" w:eastAsia="Times New Roman" w:hAnsi="Times New Roman" w:cs="Times New Roman"/>
          <w:color w:val="000000" w:themeColor="text1"/>
        </w:rPr>
        <w:t>n. 50</w:t>
      </w:r>
      <w:r w:rsidR="002F19A2" w:rsidRPr="00BD54D8">
        <w:rPr>
          <w:rFonts w:ascii="Times New Roman" w:eastAsia="Times New Roman" w:hAnsi="Times New Roman" w:cs="Times New Roman"/>
          <w:color w:val="000000" w:themeColor="text1"/>
        </w:rPr>
        <w:t xml:space="preserve"> </w:t>
      </w:r>
      <w:r w:rsidR="002F19A2" w:rsidRPr="00BD54D8">
        <w:rPr>
          <w:rFonts w:ascii="Times New Roman" w:eastAsia="Times New Roman" w:hAnsi="Times New Roman" w:cs="Times New Roman"/>
          <w:b/>
          <w:bCs/>
          <w:color w:val="000000" w:themeColor="text1"/>
        </w:rPr>
        <w:t>del 2016</w:t>
      </w:r>
      <w:r w:rsidRPr="00BD54D8">
        <w:rPr>
          <w:rFonts w:ascii="Times New Roman" w:eastAsia="Times New Roman" w:hAnsi="Times New Roman" w:cs="Times New Roman"/>
          <w:color w:val="000000" w:themeColor="text1"/>
        </w:rPr>
        <w:t xml:space="preserve"> continuano ad applicarsi esclusivamente ai procedimenti in corso. A tal fine, per procedimenti in corso si intendono: a) le procedure e i contratti per i quali i bandi o avvisi con cui si indice la procedura di scelta del contraente siano stati pubblicati prima della data in cui il codice acquista efficacia; b) in caso di contratti senza pubblicazione di bandi o avvisi, le procedure e i contratti in relazione ai quali, alla data in cui il codice acquista efficacia, siano stati già inviati gli avvisi a presentare le offerte; c) per le opere di urbanizzazione a scomputo del contributo di costruzione, oggetto di convenzioni urbanistiche o atti assimilati comunque denominati, i procedimenti in cui le predette convenzioni o atti siano stati stipulati prima della data in cui il codice acquista efficacia; d) per le procedure di accordo bonario di cui agli articoli 210 e 211, di transazione e di arbitrato, le procedure relative a controversie aventi a oggetto contratti pubblici, per i quali i bandi o gli avvisi siano stati pubblicati prima della data in cui il codice acquista efficacia, ovvero, in caso di mancanza di pubblicazione di bandi o avvisi, gli avvisi a presentare le offerte siano stati inviati prima della suddetta data.</w:t>
      </w:r>
    </w:p>
    <w:p w14:paraId="1C0FE1B5" w14:textId="388B712B" w:rsidR="0083753D" w:rsidRPr="00BD54D8" w:rsidRDefault="0083753D" w:rsidP="0083753D">
      <w:pPr>
        <w:pStyle w:val="Paragrafoelenco"/>
        <w:tabs>
          <w:tab w:val="left" w:pos="851"/>
        </w:tabs>
        <w:ind w:left="0"/>
        <w:jc w:val="both"/>
        <w:rPr>
          <w:rFonts w:ascii="Times New Roman" w:hAnsi="Times New Roman" w:cs="Times New Roman"/>
          <w:color w:val="000000" w:themeColor="text1"/>
        </w:rPr>
      </w:pPr>
      <w:r w:rsidRPr="00BD54D8">
        <w:rPr>
          <w:rFonts w:ascii="Times New Roman" w:eastAsia="Times New Roman" w:hAnsi="Times New Roman" w:cs="Times New Roman"/>
          <w:color w:val="000000" w:themeColor="text1"/>
        </w:rPr>
        <w:t>3. Fermo restando quanto previsto dall'articolo 22</w:t>
      </w:r>
      <w:r w:rsidR="0063551A" w:rsidRPr="00BD54D8">
        <w:rPr>
          <w:rFonts w:ascii="Times New Roman" w:eastAsia="Times New Roman" w:hAnsi="Times New Roman" w:cs="Times New Roman"/>
          <w:color w:val="000000" w:themeColor="text1"/>
        </w:rPr>
        <w:t>5</w:t>
      </w:r>
      <w:r w:rsidRPr="00BD54D8">
        <w:rPr>
          <w:rFonts w:ascii="Times New Roman" w:eastAsia="Times New Roman" w:hAnsi="Times New Roman" w:cs="Times New Roman"/>
          <w:color w:val="000000" w:themeColor="text1"/>
        </w:rPr>
        <w:t xml:space="preserve">, </w:t>
      </w:r>
      <w:r w:rsidRPr="00BD54D8">
        <w:rPr>
          <w:rFonts w:ascii="Times New Roman" w:hAnsi="Times New Roman" w:cs="Times New Roman"/>
          <w:color w:val="000000" w:themeColor="text1"/>
        </w:rPr>
        <w:t>sono abrogati</w:t>
      </w:r>
      <w:r w:rsidR="00317F05" w:rsidRPr="00BD54D8">
        <w:rPr>
          <w:rFonts w:ascii="Times New Roman" w:hAnsi="Times New Roman" w:cs="Times New Roman"/>
          <w:color w:val="000000" w:themeColor="text1"/>
        </w:rPr>
        <w:t xml:space="preserve"> dal 1° luglio 2023</w:t>
      </w:r>
      <w:r w:rsidRPr="00BD54D8">
        <w:rPr>
          <w:rFonts w:ascii="Times New Roman" w:hAnsi="Times New Roman" w:cs="Times New Roman"/>
          <w:color w:val="000000" w:themeColor="text1"/>
        </w:rPr>
        <w:t>:</w:t>
      </w:r>
    </w:p>
    <w:p w14:paraId="4CE53EF1" w14:textId="77777777" w:rsidR="00590D70" w:rsidRPr="00BD54D8" w:rsidRDefault="0083753D" w:rsidP="00590D70">
      <w:pPr>
        <w:tabs>
          <w:tab w:val="left" w:pos="851"/>
        </w:tabs>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a) il regio decreto 3 maggio 1923, n. 1612;</w:t>
      </w:r>
    </w:p>
    <w:p w14:paraId="2FB9E129" w14:textId="77777777" w:rsidR="00590D70" w:rsidRPr="00BD54D8" w:rsidRDefault="0083753D" w:rsidP="00590D70">
      <w:pPr>
        <w:tabs>
          <w:tab w:val="left" w:pos="851"/>
        </w:tabs>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b) l’articolo 11, comma 5, lettere d) e f), della legge 23 dicembre 1992, n. 498;</w:t>
      </w:r>
    </w:p>
    <w:p w14:paraId="3BD524C9" w14:textId="22AF075B" w:rsidR="0083753D" w:rsidRPr="00BD54D8" w:rsidRDefault="0083753D" w:rsidP="00590D70">
      <w:pPr>
        <w:tabs>
          <w:tab w:val="left" w:pos="851"/>
        </w:tabs>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c) il decreto del Presidente della Repubblica 27 aprile 2006, n. 204;</w:t>
      </w:r>
    </w:p>
    <w:p w14:paraId="2CB335A1" w14:textId="03C8E1C0" w:rsidR="0083753D" w:rsidRPr="00BD54D8" w:rsidRDefault="0083753D" w:rsidP="6E003A1F">
      <w:pPr>
        <w:tabs>
          <w:tab w:val="left" w:pos="851"/>
        </w:tabs>
        <w:jc w:val="both"/>
        <w:rPr>
          <w:rFonts w:ascii="Times New Roman" w:hAnsi="Times New Roman" w:cs="Times New Roman"/>
          <w:color w:val="000000" w:themeColor="text1"/>
        </w:rPr>
      </w:pPr>
      <w:r w:rsidRPr="00BD54D8">
        <w:rPr>
          <w:rFonts w:ascii="Times New Roman" w:hAnsi="Times New Roman" w:cs="Times New Roman"/>
          <w:color w:val="000000" w:themeColor="text1"/>
        </w:rPr>
        <w:t>d) l’articolo 1, comma 32, della legge 6 novembre 2012, n. 190;</w:t>
      </w:r>
    </w:p>
    <w:p w14:paraId="4C1110B0" w14:textId="1FE457D8" w:rsidR="0083753D" w:rsidRPr="00BD54D8" w:rsidRDefault="00687805" w:rsidP="0083753D">
      <w:pPr>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e</w:t>
      </w:r>
      <w:r w:rsidR="0083753D" w:rsidRPr="00BD54D8">
        <w:rPr>
          <w:rFonts w:ascii="Times New Roman" w:eastAsia="Times New Roman" w:hAnsi="Times New Roman" w:cs="Times New Roman"/>
          <w:color w:val="000000" w:themeColor="text1"/>
        </w:rPr>
        <w:t>) il decreto del Ministro dello sviluppo economico 7 giugno 2017, n. 122</w:t>
      </w:r>
      <w:r w:rsidR="0083753D" w:rsidRPr="00BD54D8">
        <w:rPr>
          <w:rFonts w:ascii="Times New Roman" w:eastAsia="Times New Roman" w:hAnsi="Times New Roman" w:cs="Times New Roman"/>
          <w:strike/>
          <w:color w:val="000000" w:themeColor="text1"/>
        </w:rPr>
        <w:t xml:space="preserve">, </w:t>
      </w:r>
      <w:r w:rsidR="00776DDF" w:rsidRPr="00BD54D8">
        <w:rPr>
          <w:rFonts w:ascii="Times New Roman" w:eastAsia="Times New Roman" w:hAnsi="Times New Roman" w:cs="Times New Roman"/>
          <w:strike/>
          <w:color w:val="000000" w:themeColor="text1"/>
        </w:rPr>
        <w:t xml:space="preserve">recante </w:t>
      </w:r>
      <w:r w:rsidR="005173E5" w:rsidRPr="00BD54D8">
        <w:rPr>
          <w:rFonts w:ascii="Times New Roman" w:eastAsia="Times New Roman" w:hAnsi="Times New Roman" w:cs="Times New Roman"/>
          <w:bCs/>
          <w:strike/>
          <w:color w:val="000000" w:themeColor="text1"/>
        </w:rPr>
        <w:t>“«</w:t>
      </w:r>
      <w:r w:rsidR="0083753D" w:rsidRPr="00BD54D8">
        <w:rPr>
          <w:rFonts w:ascii="Times New Roman" w:eastAsia="Times New Roman" w:hAnsi="Times New Roman" w:cs="Times New Roman"/>
          <w:strike/>
          <w:color w:val="000000" w:themeColor="text1"/>
        </w:rPr>
        <w:t>Regolamento recante disposizioni in materia di servizi sostitutivi di mensa, in attuazione dell'articolo 144, comma 5, del decreto legislativo 18 aprile 2016, n. 50</w:t>
      </w:r>
      <w:r w:rsidR="005173E5" w:rsidRPr="00BD54D8">
        <w:rPr>
          <w:rFonts w:ascii="Times New Roman" w:eastAsia="Times New Roman" w:hAnsi="Times New Roman" w:cs="Times New Roman"/>
          <w:b/>
          <w:strike/>
          <w:color w:val="000000" w:themeColor="text1"/>
        </w:rPr>
        <w:t>»”</w:t>
      </w:r>
      <w:r w:rsidR="0083753D" w:rsidRPr="00BD54D8">
        <w:rPr>
          <w:rFonts w:ascii="Times New Roman" w:eastAsia="Times New Roman" w:hAnsi="Times New Roman" w:cs="Times New Roman"/>
          <w:b/>
          <w:color w:val="000000" w:themeColor="text1"/>
        </w:rPr>
        <w:t>;</w:t>
      </w:r>
    </w:p>
    <w:p w14:paraId="31D258F6" w14:textId="323AB5DB" w:rsidR="0083753D" w:rsidRPr="00BD54D8" w:rsidRDefault="00687805" w:rsidP="0083753D">
      <w:pPr>
        <w:tabs>
          <w:tab w:val="left" w:pos="851"/>
        </w:tabs>
        <w:jc w:val="both"/>
        <w:rPr>
          <w:rFonts w:ascii="Times New Roman" w:eastAsia="Verdana" w:hAnsi="Times New Roman" w:cs="Times New Roman"/>
          <w:color w:val="000000" w:themeColor="text1"/>
        </w:rPr>
      </w:pPr>
      <w:r w:rsidRPr="00BD54D8">
        <w:rPr>
          <w:rFonts w:ascii="Times New Roman" w:eastAsia="Times New Roman" w:hAnsi="Times New Roman" w:cs="Times New Roman"/>
          <w:color w:val="000000" w:themeColor="text1"/>
        </w:rPr>
        <w:t>f</w:t>
      </w:r>
      <w:r w:rsidR="0083753D" w:rsidRPr="00BD54D8">
        <w:rPr>
          <w:rFonts w:ascii="Times New Roman" w:eastAsia="Times New Roman" w:hAnsi="Times New Roman" w:cs="Times New Roman"/>
          <w:color w:val="000000" w:themeColor="text1"/>
        </w:rPr>
        <w:t>) il decreto del Ministro dei beni e delle attività culturali e del turismo 22 agosto 2017, n. 154</w:t>
      </w:r>
      <w:r w:rsidR="0083753D" w:rsidRPr="00BD54D8">
        <w:rPr>
          <w:rFonts w:ascii="Times New Roman" w:eastAsia="Times New Roman" w:hAnsi="Times New Roman" w:cs="Times New Roman"/>
          <w:strike/>
          <w:color w:val="000000" w:themeColor="text1"/>
        </w:rPr>
        <w:t xml:space="preserve">, </w:t>
      </w:r>
      <w:r w:rsidR="00776DDF" w:rsidRPr="00BD54D8">
        <w:rPr>
          <w:rFonts w:ascii="Times New Roman" w:eastAsia="Times New Roman" w:hAnsi="Times New Roman" w:cs="Times New Roman"/>
          <w:strike/>
          <w:color w:val="000000" w:themeColor="text1"/>
        </w:rPr>
        <w:t xml:space="preserve">recante </w:t>
      </w:r>
      <w:r w:rsidR="005173E5" w:rsidRPr="00BD54D8">
        <w:rPr>
          <w:rFonts w:ascii="Times New Roman" w:hAnsi="Times New Roman" w:cs="Times New Roman"/>
          <w:b/>
          <w:bCs/>
          <w:strike/>
          <w:color w:val="000000" w:themeColor="text1"/>
        </w:rPr>
        <w:t>“«</w:t>
      </w:r>
      <w:r w:rsidR="0083753D" w:rsidRPr="00BD54D8">
        <w:rPr>
          <w:rFonts w:ascii="Times New Roman" w:eastAsia="Times New Roman" w:hAnsi="Times New Roman" w:cs="Times New Roman"/>
          <w:strike/>
          <w:color w:val="000000" w:themeColor="text1"/>
        </w:rPr>
        <w:t>Regolamento concernente gli appalti pubblici di lavori riguardanti i beni culturali tutelati ai sensi del decreto legislativo 22 gennaio 2004, n. 42</w:t>
      </w:r>
      <w:r w:rsidR="005173E5" w:rsidRPr="00BD54D8">
        <w:rPr>
          <w:rFonts w:ascii="Times New Roman" w:hAnsi="Times New Roman" w:cs="Times New Roman"/>
          <w:b/>
          <w:bCs/>
          <w:strike/>
          <w:color w:val="000000" w:themeColor="text1"/>
        </w:rPr>
        <w:t>»”</w:t>
      </w:r>
      <w:r w:rsidR="0083753D" w:rsidRPr="00BD54D8">
        <w:rPr>
          <w:rFonts w:ascii="Times New Roman" w:eastAsia="Verdana" w:hAnsi="Times New Roman" w:cs="Times New Roman"/>
          <w:color w:val="000000" w:themeColor="text1"/>
        </w:rPr>
        <w:t>;</w:t>
      </w:r>
    </w:p>
    <w:p w14:paraId="232F9672" w14:textId="1A1FF0AB" w:rsidR="0083753D" w:rsidRPr="00BD54D8" w:rsidRDefault="00687805" w:rsidP="00854345">
      <w:pPr>
        <w:tabs>
          <w:tab w:val="left" w:pos="851"/>
        </w:tabs>
        <w:jc w:val="both"/>
        <w:rPr>
          <w:rFonts w:ascii="Times New Roman" w:eastAsia="Times New Roman" w:hAnsi="Times New Roman" w:cs="Times New Roman"/>
          <w:bCs/>
          <w:color w:val="000000" w:themeColor="text1"/>
        </w:rPr>
      </w:pPr>
      <w:r w:rsidRPr="00BD54D8">
        <w:rPr>
          <w:rFonts w:ascii="Times New Roman" w:eastAsia="Times New Roman" w:hAnsi="Times New Roman" w:cs="Times New Roman"/>
          <w:color w:val="000000" w:themeColor="text1"/>
        </w:rPr>
        <w:t>g</w:t>
      </w:r>
      <w:r w:rsidR="0083753D" w:rsidRPr="00BD54D8">
        <w:rPr>
          <w:rFonts w:ascii="Times New Roman" w:eastAsia="Times New Roman" w:hAnsi="Times New Roman" w:cs="Times New Roman"/>
          <w:color w:val="000000" w:themeColor="text1"/>
        </w:rPr>
        <w:t xml:space="preserve">) il decreto del Ministro dell’economia e delle finanze </w:t>
      </w:r>
      <w:r w:rsidR="0083753D" w:rsidRPr="00BD54D8">
        <w:rPr>
          <w:rFonts w:ascii="Times New Roman" w:eastAsia="Times New Roman" w:hAnsi="Times New Roman" w:cs="Times New Roman"/>
          <w:b/>
          <w:bCs/>
          <w:strike/>
          <w:color w:val="000000" w:themeColor="text1"/>
        </w:rPr>
        <w:t xml:space="preserve">del </w:t>
      </w:r>
      <w:r w:rsidR="0083753D" w:rsidRPr="00BD54D8">
        <w:rPr>
          <w:rFonts w:ascii="Times New Roman" w:eastAsia="Times New Roman" w:hAnsi="Times New Roman" w:cs="Times New Roman"/>
          <w:color w:val="000000" w:themeColor="text1"/>
        </w:rPr>
        <w:t xml:space="preserve">28 settembre 2022, </w:t>
      </w:r>
      <w:r w:rsidR="0032220E" w:rsidRPr="00BD54D8">
        <w:rPr>
          <w:rFonts w:ascii="Times New Roman" w:eastAsia="Times New Roman" w:hAnsi="Times New Roman" w:cs="Times New Roman"/>
          <w:strike/>
          <w:color w:val="000000" w:themeColor="text1"/>
        </w:rPr>
        <w:t xml:space="preserve">recante </w:t>
      </w:r>
      <w:r w:rsidR="005173E5" w:rsidRPr="00BD54D8">
        <w:rPr>
          <w:rFonts w:ascii="Times New Roman" w:hAnsi="Times New Roman" w:cs="Times New Roman"/>
          <w:b/>
          <w:bCs/>
          <w:strike/>
          <w:color w:val="000000" w:themeColor="text1"/>
        </w:rPr>
        <w:t>“«</w:t>
      </w:r>
      <w:r w:rsidR="0083753D" w:rsidRPr="00BD54D8">
        <w:rPr>
          <w:rFonts w:ascii="Times New Roman" w:eastAsia="Times New Roman" w:hAnsi="Times New Roman" w:cs="Times New Roman"/>
          <w:strike/>
          <w:color w:val="000000" w:themeColor="text1"/>
        </w:rPr>
        <w:t>Disposizioni in materia di possibile esclusione dell'operatore economico dalla partecipazione a una procedura d'appalto per gravi violazioni in materia fiscale non definitivamente accertate</w:t>
      </w:r>
      <w:r w:rsidR="005173E5" w:rsidRPr="00BD54D8">
        <w:rPr>
          <w:rFonts w:ascii="Times New Roman" w:hAnsi="Times New Roman" w:cs="Times New Roman"/>
          <w:b/>
          <w:bCs/>
          <w:strike/>
          <w:color w:val="000000" w:themeColor="text1"/>
        </w:rPr>
        <w:t>»”</w:t>
      </w:r>
      <w:r w:rsidR="00854345" w:rsidRPr="00BD54D8">
        <w:rPr>
          <w:rFonts w:ascii="Times New Roman" w:eastAsia="Times New Roman" w:hAnsi="Times New Roman" w:cs="Times New Roman"/>
          <w:strike/>
          <w:color w:val="000000" w:themeColor="text1"/>
        </w:rPr>
        <w:t>,</w:t>
      </w:r>
      <w:r w:rsidR="00854345" w:rsidRPr="00BD54D8">
        <w:rPr>
          <w:rFonts w:ascii="Times New Roman" w:eastAsia="Times New Roman" w:hAnsi="Times New Roman" w:cs="Times New Roman"/>
          <w:color w:val="000000" w:themeColor="text1"/>
        </w:rPr>
        <w:t xml:space="preserve"> </w:t>
      </w:r>
      <w:r w:rsidR="00854345" w:rsidRPr="00BD54D8">
        <w:rPr>
          <w:rFonts w:ascii="Times New Roman" w:eastAsia="Times New Roman" w:hAnsi="Times New Roman" w:cs="Times New Roman"/>
          <w:bCs/>
          <w:color w:val="000000" w:themeColor="text1"/>
        </w:rPr>
        <w:t>pubblicato nella Gazzetta Ufficiale della Repubblica italiana n. 239 del 12 ottobre 2022</w:t>
      </w:r>
      <w:r w:rsidR="0083753D" w:rsidRPr="00BD54D8">
        <w:rPr>
          <w:rFonts w:ascii="Times New Roman" w:eastAsia="Times New Roman" w:hAnsi="Times New Roman" w:cs="Times New Roman"/>
          <w:bCs/>
          <w:color w:val="000000" w:themeColor="text1"/>
        </w:rPr>
        <w:t>.</w:t>
      </w:r>
    </w:p>
    <w:p w14:paraId="067C32A0" w14:textId="77777777" w:rsidR="009F38C0" w:rsidRDefault="009F38C0" w:rsidP="009F38C0">
      <w:pPr>
        <w:tabs>
          <w:tab w:val="left" w:pos="851"/>
        </w:tabs>
        <w:jc w:val="both"/>
        <w:rPr>
          <w:rFonts w:ascii="Times New Roman" w:hAnsi="Times New Roman" w:cs="Times New Roman"/>
          <w:b/>
          <w:color w:val="000000" w:themeColor="text1"/>
        </w:rPr>
      </w:pPr>
      <w:r w:rsidRPr="00D70E03">
        <w:rPr>
          <w:rFonts w:ascii="Times New Roman" w:hAnsi="Times New Roman" w:cs="Times New Roman"/>
          <w:b/>
          <w:color w:val="000000" w:themeColor="text1"/>
        </w:rPr>
        <w:t xml:space="preserve">4. </w:t>
      </w:r>
      <w:r w:rsidRPr="00D70E03">
        <w:rPr>
          <w:rFonts w:ascii="Times New Roman" w:eastAsia="Times New Roman" w:hAnsi="Times New Roman" w:cs="Times New Roman"/>
          <w:b/>
          <w:bCs/>
          <w:color w:val="000000" w:themeColor="text1"/>
        </w:rPr>
        <w:t xml:space="preserve">Fermo restando quanto previsto dall'articolo 225, è </w:t>
      </w:r>
      <w:r w:rsidRPr="00D70E03">
        <w:rPr>
          <w:rFonts w:ascii="Times New Roman" w:hAnsi="Times New Roman" w:cs="Times New Roman"/>
          <w:b/>
          <w:bCs/>
          <w:color w:val="000000" w:themeColor="text1"/>
        </w:rPr>
        <w:t>abrogato dal 1° gennaio 2024</w:t>
      </w:r>
      <w:r w:rsidRPr="00D70E03">
        <w:rPr>
          <w:rFonts w:ascii="Times New Roman" w:hAnsi="Times New Roman" w:cs="Times New Roman"/>
          <w:color w:val="000000" w:themeColor="text1"/>
        </w:rPr>
        <w:t xml:space="preserve"> </w:t>
      </w:r>
      <w:r w:rsidRPr="00D70E03">
        <w:rPr>
          <w:rFonts w:ascii="Times New Roman" w:hAnsi="Times New Roman" w:cs="Times New Roman"/>
          <w:b/>
          <w:color w:val="000000" w:themeColor="text1"/>
        </w:rPr>
        <w:t>il decreto del Ministro delle infrastrutture e dei trasporti 2 dicembre 2016.</w:t>
      </w:r>
    </w:p>
    <w:p w14:paraId="1FD5DE67" w14:textId="6D370F6A" w:rsidR="0083753D" w:rsidRPr="00BD54D8" w:rsidRDefault="00D70E03" w:rsidP="0083753D">
      <w:pPr>
        <w:pStyle w:val="Paragrafoelenco"/>
        <w:tabs>
          <w:tab w:val="left" w:pos="851"/>
        </w:tabs>
        <w:ind w:left="0"/>
        <w:jc w:val="both"/>
        <w:rPr>
          <w:rFonts w:ascii="Times New Roman" w:hAnsi="Times New Roman" w:cs="Times New Roman"/>
          <w:color w:val="000000" w:themeColor="text1"/>
        </w:rPr>
      </w:pPr>
      <w:r>
        <w:rPr>
          <w:rFonts w:ascii="Times New Roman" w:hAnsi="Times New Roman" w:cs="Times New Roman"/>
          <w:color w:val="000000" w:themeColor="text1"/>
        </w:rPr>
        <w:t>5</w:t>
      </w:r>
      <w:r w:rsidR="0083753D" w:rsidRPr="00BD54D8">
        <w:rPr>
          <w:rFonts w:ascii="Times New Roman" w:hAnsi="Times New Roman" w:cs="Times New Roman"/>
          <w:color w:val="000000" w:themeColor="text1"/>
        </w:rPr>
        <w:t>. Ogni richiamo in disposizioni legislative, regolamentari o amministrative vigenti al decreto legislativo 18 aprile 2016, n. 50, o al codice dei contratti pubblici vigente alla data di entrata in vigore del codice, si intende riferito alle corrispondenti disposizioni del codice o, in mancanza, ai principi desumibili dal codice stesso.</w:t>
      </w:r>
    </w:p>
    <w:p w14:paraId="071414C3" w14:textId="77777777" w:rsidR="008D4109" w:rsidRPr="00BD54D8" w:rsidRDefault="008D4109" w:rsidP="0083753D">
      <w:pPr>
        <w:pStyle w:val="Paragrafoelenco"/>
        <w:tabs>
          <w:tab w:val="left" w:pos="851"/>
        </w:tabs>
        <w:ind w:left="0"/>
        <w:jc w:val="both"/>
        <w:rPr>
          <w:rFonts w:ascii="Times New Roman" w:hAnsi="Times New Roman" w:cs="Times New Roman"/>
          <w:color w:val="000000" w:themeColor="text1"/>
        </w:rPr>
      </w:pPr>
    </w:p>
    <w:p w14:paraId="10CF3233" w14:textId="77777777" w:rsidR="00E4542D" w:rsidRPr="00BD54D8" w:rsidRDefault="00E4542D" w:rsidP="0083753D">
      <w:pPr>
        <w:jc w:val="both"/>
        <w:rPr>
          <w:rFonts w:ascii="Times New Roman" w:eastAsia="Times New Roman" w:hAnsi="Times New Roman" w:cs="Times New Roman"/>
          <w:b/>
          <w:bCs/>
          <w:color w:val="000000" w:themeColor="text1"/>
        </w:rPr>
      </w:pPr>
    </w:p>
    <w:p w14:paraId="793C9A08" w14:textId="4121683C" w:rsidR="0083753D" w:rsidRPr="00BD54D8" w:rsidRDefault="0083753D" w:rsidP="0083753D">
      <w:pPr>
        <w:jc w:val="both"/>
        <w:rPr>
          <w:rFonts w:ascii="Times New Roman" w:eastAsia="Times New Roman" w:hAnsi="Times New Roman" w:cs="Times New Roman"/>
          <w:b/>
          <w:bCs/>
          <w:i/>
          <w:iCs/>
          <w:color w:val="000000" w:themeColor="text1"/>
        </w:rPr>
      </w:pPr>
      <w:r w:rsidRPr="00BD54D8">
        <w:rPr>
          <w:rFonts w:ascii="Times New Roman" w:eastAsia="Times New Roman" w:hAnsi="Times New Roman" w:cs="Times New Roman"/>
          <w:b/>
          <w:bCs/>
          <w:color w:val="000000" w:themeColor="text1"/>
        </w:rPr>
        <w:t>Articolo 22</w:t>
      </w:r>
      <w:r w:rsidR="00E4542D" w:rsidRPr="00BD54D8">
        <w:rPr>
          <w:rFonts w:ascii="Times New Roman" w:eastAsia="Times New Roman" w:hAnsi="Times New Roman" w:cs="Times New Roman"/>
          <w:b/>
          <w:bCs/>
          <w:color w:val="000000" w:themeColor="text1"/>
        </w:rPr>
        <w:t>7</w:t>
      </w:r>
      <w:r w:rsidRPr="00BD54D8">
        <w:rPr>
          <w:rFonts w:ascii="Times New Roman" w:eastAsia="Times New Roman" w:hAnsi="Times New Roman" w:cs="Times New Roman"/>
          <w:b/>
          <w:bCs/>
          <w:color w:val="000000" w:themeColor="text1"/>
        </w:rPr>
        <w:t>.</w:t>
      </w:r>
    </w:p>
    <w:p w14:paraId="48F0CDF1" w14:textId="77777777" w:rsidR="0083753D" w:rsidRPr="00BD54D8" w:rsidRDefault="0083753D" w:rsidP="0083753D">
      <w:pPr>
        <w:jc w:val="both"/>
        <w:rPr>
          <w:rFonts w:ascii="Times New Roman" w:eastAsia="Times New Roman" w:hAnsi="Times New Roman" w:cs="Times New Roman"/>
          <w:i/>
          <w:color w:val="000000" w:themeColor="text1"/>
        </w:rPr>
      </w:pPr>
      <w:r w:rsidRPr="00BD54D8">
        <w:rPr>
          <w:rStyle w:val="Hyperlink0"/>
          <w:rFonts w:ascii="Times New Roman" w:hAnsi="Times New Roman" w:cs="Times New Roman"/>
          <w:i/>
          <w:color w:val="000000" w:themeColor="text1"/>
        </w:rPr>
        <w:t>Aggiornamenti.</w:t>
      </w:r>
    </w:p>
    <w:p w14:paraId="75A8667A" w14:textId="77777777" w:rsidR="0083753D" w:rsidRPr="00BD54D8" w:rsidRDefault="0083753D" w:rsidP="0083753D">
      <w:pPr>
        <w:pStyle w:val="Paragrafoelenco"/>
        <w:tabs>
          <w:tab w:val="left" w:pos="851"/>
        </w:tabs>
        <w:ind w:left="0"/>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 xml:space="preserve">1. Ogni intervento normativo incidente </w:t>
      </w:r>
      <w:r w:rsidRPr="00BD54D8">
        <w:rPr>
          <w:rFonts w:ascii="Times New Roman" w:eastAsia="Times New Roman" w:hAnsi="Times New Roman" w:cs="Times New Roman"/>
          <w:bCs/>
          <w:color w:val="000000" w:themeColor="text1"/>
        </w:rPr>
        <w:t>sulle disposizioni del</w:t>
      </w:r>
      <w:r w:rsidRPr="00BD54D8">
        <w:rPr>
          <w:rFonts w:ascii="Times New Roman" w:eastAsia="Times New Roman" w:hAnsi="Times New Roman" w:cs="Times New Roman"/>
          <w:color w:val="000000" w:themeColor="text1"/>
        </w:rPr>
        <w:t xml:space="preserve"> codice </w:t>
      </w:r>
      <w:r w:rsidRPr="00BD54D8">
        <w:rPr>
          <w:rFonts w:ascii="Times New Roman" w:eastAsia="Times New Roman" w:hAnsi="Times New Roman" w:cs="Times New Roman"/>
          <w:bCs/>
          <w:color w:val="000000" w:themeColor="text1"/>
        </w:rPr>
        <w:t>e dei suoi allegati</w:t>
      </w:r>
      <w:r w:rsidRPr="00BD54D8">
        <w:rPr>
          <w:rFonts w:ascii="Times New Roman" w:eastAsia="Times New Roman" w:hAnsi="Times New Roman" w:cs="Times New Roman"/>
          <w:color w:val="000000" w:themeColor="text1"/>
        </w:rPr>
        <w:t xml:space="preserve">, </w:t>
      </w:r>
      <w:r w:rsidRPr="00BD54D8">
        <w:rPr>
          <w:rFonts w:ascii="Times New Roman" w:eastAsia="Times New Roman" w:hAnsi="Times New Roman" w:cs="Times New Roman"/>
          <w:bCs/>
          <w:color w:val="000000" w:themeColor="text1"/>
        </w:rPr>
        <w:t>o sulle materie dagli stessi disciplinate</w:t>
      </w:r>
      <w:r w:rsidRPr="00BD54D8">
        <w:rPr>
          <w:rFonts w:ascii="Times New Roman" w:eastAsia="Times New Roman" w:hAnsi="Times New Roman" w:cs="Times New Roman"/>
          <w:color w:val="000000" w:themeColor="text1"/>
        </w:rPr>
        <w:t xml:space="preserve">, è attuato mediante esplicita modifica, integrazione, deroga o sospensione delle specifiche disposizioni in </w:t>
      </w:r>
      <w:r w:rsidRPr="00BD54D8">
        <w:rPr>
          <w:rFonts w:ascii="Times New Roman" w:eastAsia="Times New Roman" w:hAnsi="Times New Roman" w:cs="Times New Roman"/>
          <w:bCs/>
          <w:color w:val="000000" w:themeColor="text1"/>
        </w:rPr>
        <w:t>essi</w:t>
      </w:r>
      <w:r w:rsidRPr="00BD54D8">
        <w:rPr>
          <w:rFonts w:ascii="Times New Roman" w:eastAsia="Times New Roman" w:hAnsi="Times New Roman" w:cs="Times New Roman"/>
          <w:color w:val="000000" w:themeColor="text1"/>
        </w:rPr>
        <w:t xml:space="preserve"> contenute.</w:t>
      </w:r>
    </w:p>
    <w:p w14:paraId="781DF2CB" w14:textId="77777777" w:rsidR="0083753D" w:rsidRPr="00BD54D8" w:rsidRDefault="0083753D" w:rsidP="0083753D">
      <w:pPr>
        <w:jc w:val="both"/>
        <w:rPr>
          <w:rFonts w:ascii="Times New Roman" w:eastAsia="Calibri" w:hAnsi="Times New Roman" w:cs="Times New Roman"/>
          <w:b/>
          <w:bCs/>
          <w:color w:val="000000" w:themeColor="text1"/>
        </w:rPr>
      </w:pPr>
    </w:p>
    <w:p w14:paraId="3BD7E8C1" w14:textId="2935069F" w:rsidR="00C87027" w:rsidRPr="00BD54D8" w:rsidRDefault="00C87027" w:rsidP="00C87027">
      <w:pPr>
        <w:jc w:val="both"/>
        <w:rPr>
          <w:rFonts w:ascii="Times New Roman" w:eastAsia="Times New Roman" w:hAnsi="Times New Roman" w:cs="Times New Roman"/>
          <w:b/>
          <w:bCs/>
          <w:i/>
          <w:iCs/>
          <w:color w:val="000000" w:themeColor="text1"/>
        </w:rPr>
      </w:pPr>
      <w:r w:rsidRPr="00BD54D8">
        <w:rPr>
          <w:rFonts w:ascii="Times New Roman" w:eastAsia="Times New Roman" w:hAnsi="Times New Roman" w:cs="Times New Roman"/>
          <w:b/>
          <w:bCs/>
          <w:color w:val="000000" w:themeColor="text1"/>
        </w:rPr>
        <w:t>Articolo 228.</w:t>
      </w:r>
    </w:p>
    <w:p w14:paraId="77C7821F" w14:textId="1FF7B769" w:rsidR="00C87027" w:rsidRPr="00BD54D8" w:rsidRDefault="00C87027" w:rsidP="0083753D">
      <w:pPr>
        <w:jc w:val="both"/>
        <w:rPr>
          <w:rStyle w:val="Hyperlink0"/>
          <w:rFonts w:ascii="Times New Roman" w:hAnsi="Times New Roman" w:cs="Times New Roman"/>
          <w:i/>
          <w:color w:val="000000" w:themeColor="text1"/>
        </w:rPr>
      </w:pPr>
      <w:r w:rsidRPr="00BD54D8">
        <w:rPr>
          <w:rStyle w:val="Hyperlink0"/>
          <w:rFonts w:ascii="Times New Roman" w:hAnsi="Times New Roman" w:cs="Times New Roman"/>
          <w:i/>
          <w:color w:val="000000" w:themeColor="text1"/>
        </w:rPr>
        <w:t>Clausola di invarianza finanziaria</w:t>
      </w:r>
      <w:r w:rsidR="00F170DC" w:rsidRPr="00BD54D8">
        <w:rPr>
          <w:rStyle w:val="Hyperlink0"/>
          <w:rFonts w:ascii="Times New Roman" w:hAnsi="Times New Roman" w:cs="Times New Roman"/>
          <w:i/>
          <w:color w:val="000000" w:themeColor="text1"/>
        </w:rPr>
        <w:t>.</w:t>
      </w:r>
    </w:p>
    <w:p w14:paraId="1451C8F0" w14:textId="2437D4A0" w:rsidR="00C87027" w:rsidRPr="00BD54D8" w:rsidRDefault="00C87027" w:rsidP="00C87027">
      <w:pPr>
        <w:pStyle w:val="Paragrafoelenco"/>
        <w:tabs>
          <w:tab w:val="left" w:pos="851"/>
        </w:tabs>
        <w:ind w:left="0"/>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 xml:space="preserve">1. Dall'attuazione del presente codice </w:t>
      </w:r>
      <w:r w:rsidR="00690748" w:rsidRPr="00BD54D8">
        <w:rPr>
          <w:rFonts w:ascii="Times New Roman" w:eastAsia="Times New Roman" w:hAnsi="Times New Roman" w:cs="Times New Roman"/>
          <w:b/>
          <w:bCs/>
          <w:color w:val="000000" w:themeColor="text1"/>
        </w:rPr>
        <w:t xml:space="preserve">e dei suoi allegati </w:t>
      </w:r>
      <w:r w:rsidRPr="00BD54D8">
        <w:rPr>
          <w:rFonts w:ascii="Times New Roman" w:eastAsia="Times New Roman" w:hAnsi="Times New Roman" w:cs="Times New Roman"/>
          <w:color w:val="000000" w:themeColor="text1"/>
        </w:rPr>
        <w:t xml:space="preserve">non </w:t>
      </w:r>
      <w:r w:rsidRPr="00BD54D8">
        <w:rPr>
          <w:rFonts w:ascii="Times New Roman" w:eastAsia="Times New Roman" w:hAnsi="Times New Roman" w:cs="Times New Roman"/>
          <w:b/>
          <w:bCs/>
          <w:strike/>
          <w:color w:val="000000" w:themeColor="text1"/>
        </w:rPr>
        <w:t>deriva</w:t>
      </w:r>
      <w:r w:rsidR="006A2F0D" w:rsidRPr="00BD54D8">
        <w:rPr>
          <w:rFonts w:ascii="Times New Roman" w:eastAsia="Times New Roman" w:hAnsi="Times New Roman" w:cs="Times New Roman"/>
          <w:b/>
          <w:bCs/>
          <w:strike/>
          <w:color w:val="000000" w:themeColor="text1"/>
        </w:rPr>
        <w:t>no</w:t>
      </w:r>
      <w:r w:rsidRPr="00BD54D8">
        <w:rPr>
          <w:rFonts w:ascii="Times New Roman" w:eastAsia="Times New Roman" w:hAnsi="Times New Roman" w:cs="Times New Roman"/>
          <w:color w:val="000000" w:themeColor="text1"/>
        </w:rPr>
        <w:t xml:space="preserve"> </w:t>
      </w:r>
      <w:r w:rsidR="00690748" w:rsidRPr="00BD54D8">
        <w:rPr>
          <w:rFonts w:ascii="Times New Roman" w:eastAsia="Times New Roman" w:hAnsi="Times New Roman" w:cs="Times New Roman"/>
          <w:b/>
          <w:bCs/>
          <w:color w:val="000000" w:themeColor="text1"/>
        </w:rPr>
        <w:t xml:space="preserve">devono derivare </w:t>
      </w:r>
      <w:r w:rsidRPr="00BD54D8">
        <w:rPr>
          <w:rFonts w:ascii="Times New Roman" w:eastAsia="Times New Roman" w:hAnsi="Times New Roman" w:cs="Times New Roman"/>
          <w:color w:val="000000" w:themeColor="text1"/>
        </w:rPr>
        <w:t>nuovi o maggiori oneri a carico della finanza pubblica.</w:t>
      </w:r>
    </w:p>
    <w:p w14:paraId="20966792" w14:textId="38F54C05" w:rsidR="00C87027" w:rsidRPr="00BD54D8" w:rsidRDefault="00C87027" w:rsidP="00C87027">
      <w:pPr>
        <w:pStyle w:val="Paragrafoelenco"/>
        <w:tabs>
          <w:tab w:val="left" w:pos="851"/>
        </w:tabs>
        <w:ind w:left="0"/>
        <w:jc w:val="both"/>
        <w:rPr>
          <w:rFonts w:ascii="Times New Roman" w:eastAsia="Times New Roman" w:hAnsi="Times New Roman" w:cs="Times New Roman"/>
          <w:color w:val="000000" w:themeColor="text1"/>
        </w:rPr>
      </w:pPr>
      <w:r w:rsidRPr="00BD54D8">
        <w:rPr>
          <w:rFonts w:ascii="Times New Roman" w:eastAsia="Times New Roman" w:hAnsi="Times New Roman" w:cs="Times New Roman"/>
          <w:color w:val="000000" w:themeColor="text1"/>
        </w:rPr>
        <w:t>2. Le amministrazioni interessate provvedono agli adempimenti previsti dal presente codice</w:t>
      </w:r>
      <w:r w:rsidR="008346DE" w:rsidRPr="00BD54D8">
        <w:rPr>
          <w:rFonts w:ascii="Times New Roman" w:eastAsia="Times New Roman" w:hAnsi="Times New Roman" w:cs="Times New Roman"/>
          <w:color w:val="000000" w:themeColor="text1"/>
        </w:rPr>
        <w:t xml:space="preserve"> </w:t>
      </w:r>
      <w:r w:rsidR="008346DE" w:rsidRPr="00BD54D8">
        <w:rPr>
          <w:rFonts w:ascii="Times New Roman" w:eastAsia="Times New Roman" w:hAnsi="Times New Roman" w:cs="Times New Roman"/>
          <w:b/>
          <w:bCs/>
          <w:color w:val="000000" w:themeColor="text1"/>
        </w:rPr>
        <w:t xml:space="preserve">e dai suoi allegati </w:t>
      </w:r>
      <w:r w:rsidRPr="00BD54D8">
        <w:rPr>
          <w:rFonts w:ascii="Times New Roman" w:eastAsia="Times New Roman" w:hAnsi="Times New Roman" w:cs="Times New Roman"/>
          <w:color w:val="000000" w:themeColor="text1"/>
        </w:rPr>
        <w:t>con le risorse umane, strumentali e finanziarie disponibili a legislazione vigente.</w:t>
      </w:r>
    </w:p>
    <w:p w14:paraId="4CD829D6" w14:textId="77777777" w:rsidR="00C87027" w:rsidRPr="00BD54D8" w:rsidRDefault="00C87027" w:rsidP="0083753D">
      <w:pPr>
        <w:jc w:val="both"/>
        <w:rPr>
          <w:rStyle w:val="Hyperlink0"/>
          <w:rFonts w:ascii="Times New Roman" w:hAnsi="Times New Roman" w:cs="Times New Roman"/>
          <w:iCs/>
          <w:color w:val="000000" w:themeColor="text1"/>
        </w:rPr>
      </w:pPr>
    </w:p>
    <w:p w14:paraId="72E79C3C" w14:textId="620F41CE" w:rsidR="0083753D" w:rsidRPr="00BD54D8" w:rsidRDefault="0083753D" w:rsidP="0083753D">
      <w:pPr>
        <w:jc w:val="both"/>
        <w:rPr>
          <w:rFonts w:ascii="Times New Roman" w:eastAsia="Times New Roman" w:hAnsi="Times New Roman" w:cs="Times New Roman"/>
          <w:b/>
          <w:bCs/>
          <w:i/>
          <w:iCs/>
          <w:color w:val="000000" w:themeColor="text1"/>
        </w:rPr>
      </w:pPr>
      <w:r w:rsidRPr="00BD54D8">
        <w:rPr>
          <w:rFonts w:ascii="Times New Roman" w:eastAsia="Times New Roman" w:hAnsi="Times New Roman" w:cs="Times New Roman"/>
          <w:b/>
          <w:bCs/>
          <w:color w:val="000000" w:themeColor="text1"/>
        </w:rPr>
        <w:t>Articolo 22</w:t>
      </w:r>
      <w:r w:rsidR="00C87027" w:rsidRPr="00BD54D8">
        <w:rPr>
          <w:rFonts w:ascii="Times New Roman" w:eastAsia="Times New Roman" w:hAnsi="Times New Roman" w:cs="Times New Roman"/>
          <w:b/>
          <w:bCs/>
          <w:color w:val="000000" w:themeColor="text1"/>
        </w:rPr>
        <w:t>9</w:t>
      </w:r>
      <w:r w:rsidRPr="00BD54D8">
        <w:rPr>
          <w:rFonts w:ascii="Times New Roman" w:eastAsia="Times New Roman" w:hAnsi="Times New Roman" w:cs="Times New Roman"/>
          <w:b/>
          <w:bCs/>
          <w:color w:val="000000" w:themeColor="text1"/>
        </w:rPr>
        <w:t>.</w:t>
      </w:r>
    </w:p>
    <w:p w14:paraId="3CC0F8EA" w14:textId="77777777" w:rsidR="0083753D" w:rsidRPr="00BD54D8" w:rsidRDefault="0083753D" w:rsidP="0083753D">
      <w:pPr>
        <w:jc w:val="both"/>
        <w:rPr>
          <w:rFonts w:ascii="Times New Roman" w:eastAsia="Times New Roman" w:hAnsi="Times New Roman" w:cs="Times New Roman"/>
          <w:i/>
          <w:color w:val="000000" w:themeColor="text1"/>
        </w:rPr>
      </w:pPr>
      <w:r w:rsidRPr="00BD54D8">
        <w:rPr>
          <w:rStyle w:val="Hyperlink0"/>
          <w:rFonts w:ascii="Times New Roman" w:hAnsi="Times New Roman" w:cs="Times New Roman"/>
          <w:i/>
          <w:color w:val="000000" w:themeColor="text1"/>
        </w:rPr>
        <w:t>Entrata in vigore.</w:t>
      </w:r>
    </w:p>
    <w:p w14:paraId="751ABF92" w14:textId="77777777" w:rsidR="0083753D" w:rsidRPr="00BD54D8" w:rsidRDefault="0083753D" w:rsidP="0083753D">
      <w:pPr>
        <w:tabs>
          <w:tab w:val="left" w:pos="851"/>
        </w:tabs>
        <w:jc w:val="both"/>
        <w:rPr>
          <w:rFonts w:ascii="Times New Roman" w:hAnsi="Times New Roman" w:cs="Times New Roman"/>
          <w:color w:val="000000" w:themeColor="text1"/>
        </w:rPr>
      </w:pPr>
      <w:r w:rsidRPr="00BD54D8">
        <w:rPr>
          <w:rFonts w:ascii="Times New Roman" w:hAnsi="Times New Roman" w:cs="Times New Roman"/>
          <w:color w:val="000000" w:themeColor="text1"/>
        </w:rPr>
        <w:t xml:space="preserve">1. Il codice entra in vigore, </w:t>
      </w:r>
      <w:r w:rsidRPr="00BD54D8">
        <w:rPr>
          <w:rFonts w:ascii="Times New Roman" w:hAnsi="Times New Roman" w:cs="Times New Roman"/>
          <w:bCs/>
          <w:color w:val="000000" w:themeColor="text1"/>
        </w:rPr>
        <w:t>con i relativi allegati</w:t>
      </w:r>
      <w:r w:rsidRPr="00BD54D8">
        <w:rPr>
          <w:rFonts w:ascii="Times New Roman" w:hAnsi="Times New Roman" w:cs="Times New Roman"/>
          <w:color w:val="000000" w:themeColor="text1"/>
        </w:rPr>
        <w:t xml:space="preserve">, </w:t>
      </w:r>
      <w:r w:rsidRPr="00BD54D8">
        <w:rPr>
          <w:rFonts w:ascii="Times New Roman" w:hAnsi="Times New Roman" w:cs="Times New Roman"/>
          <w:bCs/>
          <w:color w:val="000000" w:themeColor="text1"/>
        </w:rPr>
        <w:t>il 1° aprile 2023.</w:t>
      </w:r>
    </w:p>
    <w:p w14:paraId="285686E8" w14:textId="469317D2" w:rsidR="00595A15" w:rsidRPr="00BD54D8" w:rsidRDefault="0083753D" w:rsidP="0083753D">
      <w:pPr>
        <w:pStyle w:val="Paragrafoelenco"/>
        <w:tabs>
          <w:tab w:val="left" w:pos="851"/>
        </w:tabs>
        <w:ind w:left="0"/>
        <w:jc w:val="both"/>
        <w:rPr>
          <w:rFonts w:ascii="Times New Roman" w:hAnsi="Times New Roman" w:cs="Times New Roman"/>
          <w:bCs/>
          <w:color w:val="000000" w:themeColor="text1"/>
        </w:rPr>
      </w:pPr>
      <w:r w:rsidRPr="00BD54D8">
        <w:rPr>
          <w:rFonts w:ascii="Times New Roman" w:hAnsi="Times New Roman" w:cs="Times New Roman"/>
          <w:bCs/>
          <w:color w:val="000000" w:themeColor="text1"/>
        </w:rPr>
        <w:t xml:space="preserve">2. Le disposizioni del codice, con i relativi allegati, </w:t>
      </w:r>
      <w:r w:rsidRPr="00BD54D8">
        <w:rPr>
          <w:rFonts w:ascii="Times New Roman" w:hAnsi="Times New Roman" w:cs="Times New Roman"/>
          <w:b/>
          <w:strike/>
          <w:color w:val="000000" w:themeColor="text1"/>
        </w:rPr>
        <w:t>eventualmente già sostituiti o modificati ai sensi delle relative disposizioni</w:t>
      </w:r>
      <w:r w:rsidRPr="00BD54D8">
        <w:rPr>
          <w:rFonts w:ascii="Times New Roman" w:hAnsi="Times New Roman" w:cs="Times New Roman"/>
          <w:bCs/>
          <w:color w:val="000000" w:themeColor="text1"/>
        </w:rPr>
        <w:t>, acquistano efficacia il 1° luglio 2023.</w:t>
      </w:r>
    </w:p>
    <w:p w14:paraId="1405ABDB" w14:textId="77777777" w:rsidR="00595A15" w:rsidRPr="00BD54D8" w:rsidRDefault="00595A15">
      <w:pPr>
        <w:rPr>
          <w:rFonts w:ascii="Times New Roman" w:hAnsi="Times New Roman" w:cs="Times New Roman"/>
          <w:bCs/>
          <w:color w:val="000000" w:themeColor="text1"/>
        </w:rPr>
      </w:pPr>
      <w:r w:rsidRPr="00BD54D8">
        <w:rPr>
          <w:rFonts w:ascii="Times New Roman" w:hAnsi="Times New Roman" w:cs="Times New Roman"/>
          <w:bCs/>
          <w:color w:val="000000" w:themeColor="text1"/>
        </w:rPr>
        <w:br w:type="page"/>
      </w:r>
    </w:p>
    <w:p w14:paraId="7F39E4A1" w14:textId="389EBEDC" w:rsidR="0083753D" w:rsidRPr="004A5029" w:rsidRDefault="0083753D" w:rsidP="0083753D">
      <w:pPr>
        <w:pStyle w:val="Paragrafoelenco"/>
        <w:tabs>
          <w:tab w:val="left" w:pos="851"/>
        </w:tabs>
        <w:ind w:left="0"/>
        <w:jc w:val="both"/>
        <w:rPr>
          <w:rFonts w:ascii="Times New Roman" w:hAnsi="Times New Roman" w:cs="Times New Roman"/>
          <w:color w:val="000000" w:themeColor="text1"/>
        </w:rPr>
      </w:pPr>
      <w:r w:rsidRPr="00BD54D8">
        <w:rPr>
          <w:rFonts w:ascii="Times New Roman" w:hAnsi="Times New Roman" w:cs="Times New Roman"/>
          <w:color w:val="000000" w:themeColor="text1"/>
        </w:rPr>
        <w:t>Il presente decreto, munito del sigillo dello Stato, sarà inserito nella Raccolta ufficiale degli attivi normativi della Repubblica italiana. È fatto obbligo a chiunque spetti di osservarlo e di farlo osservare.</w:t>
      </w:r>
    </w:p>
    <w:p w14:paraId="3D0CD0A5" w14:textId="2FAD11CD" w:rsidR="00595A15" w:rsidRPr="004A5029" w:rsidRDefault="00595A15" w:rsidP="0083753D">
      <w:pPr>
        <w:pStyle w:val="Paragrafoelenco"/>
        <w:tabs>
          <w:tab w:val="left" w:pos="851"/>
        </w:tabs>
        <w:ind w:left="0"/>
        <w:jc w:val="both"/>
        <w:rPr>
          <w:rFonts w:ascii="Times New Roman" w:hAnsi="Times New Roman" w:cs="Times New Roman"/>
          <w:color w:val="000000" w:themeColor="text1"/>
        </w:rPr>
      </w:pPr>
    </w:p>
    <w:p w14:paraId="1D90A05E" w14:textId="50650725" w:rsidR="00595A15" w:rsidRPr="004A5029" w:rsidRDefault="00595A15" w:rsidP="0083753D">
      <w:pPr>
        <w:pStyle w:val="Paragrafoelenco"/>
        <w:tabs>
          <w:tab w:val="left" w:pos="851"/>
        </w:tabs>
        <w:ind w:left="0"/>
        <w:jc w:val="both"/>
        <w:rPr>
          <w:rFonts w:ascii="Times New Roman" w:hAnsi="Times New Roman" w:cs="Times New Roman"/>
          <w:color w:val="000000" w:themeColor="text1"/>
        </w:rPr>
      </w:pPr>
    </w:p>
    <w:p w14:paraId="4ECFFDD8" w14:textId="3E14040E" w:rsidR="00595A15" w:rsidRPr="004A5029" w:rsidRDefault="00595A15" w:rsidP="0083753D">
      <w:pPr>
        <w:pStyle w:val="Paragrafoelenco"/>
        <w:tabs>
          <w:tab w:val="left" w:pos="851"/>
        </w:tabs>
        <w:ind w:left="0"/>
        <w:jc w:val="both"/>
        <w:rPr>
          <w:rFonts w:ascii="Times New Roman" w:hAnsi="Times New Roman" w:cs="Times New Roman"/>
          <w:color w:val="000000" w:themeColor="text1"/>
        </w:rPr>
      </w:pPr>
      <w:r w:rsidRPr="004A5029">
        <w:rPr>
          <w:rFonts w:ascii="Times New Roman" w:hAnsi="Times New Roman" w:cs="Times New Roman"/>
          <w:color w:val="000000" w:themeColor="text1"/>
        </w:rPr>
        <w:t xml:space="preserve">Dato a </w:t>
      </w:r>
    </w:p>
    <w:p w14:paraId="7DB1D1D4" w14:textId="77777777" w:rsidR="0083753D" w:rsidRPr="004A5029" w:rsidRDefault="0083753D" w:rsidP="0083753D">
      <w:pPr>
        <w:rPr>
          <w:rFonts w:ascii="Times New Roman" w:hAnsi="Times New Roman" w:cs="Times New Roman"/>
          <w:color w:val="000000" w:themeColor="text1"/>
        </w:rPr>
      </w:pPr>
    </w:p>
    <w:p w14:paraId="0841E4F5" w14:textId="77777777" w:rsidR="00347515" w:rsidRPr="004A5029" w:rsidRDefault="00347515">
      <w:pPr>
        <w:rPr>
          <w:rFonts w:ascii="Times New Roman" w:hAnsi="Times New Roman" w:cs="Times New Roman"/>
          <w:color w:val="000000" w:themeColor="text1"/>
        </w:rPr>
      </w:pPr>
    </w:p>
    <w:sectPr w:rsidR="00347515" w:rsidRPr="004A5029">
      <w:headerReference w:type="even" r:id="rId50"/>
      <w:headerReference w:type="default" r:id="rId51"/>
      <w:footerReference w:type="even" r:id="rId52"/>
      <w:footerReference w:type="default" r:id="rId53"/>
      <w:headerReference w:type="first" r:id="rId54"/>
      <w:footerReference w:type="first" r:id="rId55"/>
      <w:footnotePr>
        <w:numRestart w:val="eachSect"/>
      </w:foot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8CE3F" w14:textId="77777777" w:rsidR="00B91122" w:rsidRDefault="00B91122">
      <w:pPr>
        <w:spacing w:after="0" w:line="240" w:lineRule="auto"/>
      </w:pPr>
      <w:r>
        <w:separator/>
      </w:r>
    </w:p>
  </w:endnote>
  <w:endnote w:type="continuationSeparator" w:id="0">
    <w:p w14:paraId="6CB0672C" w14:textId="77777777" w:rsidR="00B91122" w:rsidRDefault="00B91122">
      <w:pPr>
        <w:spacing w:after="0" w:line="240" w:lineRule="auto"/>
      </w:pPr>
      <w:r>
        <w:continuationSeparator/>
      </w:r>
    </w:p>
  </w:endnote>
  <w:endnote w:type="continuationNotice" w:id="1">
    <w:p w14:paraId="448AA2FA" w14:textId="77777777" w:rsidR="00B91122" w:rsidRDefault="00B911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Arial Narrow">
    <w:panose1 w:val="020B0506020202030204"/>
    <w:charset w:val="00"/>
    <w:family w:val="auto"/>
    <w:pitch w:val="variable"/>
    <w:sig w:usb0="00000287" w:usb1="00000800" w:usb2="00000000" w:usb3="00000000" w:csb0="0000009F"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等线">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799703"/>
      <w:docPartObj>
        <w:docPartGallery w:val="Page Numbers (Bottom of Page)"/>
        <w:docPartUnique/>
      </w:docPartObj>
    </w:sdtPr>
    <w:sdtEndPr/>
    <w:sdtContent>
      <w:p w14:paraId="407CE2FB" w14:textId="6C9EB6C0" w:rsidR="008634D0" w:rsidRDefault="008634D0">
        <w:pPr>
          <w:pStyle w:val="Pidipagina"/>
          <w:jc w:val="center"/>
        </w:pPr>
        <w:r>
          <w:fldChar w:fldCharType="begin"/>
        </w:r>
        <w:r>
          <w:instrText>PAGE   \* MERGEFORMAT</w:instrText>
        </w:r>
        <w:r>
          <w:fldChar w:fldCharType="separate"/>
        </w:r>
        <w:r w:rsidR="006B759D">
          <w:rPr>
            <w:noProof/>
          </w:rPr>
          <w:t>5</w:t>
        </w:r>
        <w:r>
          <w:fldChar w:fldCharType="end"/>
        </w:r>
      </w:p>
    </w:sdtContent>
  </w:sdt>
  <w:p w14:paraId="6A9A2604" w14:textId="77777777" w:rsidR="008634D0" w:rsidRDefault="008634D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3304"/>
      <w:docPartObj>
        <w:docPartGallery w:val="Page Numbers (Bottom of Page)"/>
        <w:docPartUnique/>
      </w:docPartObj>
    </w:sdtPr>
    <w:sdtEndPr/>
    <w:sdtContent>
      <w:p w14:paraId="609B3D89" w14:textId="2836F7E6" w:rsidR="008634D0" w:rsidRDefault="008634D0">
        <w:pPr>
          <w:pStyle w:val="Pidipagina"/>
          <w:jc w:val="center"/>
        </w:pPr>
        <w:r>
          <w:fldChar w:fldCharType="begin"/>
        </w:r>
        <w:r>
          <w:instrText>PAGE   \* MERGEFORMAT</w:instrText>
        </w:r>
        <w:r>
          <w:fldChar w:fldCharType="separate"/>
        </w:r>
        <w:r w:rsidR="002770F7">
          <w:rPr>
            <w:noProof/>
          </w:rPr>
          <w:t>163</w:t>
        </w:r>
        <w:r>
          <w:fldChar w:fldCharType="end"/>
        </w:r>
      </w:p>
    </w:sdtContent>
  </w:sdt>
  <w:p w14:paraId="63E83F18" w14:textId="77777777" w:rsidR="008634D0" w:rsidRDefault="008634D0">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AD364" w14:textId="77777777" w:rsidR="008634D0" w:rsidRDefault="008634D0">
    <w:pPr>
      <w:pStyle w:val="Pidipa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437770"/>
      <w:docPartObj>
        <w:docPartGallery w:val="Page Numbers (Bottom of Page)"/>
        <w:docPartUnique/>
      </w:docPartObj>
    </w:sdtPr>
    <w:sdtEndPr>
      <w:rPr>
        <w:rFonts w:ascii="Times New Roman" w:hAnsi="Times New Roman" w:cs="Times New Roman"/>
      </w:rPr>
    </w:sdtEndPr>
    <w:sdtContent>
      <w:p w14:paraId="074DD4A2" w14:textId="7FD6AE91" w:rsidR="008634D0" w:rsidRPr="002B0E3B" w:rsidRDefault="008634D0">
        <w:pPr>
          <w:pStyle w:val="Pidipagina"/>
          <w:jc w:val="center"/>
          <w:rPr>
            <w:rFonts w:ascii="Times New Roman" w:hAnsi="Times New Roman" w:cs="Times New Roman"/>
          </w:rPr>
        </w:pPr>
        <w:r w:rsidRPr="002B0E3B">
          <w:rPr>
            <w:rFonts w:ascii="Times New Roman" w:hAnsi="Times New Roman" w:cs="Times New Roman"/>
          </w:rPr>
          <w:fldChar w:fldCharType="begin"/>
        </w:r>
        <w:r w:rsidRPr="002B0E3B">
          <w:rPr>
            <w:rFonts w:ascii="Times New Roman" w:hAnsi="Times New Roman" w:cs="Times New Roman"/>
          </w:rPr>
          <w:instrText>PAGE   \* MERGEFORMAT</w:instrText>
        </w:r>
        <w:r w:rsidRPr="002B0E3B">
          <w:rPr>
            <w:rFonts w:ascii="Times New Roman" w:hAnsi="Times New Roman" w:cs="Times New Roman"/>
          </w:rPr>
          <w:fldChar w:fldCharType="separate"/>
        </w:r>
        <w:r w:rsidR="00511EB1">
          <w:rPr>
            <w:rFonts w:ascii="Times New Roman" w:hAnsi="Times New Roman" w:cs="Times New Roman"/>
            <w:noProof/>
          </w:rPr>
          <w:t>193</w:t>
        </w:r>
        <w:r w:rsidRPr="002B0E3B">
          <w:rPr>
            <w:rFonts w:ascii="Times New Roman" w:hAnsi="Times New Roman" w:cs="Times New Roman"/>
          </w:rPr>
          <w:fldChar w:fldCharType="end"/>
        </w:r>
      </w:p>
    </w:sdtContent>
  </w:sdt>
  <w:p w14:paraId="1413D853" w14:textId="77777777" w:rsidR="008634D0" w:rsidRDefault="008634D0">
    <w:pPr>
      <w:pStyle w:val="Pidipagina"/>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596E" w14:textId="77777777" w:rsidR="008634D0" w:rsidRDefault="008634D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72B0F" w14:textId="77777777" w:rsidR="00B91122" w:rsidRDefault="00B91122">
      <w:pPr>
        <w:spacing w:after="0" w:line="240" w:lineRule="auto"/>
      </w:pPr>
      <w:r>
        <w:separator/>
      </w:r>
    </w:p>
  </w:footnote>
  <w:footnote w:type="continuationSeparator" w:id="0">
    <w:p w14:paraId="4D216BA9" w14:textId="77777777" w:rsidR="00B91122" w:rsidRDefault="00B91122">
      <w:pPr>
        <w:spacing w:after="0" w:line="240" w:lineRule="auto"/>
      </w:pPr>
      <w:r>
        <w:continuationSeparator/>
      </w:r>
    </w:p>
  </w:footnote>
  <w:footnote w:type="continuationNotice" w:id="1">
    <w:p w14:paraId="332BC7FA" w14:textId="77777777" w:rsidR="00B91122" w:rsidRDefault="00B9112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7610E" w14:textId="77777777" w:rsidR="008634D0" w:rsidRDefault="008634D0" w:rsidP="002876D9">
    <w:pPr>
      <w:pStyle w:val="Intestazione"/>
    </w:pPr>
  </w:p>
  <w:p w14:paraId="25DC539F" w14:textId="77777777" w:rsidR="008634D0" w:rsidRDefault="008634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CD7A1" w14:textId="77777777" w:rsidR="008634D0" w:rsidRDefault="008634D0" w:rsidP="002876D9">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B4F84" w14:textId="77777777" w:rsidR="008634D0" w:rsidRDefault="008634D0" w:rsidP="002876D9">
    <w:pPr>
      <w:pStyle w:val="Intestazion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947C" w14:textId="77777777" w:rsidR="008634D0" w:rsidRDefault="008634D0">
    <w:pPr>
      <w:pStyle w:val="Intestazion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BDC09" w14:textId="77777777" w:rsidR="008634D0" w:rsidRPr="003741D9" w:rsidRDefault="008634D0" w:rsidP="002876D9">
    <w:pPr>
      <w:pStyle w:val="Intestazion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2752B" w14:textId="77777777" w:rsidR="008634D0" w:rsidRDefault="008634D0">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489"/>
    <w:multiLevelType w:val="hybridMultilevel"/>
    <w:tmpl w:val="A3C64F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2534B6"/>
    <w:multiLevelType w:val="hybridMultilevel"/>
    <w:tmpl w:val="63DC89A0"/>
    <w:lvl w:ilvl="0" w:tplc="0F9AF2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C23ECF"/>
    <w:multiLevelType w:val="hybridMultilevel"/>
    <w:tmpl w:val="E90E4F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0D0317"/>
    <w:multiLevelType w:val="hybridMultilevel"/>
    <w:tmpl w:val="CFA6BD36"/>
    <w:lvl w:ilvl="0" w:tplc="B1AEE74C">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9E1346"/>
    <w:multiLevelType w:val="hybridMultilevel"/>
    <w:tmpl w:val="26C80F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D42AF8"/>
    <w:multiLevelType w:val="hybridMultilevel"/>
    <w:tmpl w:val="41DCF39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654317"/>
    <w:multiLevelType w:val="hybridMultilevel"/>
    <w:tmpl w:val="5F0241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80B3B5"/>
    <w:multiLevelType w:val="hybridMultilevel"/>
    <w:tmpl w:val="01E88242"/>
    <w:lvl w:ilvl="0" w:tplc="B87E69FA">
      <w:start w:val="1"/>
      <w:numFmt w:val="lowerLetter"/>
      <w:lvlText w:val="%1."/>
      <w:lvlJc w:val="left"/>
      <w:pPr>
        <w:ind w:left="720" w:hanging="360"/>
      </w:pPr>
    </w:lvl>
    <w:lvl w:ilvl="1" w:tplc="10AE527C">
      <w:start w:val="1"/>
      <w:numFmt w:val="lowerLetter"/>
      <w:lvlText w:val="%2."/>
      <w:lvlJc w:val="left"/>
      <w:pPr>
        <w:ind w:left="1440" w:hanging="360"/>
      </w:pPr>
    </w:lvl>
    <w:lvl w:ilvl="2" w:tplc="C77ED798">
      <w:start w:val="1"/>
      <w:numFmt w:val="lowerRoman"/>
      <w:lvlText w:val="%3."/>
      <w:lvlJc w:val="right"/>
      <w:pPr>
        <w:ind w:left="2160" w:hanging="180"/>
      </w:pPr>
    </w:lvl>
    <w:lvl w:ilvl="3" w:tplc="98B0193A">
      <w:start w:val="1"/>
      <w:numFmt w:val="decimal"/>
      <w:lvlText w:val="%4."/>
      <w:lvlJc w:val="left"/>
      <w:pPr>
        <w:ind w:left="2880" w:hanging="360"/>
      </w:pPr>
    </w:lvl>
    <w:lvl w:ilvl="4" w:tplc="3CD29B58">
      <w:start w:val="1"/>
      <w:numFmt w:val="lowerLetter"/>
      <w:lvlText w:val="%5."/>
      <w:lvlJc w:val="left"/>
      <w:pPr>
        <w:ind w:left="3600" w:hanging="360"/>
      </w:pPr>
    </w:lvl>
    <w:lvl w:ilvl="5" w:tplc="0C2AFC74">
      <w:start w:val="1"/>
      <w:numFmt w:val="lowerRoman"/>
      <w:lvlText w:val="%6."/>
      <w:lvlJc w:val="right"/>
      <w:pPr>
        <w:ind w:left="4320" w:hanging="180"/>
      </w:pPr>
    </w:lvl>
    <w:lvl w:ilvl="6" w:tplc="7BE45742">
      <w:start w:val="1"/>
      <w:numFmt w:val="decimal"/>
      <w:lvlText w:val="%7."/>
      <w:lvlJc w:val="left"/>
      <w:pPr>
        <w:ind w:left="5040" w:hanging="360"/>
      </w:pPr>
    </w:lvl>
    <w:lvl w:ilvl="7" w:tplc="D6F86BEC">
      <w:start w:val="1"/>
      <w:numFmt w:val="lowerLetter"/>
      <w:lvlText w:val="%8."/>
      <w:lvlJc w:val="left"/>
      <w:pPr>
        <w:ind w:left="5760" w:hanging="360"/>
      </w:pPr>
    </w:lvl>
    <w:lvl w:ilvl="8" w:tplc="A28666FA">
      <w:start w:val="1"/>
      <w:numFmt w:val="lowerRoman"/>
      <w:lvlText w:val="%9."/>
      <w:lvlJc w:val="right"/>
      <w:pPr>
        <w:ind w:left="6480" w:hanging="180"/>
      </w:pPr>
    </w:lvl>
  </w:abstractNum>
  <w:abstractNum w:abstractNumId="8">
    <w:nsid w:val="13473455"/>
    <w:multiLevelType w:val="hybridMultilevel"/>
    <w:tmpl w:val="D556EE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5B0AE8"/>
    <w:multiLevelType w:val="hybridMultilevel"/>
    <w:tmpl w:val="19F401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6D77804"/>
    <w:multiLevelType w:val="hybridMultilevel"/>
    <w:tmpl w:val="E0CE0256"/>
    <w:lvl w:ilvl="0" w:tplc="F4D0915A">
      <w:start w:val="1"/>
      <w:numFmt w:val="lowerLetter"/>
      <w:lvlText w:val="%1."/>
      <w:lvlJc w:val="left"/>
      <w:pPr>
        <w:ind w:left="3141" w:hanging="360"/>
      </w:pPr>
      <w:rPr>
        <w:b/>
      </w:rPr>
    </w:lvl>
    <w:lvl w:ilvl="1" w:tplc="04100019">
      <w:start w:val="1"/>
      <w:numFmt w:val="lowerLetter"/>
      <w:lvlText w:val="%2."/>
      <w:lvlJc w:val="left"/>
      <w:pPr>
        <w:ind w:left="3861" w:hanging="360"/>
      </w:pPr>
    </w:lvl>
    <w:lvl w:ilvl="2" w:tplc="0410001B">
      <w:start w:val="1"/>
      <w:numFmt w:val="lowerRoman"/>
      <w:lvlText w:val="%3."/>
      <w:lvlJc w:val="right"/>
      <w:pPr>
        <w:ind w:left="4581" w:hanging="180"/>
      </w:pPr>
    </w:lvl>
    <w:lvl w:ilvl="3" w:tplc="0410000F">
      <w:start w:val="1"/>
      <w:numFmt w:val="decimal"/>
      <w:lvlText w:val="%4."/>
      <w:lvlJc w:val="left"/>
      <w:pPr>
        <w:ind w:left="5301" w:hanging="360"/>
      </w:pPr>
    </w:lvl>
    <w:lvl w:ilvl="4" w:tplc="04100019">
      <w:start w:val="1"/>
      <w:numFmt w:val="lowerLetter"/>
      <w:lvlText w:val="%5."/>
      <w:lvlJc w:val="left"/>
      <w:pPr>
        <w:ind w:left="6021" w:hanging="360"/>
      </w:pPr>
    </w:lvl>
    <w:lvl w:ilvl="5" w:tplc="0410001B">
      <w:start w:val="1"/>
      <w:numFmt w:val="lowerRoman"/>
      <w:lvlText w:val="%6."/>
      <w:lvlJc w:val="right"/>
      <w:pPr>
        <w:ind w:left="6741" w:hanging="180"/>
      </w:pPr>
    </w:lvl>
    <w:lvl w:ilvl="6" w:tplc="0410000F">
      <w:start w:val="1"/>
      <w:numFmt w:val="decimal"/>
      <w:lvlText w:val="%7."/>
      <w:lvlJc w:val="left"/>
      <w:pPr>
        <w:ind w:left="7461" w:hanging="360"/>
      </w:pPr>
    </w:lvl>
    <w:lvl w:ilvl="7" w:tplc="04100019">
      <w:start w:val="1"/>
      <w:numFmt w:val="lowerLetter"/>
      <w:lvlText w:val="%8."/>
      <w:lvlJc w:val="left"/>
      <w:pPr>
        <w:ind w:left="8181" w:hanging="360"/>
      </w:pPr>
    </w:lvl>
    <w:lvl w:ilvl="8" w:tplc="0410001B">
      <w:start w:val="1"/>
      <w:numFmt w:val="lowerRoman"/>
      <w:lvlText w:val="%9."/>
      <w:lvlJc w:val="right"/>
      <w:pPr>
        <w:ind w:left="8901" w:hanging="180"/>
      </w:pPr>
    </w:lvl>
  </w:abstractNum>
  <w:abstractNum w:abstractNumId="11">
    <w:nsid w:val="1F292D99"/>
    <w:multiLevelType w:val="hybridMultilevel"/>
    <w:tmpl w:val="9118D2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C97734"/>
    <w:multiLevelType w:val="hybridMultilevel"/>
    <w:tmpl w:val="AD8A11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181AA5"/>
    <w:multiLevelType w:val="hybridMultilevel"/>
    <w:tmpl w:val="D81C629C"/>
    <w:lvl w:ilvl="0" w:tplc="600ADB2C">
      <w:start w:val="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32203A4"/>
    <w:multiLevelType w:val="hybridMultilevel"/>
    <w:tmpl w:val="BAB8A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0D52BC"/>
    <w:multiLevelType w:val="hybridMultilevel"/>
    <w:tmpl w:val="BCB291DE"/>
    <w:lvl w:ilvl="0" w:tplc="D130B686">
      <w:start w:val="1"/>
      <w:numFmt w:val="lowerLetter"/>
      <w:lvlText w:val="%1)"/>
      <w:lvlJc w:val="left"/>
      <w:pPr>
        <w:ind w:left="720" w:hanging="360"/>
      </w:pPr>
      <w:rPr>
        <w:rFonts w:eastAsia="SimSu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E645C2"/>
    <w:multiLevelType w:val="hybridMultilevel"/>
    <w:tmpl w:val="9DBA6998"/>
    <w:lvl w:ilvl="0" w:tplc="64F234D8">
      <w:start w:val="3"/>
      <w:numFmt w:val="bullet"/>
      <w:lvlText w:val="-"/>
      <w:lvlJc w:val="left"/>
      <w:pPr>
        <w:ind w:left="720" w:hanging="360"/>
      </w:pPr>
      <w:rPr>
        <w:rFonts w:ascii="Times New Roman" w:eastAsiaTheme="maj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EA26D8"/>
    <w:multiLevelType w:val="multilevel"/>
    <w:tmpl w:val="E860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4D20D5"/>
    <w:multiLevelType w:val="hybridMultilevel"/>
    <w:tmpl w:val="9588E7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EB1A52"/>
    <w:multiLevelType w:val="hybridMultilevel"/>
    <w:tmpl w:val="E36E75C6"/>
    <w:lvl w:ilvl="0" w:tplc="0B44AA54">
      <w:start w:val="1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55019E"/>
    <w:multiLevelType w:val="hybridMultilevel"/>
    <w:tmpl w:val="0F1CE94C"/>
    <w:lvl w:ilvl="0" w:tplc="87B0FBE8">
      <w:start w:val="1"/>
      <w:numFmt w:val="decimal"/>
      <w:lvlText w:val="%1."/>
      <w:lvlJc w:val="left"/>
      <w:pPr>
        <w:ind w:left="1534" w:hanging="360"/>
      </w:pPr>
      <w:rPr>
        <w:rFonts w:ascii="Times New Roman" w:hAnsi="Times New Roman" w:cs="Times New Roman" w:hint="default"/>
        <w:b/>
        <w:i w:val="0"/>
        <w:sz w:val="18"/>
        <w:szCs w:val="18"/>
      </w:rPr>
    </w:lvl>
    <w:lvl w:ilvl="1" w:tplc="04100019" w:tentative="1">
      <w:start w:val="1"/>
      <w:numFmt w:val="lowerLetter"/>
      <w:lvlText w:val="%2."/>
      <w:lvlJc w:val="left"/>
      <w:pPr>
        <w:ind w:left="2254" w:hanging="360"/>
      </w:pPr>
    </w:lvl>
    <w:lvl w:ilvl="2" w:tplc="0410001B" w:tentative="1">
      <w:start w:val="1"/>
      <w:numFmt w:val="lowerRoman"/>
      <w:lvlText w:val="%3."/>
      <w:lvlJc w:val="right"/>
      <w:pPr>
        <w:ind w:left="2974" w:hanging="180"/>
      </w:pPr>
    </w:lvl>
    <w:lvl w:ilvl="3" w:tplc="0410000F" w:tentative="1">
      <w:start w:val="1"/>
      <w:numFmt w:val="decimal"/>
      <w:lvlText w:val="%4."/>
      <w:lvlJc w:val="left"/>
      <w:pPr>
        <w:ind w:left="3694" w:hanging="360"/>
      </w:pPr>
    </w:lvl>
    <w:lvl w:ilvl="4" w:tplc="04100019" w:tentative="1">
      <w:start w:val="1"/>
      <w:numFmt w:val="lowerLetter"/>
      <w:lvlText w:val="%5."/>
      <w:lvlJc w:val="left"/>
      <w:pPr>
        <w:ind w:left="4414" w:hanging="360"/>
      </w:pPr>
    </w:lvl>
    <w:lvl w:ilvl="5" w:tplc="0410001B" w:tentative="1">
      <w:start w:val="1"/>
      <w:numFmt w:val="lowerRoman"/>
      <w:lvlText w:val="%6."/>
      <w:lvlJc w:val="right"/>
      <w:pPr>
        <w:ind w:left="5134" w:hanging="180"/>
      </w:pPr>
    </w:lvl>
    <w:lvl w:ilvl="6" w:tplc="0410000F" w:tentative="1">
      <w:start w:val="1"/>
      <w:numFmt w:val="decimal"/>
      <w:lvlText w:val="%7."/>
      <w:lvlJc w:val="left"/>
      <w:pPr>
        <w:ind w:left="5854" w:hanging="360"/>
      </w:pPr>
    </w:lvl>
    <w:lvl w:ilvl="7" w:tplc="04100019" w:tentative="1">
      <w:start w:val="1"/>
      <w:numFmt w:val="lowerLetter"/>
      <w:lvlText w:val="%8."/>
      <w:lvlJc w:val="left"/>
      <w:pPr>
        <w:ind w:left="6574" w:hanging="360"/>
      </w:pPr>
    </w:lvl>
    <w:lvl w:ilvl="8" w:tplc="0410001B" w:tentative="1">
      <w:start w:val="1"/>
      <w:numFmt w:val="lowerRoman"/>
      <w:lvlText w:val="%9."/>
      <w:lvlJc w:val="right"/>
      <w:pPr>
        <w:ind w:left="7294" w:hanging="180"/>
      </w:pPr>
    </w:lvl>
  </w:abstractNum>
  <w:abstractNum w:abstractNumId="21">
    <w:nsid w:val="31AE21A2"/>
    <w:multiLevelType w:val="hybridMultilevel"/>
    <w:tmpl w:val="749AA33A"/>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1ED7C95"/>
    <w:multiLevelType w:val="hybridMultilevel"/>
    <w:tmpl w:val="F1667F4C"/>
    <w:lvl w:ilvl="0" w:tplc="C8A4BE1C">
      <w:start w:val="3"/>
      <w:numFmt w:val="bullet"/>
      <w:lvlText w:val="-"/>
      <w:lvlJc w:val="left"/>
      <w:pPr>
        <w:ind w:left="720" w:hanging="360"/>
      </w:pPr>
      <w:rPr>
        <w:rFonts w:ascii="Calibri" w:eastAsiaTheme="minorHAnsi"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2FE04EA"/>
    <w:multiLevelType w:val="hybridMultilevel"/>
    <w:tmpl w:val="9ADC86B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3871130"/>
    <w:multiLevelType w:val="hybridMultilevel"/>
    <w:tmpl w:val="3282363E"/>
    <w:lvl w:ilvl="0" w:tplc="04100001">
      <w:start w:val="1"/>
      <w:numFmt w:val="bullet"/>
      <w:lvlText w:val=""/>
      <w:lvlJc w:val="left"/>
      <w:pPr>
        <w:ind w:left="3861" w:hanging="360"/>
      </w:pPr>
      <w:rPr>
        <w:rFonts w:ascii="Symbol" w:hAnsi="Symbol" w:hint="default"/>
      </w:rPr>
    </w:lvl>
    <w:lvl w:ilvl="1" w:tplc="04100003">
      <w:start w:val="1"/>
      <w:numFmt w:val="bullet"/>
      <w:lvlText w:val="o"/>
      <w:lvlJc w:val="left"/>
      <w:pPr>
        <w:ind w:left="4581" w:hanging="360"/>
      </w:pPr>
      <w:rPr>
        <w:rFonts w:ascii="Courier New" w:hAnsi="Courier New" w:cs="Courier New" w:hint="default"/>
      </w:rPr>
    </w:lvl>
    <w:lvl w:ilvl="2" w:tplc="04100005">
      <w:start w:val="1"/>
      <w:numFmt w:val="bullet"/>
      <w:lvlText w:val=""/>
      <w:lvlJc w:val="left"/>
      <w:pPr>
        <w:ind w:left="5301" w:hanging="360"/>
      </w:pPr>
      <w:rPr>
        <w:rFonts w:ascii="Wingdings" w:hAnsi="Wingdings" w:hint="default"/>
      </w:rPr>
    </w:lvl>
    <w:lvl w:ilvl="3" w:tplc="04100001">
      <w:start w:val="1"/>
      <w:numFmt w:val="bullet"/>
      <w:lvlText w:val=""/>
      <w:lvlJc w:val="left"/>
      <w:pPr>
        <w:ind w:left="6021" w:hanging="360"/>
      </w:pPr>
      <w:rPr>
        <w:rFonts w:ascii="Symbol" w:hAnsi="Symbol" w:hint="default"/>
      </w:rPr>
    </w:lvl>
    <w:lvl w:ilvl="4" w:tplc="04100003">
      <w:start w:val="1"/>
      <w:numFmt w:val="bullet"/>
      <w:lvlText w:val="o"/>
      <w:lvlJc w:val="left"/>
      <w:pPr>
        <w:ind w:left="6741" w:hanging="360"/>
      </w:pPr>
      <w:rPr>
        <w:rFonts w:ascii="Courier New" w:hAnsi="Courier New" w:cs="Courier New" w:hint="default"/>
      </w:rPr>
    </w:lvl>
    <w:lvl w:ilvl="5" w:tplc="04100005">
      <w:start w:val="1"/>
      <w:numFmt w:val="bullet"/>
      <w:lvlText w:val=""/>
      <w:lvlJc w:val="left"/>
      <w:pPr>
        <w:ind w:left="7461" w:hanging="360"/>
      </w:pPr>
      <w:rPr>
        <w:rFonts w:ascii="Wingdings" w:hAnsi="Wingdings" w:hint="default"/>
      </w:rPr>
    </w:lvl>
    <w:lvl w:ilvl="6" w:tplc="04100001">
      <w:start w:val="1"/>
      <w:numFmt w:val="bullet"/>
      <w:lvlText w:val=""/>
      <w:lvlJc w:val="left"/>
      <w:pPr>
        <w:ind w:left="8181" w:hanging="360"/>
      </w:pPr>
      <w:rPr>
        <w:rFonts w:ascii="Symbol" w:hAnsi="Symbol" w:hint="default"/>
      </w:rPr>
    </w:lvl>
    <w:lvl w:ilvl="7" w:tplc="04100003">
      <w:start w:val="1"/>
      <w:numFmt w:val="bullet"/>
      <w:lvlText w:val="o"/>
      <w:lvlJc w:val="left"/>
      <w:pPr>
        <w:ind w:left="8901" w:hanging="360"/>
      </w:pPr>
      <w:rPr>
        <w:rFonts w:ascii="Courier New" w:hAnsi="Courier New" w:cs="Courier New" w:hint="default"/>
      </w:rPr>
    </w:lvl>
    <w:lvl w:ilvl="8" w:tplc="04100005">
      <w:start w:val="1"/>
      <w:numFmt w:val="bullet"/>
      <w:lvlText w:val=""/>
      <w:lvlJc w:val="left"/>
      <w:pPr>
        <w:ind w:left="9621" w:hanging="360"/>
      </w:pPr>
      <w:rPr>
        <w:rFonts w:ascii="Wingdings" w:hAnsi="Wingdings" w:hint="default"/>
      </w:rPr>
    </w:lvl>
  </w:abstractNum>
  <w:abstractNum w:abstractNumId="25">
    <w:nsid w:val="34304390"/>
    <w:multiLevelType w:val="hybridMultilevel"/>
    <w:tmpl w:val="AD74A968"/>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4514413"/>
    <w:multiLevelType w:val="hybridMultilevel"/>
    <w:tmpl w:val="01043016"/>
    <w:lvl w:ilvl="0" w:tplc="217621B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7B010E6"/>
    <w:multiLevelType w:val="hybridMultilevel"/>
    <w:tmpl w:val="7C2C27A6"/>
    <w:lvl w:ilvl="0" w:tplc="C1E27E30">
      <w:start w:val="1"/>
      <w:numFmt w:val="lowerLetter"/>
      <w:lvlText w:val="%1)"/>
      <w:lvlJc w:val="left"/>
      <w:pPr>
        <w:ind w:left="770" w:hanging="360"/>
      </w:pPr>
      <w:rPr>
        <w:rFonts w:hint="default"/>
      </w:r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28">
    <w:nsid w:val="45602F9D"/>
    <w:multiLevelType w:val="hybridMultilevel"/>
    <w:tmpl w:val="1A00DF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57E32E7"/>
    <w:multiLevelType w:val="hybridMultilevel"/>
    <w:tmpl w:val="135060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6B419AE"/>
    <w:multiLevelType w:val="hybridMultilevel"/>
    <w:tmpl w:val="F790DD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7BE7A53"/>
    <w:multiLevelType w:val="hybridMultilevel"/>
    <w:tmpl w:val="1E40D4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41732F"/>
    <w:multiLevelType w:val="hybridMultilevel"/>
    <w:tmpl w:val="F3C673AE"/>
    <w:lvl w:ilvl="0" w:tplc="8E389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AAA1E4C"/>
    <w:multiLevelType w:val="hybridMultilevel"/>
    <w:tmpl w:val="F392B0AA"/>
    <w:lvl w:ilvl="0" w:tplc="8BACD980">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C8D0636"/>
    <w:multiLevelType w:val="hybridMultilevel"/>
    <w:tmpl w:val="E54425B2"/>
    <w:lvl w:ilvl="0" w:tplc="572A3F82">
      <w:start w:val="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DB90614"/>
    <w:multiLevelType w:val="hybridMultilevel"/>
    <w:tmpl w:val="048A864C"/>
    <w:lvl w:ilvl="0" w:tplc="B78C02DC">
      <w:start w:val="2"/>
      <w:numFmt w:val="bullet"/>
      <w:lvlText w:val="-"/>
      <w:lvlJc w:val="left"/>
      <w:pPr>
        <w:ind w:left="720" w:hanging="360"/>
      </w:pPr>
      <w:rPr>
        <w:rFonts w:ascii="Calibri" w:eastAsiaTheme="minorHAnsi" w:hAnsi="Calibri" w:cs="Calibri"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1295AD6"/>
    <w:multiLevelType w:val="hybridMultilevel"/>
    <w:tmpl w:val="56C07682"/>
    <w:lvl w:ilvl="0" w:tplc="C8A4D88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329010A"/>
    <w:multiLevelType w:val="hybridMultilevel"/>
    <w:tmpl w:val="7C22BDB8"/>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541B5FAD"/>
    <w:multiLevelType w:val="hybridMultilevel"/>
    <w:tmpl w:val="DE8431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52654EC"/>
    <w:multiLevelType w:val="hybridMultilevel"/>
    <w:tmpl w:val="9EE41362"/>
    <w:lvl w:ilvl="0" w:tplc="04100011">
      <w:start w:val="1"/>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7D93991"/>
    <w:multiLevelType w:val="hybridMultilevel"/>
    <w:tmpl w:val="248468B6"/>
    <w:lvl w:ilvl="0" w:tplc="975C3104">
      <w:start w:val="1"/>
      <w:numFmt w:val="decimal"/>
      <w:lvlText w:val="%1."/>
      <w:lvlJc w:val="left"/>
      <w:pPr>
        <w:ind w:left="720" w:hanging="360"/>
      </w:pPr>
    </w:lvl>
    <w:lvl w:ilvl="1" w:tplc="DFAC716A">
      <w:start w:val="1"/>
      <w:numFmt w:val="lowerLetter"/>
      <w:lvlText w:val="%2."/>
      <w:lvlJc w:val="left"/>
      <w:pPr>
        <w:ind w:left="1440" w:hanging="360"/>
      </w:pPr>
    </w:lvl>
    <w:lvl w:ilvl="2" w:tplc="745A0DAC">
      <w:start w:val="1"/>
      <w:numFmt w:val="lowerRoman"/>
      <w:lvlText w:val="%3."/>
      <w:lvlJc w:val="right"/>
      <w:pPr>
        <w:ind w:left="2160" w:hanging="180"/>
      </w:pPr>
    </w:lvl>
    <w:lvl w:ilvl="3" w:tplc="E16ED76C">
      <w:start w:val="1"/>
      <w:numFmt w:val="decimal"/>
      <w:lvlText w:val="%4."/>
      <w:lvlJc w:val="left"/>
      <w:pPr>
        <w:ind w:left="2880" w:hanging="360"/>
      </w:pPr>
    </w:lvl>
    <w:lvl w:ilvl="4" w:tplc="DEA63112">
      <w:start w:val="1"/>
      <w:numFmt w:val="lowerLetter"/>
      <w:lvlText w:val="%5."/>
      <w:lvlJc w:val="left"/>
      <w:pPr>
        <w:ind w:left="3600" w:hanging="360"/>
      </w:pPr>
    </w:lvl>
    <w:lvl w:ilvl="5" w:tplc="F0F4691A">
      <w:start w:val="1"/>
      <w:numFmt w:val="lowerRoman"/>
      <w:lvlText w:val="%6."/>
      <w:lvlJc w:val="right"/>
      <w:pPr>
        <w:ind w:left="4320" w:hanging="180"/>
      </w:pPr>
    </w:lvl>
    <w:lvl w:ilvl="6" w:tplc="A308E550">
      <w:start w:val="1"/>
      <w:numFmt w:val="decimal"/>
      <w:lvlText w:val="%7."/>
      <w:lvlJc w:val="left"/>
      <w:pPr>
        <w:ind w:left="5040" w:hanging="360"/>
      </w:pPr>
    </w:lvl>
    <w:lvl w:ilvl="7" w:tplc="E34209DA">
      <w:start w:val="1"/>
      <w:numFmt w:val="lowerLetter"/>
      <w:lvlText w:val="%8."/>
      <w:lvlJc w:val="left"/>
      <w:pPr>
        <w:ind w:left="5760" w:hanging="360"/>
      </w:pPr>
    </w:lvl>
    <w:lvl w:ilvl="8" w:tplc="5880AEDA">
      <w:start w:val="1"/>
      <w:numFmt w:val="lowerRoman"/>
      <w:lvlText w:val="%9."/>
      <w:lvlJc w:val="right"/>
      <w:pPr>
        <w:ind w:left="6480" w:hanging="180"/>
      </w:pPr>
    </w:lvl>
  </w:abstractNum>
  <w:abstractNum w:abstractNumId="41">
    <w:nsid w:val="5C92187E"/>
    <w:multiLevelType w:val="hybridMultilevel"/>
    <w:tmpl w:val="D750D706"/>
    <w:lvl w:ilvl="0" w:tplc="B8F2CEA2">
      <w:start w:val="3"/>
      <w:numFmt w:val="bullet"/>
      <w:lvlText w:val="-"/>
      <w:lvlJc w:val="left"/>
      <w:pPr>
        <w:ind w:left="720" w:hanging="360"/>
      </w:pPr>
      <w:rPr>
        <w:rFonts w:ascii="Arial Narrow" w:eastAsiaTheme="minorHAnsi" w:hAnsi="Arial Narrow"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CBC585E"/>
    <w:multiLevelType w:val="hybridMultilevel"/>
    <w:tmpl w:val="D1868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F6279FE"/>
    <w:multiLevelType w:val="hybridMultilevel"/>
    <w:tmpl w:val="CD249CCC"/>
    <w:lvl w:ilvl="0" w:tplc="6ACC907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97B60EB"/>
    <w:multiLevelType w:val="hybridMultilevel"/>
    <w:tmpl w:val="E85EDA9E"/>
    <w:lvl w:ilvl="0" w:tplc="04100019">
      <w:start w:val="1"/>
      <w:numFmt w:val="lowerLetter"/>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45">
    <w:nsid w:val="6A1B4DD7"/>
    <w:multiLevelType w:val="hybridMultilevel"/>
    <w:tmpl w:val="88B4F8C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EC0CE0B"/>
    <w:multiLevelType w:val="hybridMultilevel"/>
    <w:tmpl w:val="457C2BD6"/>
    <w:lvl w:ilvl="0" w:tplc="27568838">
      <w:start w:val="1"/>
      <w:numFmt w:val="decimal"/>
      <w:lvlText w:val="%1."/>
      <w:lvlJc w:val="left"/>
      <w:pPr>
        <w:ind w:left="720" w:hanging="360"/>
      </w:pPr>
    </w:lvl>
    <w:lvl w:ilvl="1" w:tplc="4EBE5788">
      <w:start w:val="1"/>
      <w:numFmt w:val="lowerLetter"/>
      <w:lvlText w:val="%2."/>
      <w:lvlJc w:val="left"/>
      <w:pPr>
        <w:ind w:left="1440" w:hanging="360"/>
      </w:pPr>
    </w:lvl>
    <w:lvl w:ilvl="2" w:tplc="542C7338">
      <w:start w:val="1"/>
      <w:numFmt w:val="lowerRoman"/>
      <w:lvlText w:val="%3."/>
      <w:lvlJc w:val="right"/>
      <w:pPr>
        <w:ind w:left="2160" w:hanging="180"/>
      </w:pPr>
    </w:lvl>
    <w:lvl w:ilvl="3" w:tplc="B246A834">
      <w:start w:val="1"/>
      <w:numFmt w:val="decimal"/>
      <w:lvlText w:val="%4."/>
      <w:lvlJc w:val="left"/>
      <w:pPr>
        <w:ind w:left="2880" w:hanging="360"/>
      </w:pPr>
    </w:lvl>
    <w:lvl w:ilvl="4" w:tplc="586EDAF8">
      <w:start w:val="1"/>
      <w:numFmt w:val="lowerLetter"/>
      <w:lvlText w:val="%5."/>
      <w:lvlJc w:val="left"/>
      <w:pPr>
        <w:ind w:left="3600" w:hanging="360"/>
      </w:pPr>
    </w:lvl>
    <w:lvl w:ilvl="5" w:tplc="0C58FC52">
      <w:start w:val="1"/>
      <w:numFmt w:val="lowerRoman"/>
      <w:lvlText w:val="%6."/>
      <w:lvlJc w:val="right"/>
      <w:pPr>
        <w:ind w:left="4320" w:hanging="180"/>
      </w:pPr>
    </w:lvl>
    <w:lvl w:ilvl="6" w:tplc="6180E7DC">
      <w:start w:val="1"/>
      <w:numFmt w:val="decimal"/>
      <w:lvlText w:val="%7."/>
      <w:lvlJc w:val="left"/>
      <w:pPr>
        <w:ind w:left="5040" w:hanging="360"/>
      </w:pPr>
    </w:lvl>
    <w:lvl w:ilvl="7" w:tplc="884EAD12">
      <w:start w:val="1"/>
      <w:numFmt w:val="lowerLetter"/>
      <w:lvlText w:val="%8."/>
      <w:lvlJc w:val="left"/>
      <w:pPr>
        <w:ind w:left="5760" w:hanging="360"/>
      </w:pPr>
    </w:lvl>
    <w:lvl w:ilvl="8" w:tplc="10D632B2">
      <w:start w:val="1"/>
      <w:numFmt w:val="lowerRoman"/>
      <w:lvlText w:val="%9."/>
      <w:lvlJc w:val="right"/>
      <w:pPr>
        <w:ind w:left="6480" w:hanging="180"/>
      </w:pPr>
    </w:lvl>
  </w:abstractNum>
  <w:abstractNum w:abstractNumId="47">
    <w:nsid w:val="70AA712D"/>
    <w:multiLevelType w:val="hybridMultilevel"/>
    <w:tmpl w:val="D6561880"/>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95504B8"/>
    <w:multiLevelType w:val="hybridMultilevel"/>
    <w:tmpl w:val="FA6EEDAC"/>
    <w:lvl w:ilvl="0" w:tplc="428A0562">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7F5B09DF"/>
    <w:multiLevelType w:val="hybridMultilevel"/>
    <w:tmpl w:val="CCFEAC7C"/>
    <w:lvl w:ilvl="0" w:tplc="FAD6AA82">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13"/>
  </w:num>
  <w:num w:numId="4">
    <w:abstractNumId w:val="19"/>
  </w:num>
  <w:num w:numId="5">
    <w:abstractNumId w:val="16"/>
  </w:num>
  <w:num w:numId="6">
    <w:abstractNumId w:val="17"/>
  </w:num>
  <w:num w:numId="7">
    <w:abstractNumId w:val="22"/>
  </w:num>
  <w:num w:numId="8">
    <w:abstractNumId w:val="12"/>
  </w:num>
  <w:num w:numId="9">
    <w:abstractNumId w:val="5"/>
  </w:num>
  <w:num w:numId="10">
    <w:abstractNumId w:val="42"/>
  </w:num>
  <w:num w:numId="11">
    <w:abstractNumId w:val="2"/>
  </w:num>
  <w:num w:numId="12">
    <w:abstractNumId w:val="30"/>
  </w:num>
  <w:num w:numId="13">
    <w:abstractNumId w:val="45"/>
  </w:num>
  <w:num w:numId="14">
    <w:abstractNumId w:val="33"/>
  </w:num>
  <w:num w:numId="15">
    <w:abstractNumId w:val="39"/>
  </w:num>
  <w:num w:numId="16">
    <w:abstractNumId w:val="4"/>
  </w:num>
  <w:num w:numId="17">
    <w:abstractNumId w:val="28"/>
  </w:num>
  <w:num w:numId="18">
    <w:abstractNumId w:val="38"/>
  </w:num>
  <w:num w:numId="19">
    <w:abstractNumId w:val="32"/>
  </w:num>
  <w:num w:numId="20">
    <w:abstractNumId w:val="8"/>
  </w:num>
  <w:num w:numId="21">
    <w:abstractNumId w:val="35"/>
  </w:num>
  <w:num w:numId="22">
    <w:abstractNumId w:val="23"/>
  </w:num>
  <w:num w:numId="23">
    <w:abstractNumId w:val="0"/>
  </w:num>
  <w:num w:numId="24">
    <w:abstractNumId w:val="9"/>
  </w:num>
  <w:num w:numId="25">
    <w:abstractNumId w:val="6"/>
  </w:num>
  <w:num w:numId="26">
    <w:abstractNumId w:val="43"/>
  </w:num>
  <w:num w:numId="27">
    <w:abstractNumId w:val="29"/>
  </w:num>
  <w:num w:numId="28">
    <w:abstractNumId w:val="48"/>
  </w:num>
  <w:num w:numId="29">
    <w:abstractNumId w:val="47"/>
  </w:num>
  <w:num w:numId="30">
    <w:abstractNumId w:val="15"/>
  </w:num>
  <w:num w:numId="31">
    <w:abstractNumId w:val="25"/>
  </w:num>
  <w:num w:numId="32">
    <w:abstractNumId w:val="7"/>
  </w:num>
  <w:num w:numId="33">
    <w:abstractNumId w:val="40"/>
  </w:num>
  <w:num w:numId="34">
    <w:abstractNumId w:val="36"/>
  </w:num>
  <w:num w:numId="35">
    <w:abstractNumId w:val="26"/>
  </w:num>
  <w:num w:numId="36">
    <w:abstractNumId w:val="1"/>
  </w:num>
  <w:num w:numId="37">
    <w:abstractNumId w:val="49"/>
  </w:num>
  <w:num w:numId="38">
    <w:abstractNumId w:val="44"/>
  </w:num>
  <w:num w:numId="39">
    <w:abstractNumId w:val="20"/>
  </w:num>
  <w:num w:numId="40">
    <w:abstractNumId w:val="34"/>
  </w:num>
  <w:num w:numId="41">
    <w:abstractNumId w:val="18"/>
  </w:num>
  <w:num w:numId="42">
    <w:abstractNumId w:val="11"/>
  </w:num>
  <w:num w:numId="43">
    <w:abstractNumId w:val="27"/>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21"/>
  </w:num>
  <w:num w:numId="49">
    <w:abstractNumId w:val="3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283"/>
  <w:characterSpacingControl w:val="doNotCompress"/>
  <w:hdrShapeDefaults>
    <o:shapedefaults v:ext="edit" spidmax="2051"/>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27"/>
    <w:rsid w:val="0000289A"/>
    <w:rsid w:val="00004C92"/>
    <w:rsid w:val="0000561E"/>
    <w:rsid w:val="000067DE"/>
    <w:rsid w:val="00006C9D"/>
    <w:rsid w:val="0001028A"/>
    <w:rsid w:val="00010796"/>
    <w:rsid w:val="00010B89"/>
    <w:rsid w:val="00014FDA"/>
    <w:rsid w:val="00017111"/>
    <w:rsid w:val="00020672"/>
    <w:rsid w:val="00021882"/>
    <w:rsid w:val="000220AE"/>
    <w:rsid w:val="000246EF"/>
    <w:rsid w:val="00032C64"/>
    <w:rsid w:val="00034518"/>
    <w:rsid w:val="000355FE"/>
    <w:rsid w:val="00035CA1"/>
    <w:rsid w:val="000364DE"/>
    <w:rsid w:val="00037706"/>
    <w:rsid w:val="00037708"/>
    <w:rsid w:val="000423F9"/>
    <w:rsid w:val="00042CCA"/>
    <w:rsid w:val="00043468"/>
    <w:rsid w:val="00045491"/>
    <w:rsid w:val="000466FB"/>
    <w:rsid w:val="000470B3"/>
    <w:rsid w:val="000523FE"/>
    <w:rsid w:val="00053EE1"/>
    <w:rsid w:val="00054484"/>
    <w:rsid w:val="000545CF"/>
    <w:rsid w:val="00054B87"/>
    <w:rsid w:val="000569F4"/>
    <w:rsid w:val="00056B37"/>
    <w:rsid w:val="00056C3C"/>
    <w:rsid w:val="00065536"/>
    <w:rsid w:val="00067552"/>
    <w:rsid w:val="00067F12"/>
    <w:rsid w:val="00070AE4"/>
    <w:rsid w:val="00070E8D"/>
    <w:rsid w:val="00073270"/>
    <w:rsid w:val="00077B50"/>
    <w:rsid w:val="000824C0"/>
    <w:rsid w:val="00083F79"/>
    <w:rsid w:val="00084C0B"/>
    <w:rsid w:val="000917C1"/>
    <w:rsid w:val="00091A99"/>
    <w:rsid w:val="000929F8"/>
    <w:rsid w:val="00092B56"/>
    <w:rsid w:val="0009795A"/>
    <w:rsid w:val="000A1F1C"/>
    <w:rsid w:val="000A54CD"/>
    <w:rsid w:val="000A771E"/>
    <w:rsid w:val="000A7A31"/>
    <w:rsid w:val="000B00A7"/>
    <w:rsid w:val="000B04AD"/>
    <w:rsid w:val="000B0F3A"/>
    <w:rsid w:val="000B17D5"/>
    <w:rsid w:val="000B1942"/>
    <w:rsid w:val="000B21A1"/>
    <w:rsid w:val="000B287E"/>
    <w:rsid w:val="000B378C"/>
    <w:rsid w:val="000B53BB"/>
    <w:rsid w:val="000B7948"/>
    <w:rsid w:val="000C07EA"/>
    <w:rsid w:val="000C1672"/>
    <w:rsid w:val="000C543C"/>
    <w:rsid w:val="000C6B86"/>
    <w:rsid w:val="000D140E"/>
    <w:rsid w:val="000D3D5E"/>
    <w:rsid w:val="000D6DA5"/>
    <w:rsid w:val="000E0A4A"/>
    <w:rsid w:val="000E21D1"/>
    <w:rsid w:val="000E4AD6"/>
    <w:rsid w:val="000E4F04"/>
    <w:rsid w:val="000E7887"/>
    <w:rsid w:val="000F3264"/>
    <w:rsid w:val="000F5CCE"/>
    <w:rsid w:val="000F6892"/>
    <w:rsid w:val="000F75F7"/>
    <w:rsid w:val="001006C5"/>
    <w:rsid w:val="0010251F"/>
    <w:rsid w:val="00103418"/>
    <w:rsid w:val="001046CC"/>
    <w:rsid w:val="00107DE5"/>
    <w:rsid w:val="001101FD"/>
    <w:rsid w:val="00112CE3"/>
    <w:rsid w:val="0011420B"/>
    <w:rsid w:val="00115361"/>
    <w:rsid w:val="00115466"/>
    <w:rsid w:val="00120A3E"/>
    <w:rsid w:val="0012657C"/>
    <w:rsid w:val="00130378"/>
    <w:rsid w:val="0014132A"/>
    <w:rsid w:val="00141632"/>
    <w:rsid w:val="0014393C"/>
    <w:rsid w:val="00144F82"/>
    <w:rsid w:val="001455C4"/>
    <w:rsid w:val="00146DE7"/>
    <w:rsid w:val="00162F66"/>
    <w:rsid w:val="00164945"/>
    <w:rsid w:val="00164FEF"/>
    <w:rsid w:val="00165AF7"/>
    <w:rsid w:val="00167393"/>
    <w:rsid w:val="00167C2E"/>
    <w:rsid w:val="00173281"/>
    <w:rsid w:val="00173EE0"/>
    <w:rsid w:val="001747D0"/>
    <w:rsid w:val="001862A4"/>
    <w:rsid w:val="0018767A"/>
    <w:rsid w:val="00190431"/>
    <w:rsid w:val="00191B96"/>
    <w:rsid w:val="0019344B"/>
    <w:rsid w:val="00194B91"/>
    <w:rsid w:val="00194FA9"/>
    <w:rsid w:val="00196A1A"/>
    <w:rsid w:val="001A242F"/>
    <w:rsid w:val="001A5056"/>
    <w:rsid w:val="001B1251"/>
    <w:rsid w:val="001B2F2C"/>
    <w:rsid w:val="001B46F2"/>
    <w:rsid w:val="001B5CEA"/>
    <w:rsid w:val="001C1622"/>
    <w:rsid w:val="001C2F58"/>
    <w:rsid w:val="001C55D6"/>
    <w:rsid w:val="001C7FD2"/>
    <w:rsid w:val="001D0982"/>
    <w:rsid w:val="001D5C58"/>
    <w:rsid w:val="001E067D"/>
    <w:rsid w:val="001E2582"/>
    <w:rsid w:val="001E399A"/>
    <w:rsid w:val="001E5881"/>
    <w:rsid w:val="001E59AD"/>
    <w:rsid w:val="001E6305"/>
    <w:rsid w:val="001E65A9"/>
    <w:rsid w:val="001E712C"/>
    <w:rsid w:val="001E783B"/>
    <w:rsid w:val="001E7C3F"/>
    <w:rsid w:val="001F114E"/>
    <w:rsid w:val="001F1C73"/>
    <w:rsid w:val="001F3CB9"/>
    <w:rsid w:val="001F430A"/>
    <w:rsid w:val="001F564A"/>
    <w:rsid w:val="001F56F8"/>
    <w:rsid w:val="001F5B2F"/>
    <w:rsid w:val="001F5D19"/>
    <w:rsid w:val="001F5F9D"/>
    <w:rsid w:val="00201998"/>
    <w:rsid w:val="002037DE"/>
    <w:rsid w:val="00207C0F"/>
    <w:rsid w:val="00210A59"/>
    <w:rsid w:val="002119C5"/>
    <w:rsid w:val="00213325"/>
    <w:rsid w:val="00214A56"/>
    <w:rsid w:val="00216D05"/>
    <w:rsid w:val="002223C1"/>
    <w:rsid w:val="00222710"/>
    <w:rsid w:val="00225607"/>
    <w:rsid w:val="00227177"/>
    <w:rsid w:val="002329CB"/>
    <w:rsid w:val="00234B2F"/>
    <w:rsid w:val="00243E95"/>
    <w:rsid w:val="00244E11"/>
    <w:rsid w:val="002515C6"/>
    <w:rsid w:val="00252619"/>
    <w:rsid w:val="00254C5E"/>
    <w:rsid w:val="002629E9"/>
    <w:rsid w:val="002637DA"/>
    <w:rsid w:val="00264BD8"/>
    <w:rsid w:val="0026598B"/>
    <w:rsid w:val="0026620F"/>
    <w:rsid w:val="00272101"/>
    <w:rsid w:val="00272CD4"/>
    <w:rsid w:val="0027305C"/>
    <w:rsid w:val="0027343E"/>
    <w:rsid w:val="002770F7"/>
    <w:rsid w:val="002819DE"/>
    <w:rsid w:val="0028218E"/>
    <w:rsid w:val="0028540F"/>
    <w:rsid w:val="0028548F"/>
    <w:rsid w:val="0028563A"/>
    <w:rsid w:val="002876D9"/>
    <w:rsid w:val="00287F32"/>
    <w:rsid w:val="0029267E"/>
    <w:rsid w:val="00293A08"/>
    <w:rsid w:val="00294E0E"/>
    <w:rsid w:val="00296CE8"/>
    <w:rsid w:val="002A1963"/>
    <w:rsid w:val="002A6373"/>
    <w:rsid w:val="002A7DB5"/>
    <w:rsid w:val="002B0467"/>
    <w:rsid w:val="002B1CC4"/>
    <w:rsid w:val="002B47B1"/>
    <w:rsid w:val="002C09ED"/>
    <w:rsid w:val="002C1B60"/>
    <w:rsid w:val="002C22F8"/>
    <w:rsid w:val="002C2CAD"/>
    <w:rsid w:val="002C3128"/>
    <w:rsid w:val="002C470F"/>
    <w:rsid w:val="002C615B"/>
    <w:rsid w:val="002C72A6"/>
    <w:rsid w:val="002D0FAC"/>
    <w:rsid w:val="002D3F0F"/>
    <w:rsid w:val="002D5BB1"/>
    <w:rsid w:val="002D5C70"/>
    <w:rsid w:val="002E2687"/>
    <w:rsid w:val="002E2850"/>
    <w:rsid w:val="002E2C4E"/>
    <w:rsid w:val="002E2ECC"/>
    <w:rsid w:val="002E4515"/>
    <w:rsid w:val="002F158D"/>
    <w:rsid w:val="002F19A2"/>
    <w:rsid w:val="002F2405"/>
    <w:rsid w:val="002F35F8"/>
    <w:rsid w:val="002F694E"/>
    <w:rsid w:val="002F7587"/>
    <w:rsid w:val="002F7C0A"/>
    <w:rsid w:val="0030786B"/>
    <w:rsid w:val="00310591"/>
    <w:rsid w:val="00313074"/>
    <w:rsid w:val="0031695C"/>
    <w:rsid w:val="00317CF7"/>
    <w:rsid w:val="00317F05"/>
    <w:rsid w:val="00321BB8"/>
    <w:rsid w:val="0032220E"/>
    <w:rsid w:val="00322F7F"/>
    <w:rsid w:val="003230EA"/>
    <w:rsid w:val="00323744"/>
    <w:rsid w:val="00324968"/>
    <w:rsid w:val="0032589C"/>
    <w:rsid w:val="00325EDE"/>
    <w:rsid w:val="00326FEB"/>
    <w:rsid w:val="00332CE1"/>
    <w:rsid w:val="0033338F"/>
    <w:rsid w:val="003379B2"/>
    <w:rsid w:val="00337B67"/>
    <w:rsid w:val="00342336"/>
    <w:rsid w:val="00342C6B"/>
    <w:rsid w:val="0034368D"/>
    <w:rsid w:val="003445E5"/>
    <w:rsid w:val="00347515"/>
    <w:rsid w:val="0035034E"/>
    <w:rsid w:val="0035080A"/>
    <w:rsid w:val="00350AB4"/>
    <w:rsid w:val="0035379E"/>
    <w:rsid w:val="00353AF9"/>
    <w:rsid w:val="00357BAA"/>
    <w:rsid w:val="00357E09"/>
    <w:rsid w:val="003610A4"/>
    <w:rsid w:val="00361607"/>
    <w:rsid w:val="00363409"/>
    <w:rsid w:val="00364325"/>
    <w:rsid w:val="00364A8F"/>
    <w:rsid w:val="0036568C"/>
    <w:rsid w:val="003750A7"/>
    <w:rsid w:val="0037554D"/>
    <w:rsid w:val="00375E89"/>
    <w:rsid w:val="0037655B"/>
    <w:rsid w:val="00376785"/>
    <w:rsid w:val="00380091"/>
    <w:rsid w:val="00380421"/>
    <w:rsid w:val="003809BD"/>
    <w:rsid w:val="00381DDD"/>
    <w:rsid w:val="00383067"/>
    <w:rsid w:val="0039641C"/>
    <w:rsid w:val="00396B7B"/>
    <w:rsid w:val="003B012B"/>
    <w:rsid w:val="003B77E6"/>
    <w:rsid w:val="003B7A0B"/>
    <w:rsid w:val="003B7E17"/>
    <w:rsid w:val="003C0FA8"/>
    <w:rsid w:val="003C1558"/>
    <w:rsid w:val="003D6C13"/>
    <w:rsid w:val="003E0FF4"/>
    <w:rsid w:val="003E2AAD"/>
    <w:rsid w:val="003E454C"/>
    <w:rsid w:val="003E4767"/>
    <w:rsid w:val="003F58CC"/>
    <w:rsid w:val="003F5E18"/>
    <w:rsid w:val="003F6510"/>
    <w:rsid w:val="003F6762"/>
    <w:rsid w:val="003F755A"/>
    <w:rsid w:val="0040262B"/>
    <w:rsid w:val="00402A4E"/>
    <w:rsid w:val="0040451C"/>
    <w:rsid w:val="00405490"/>
    <w:rsid w:val="00406953"/>
    <w:rsid w:val="00407103"/>
    <w:rsid w:val="00410F09"/>
    <w:rsid w:val="00412844"/>
    <w:rsid w:val="00413699"/>
    <w:rsid w:val="00415DCA"/>
    <w:rsid w:val="00417C13"/>
    <w:rsid w:val="00420A70"/>
    <w:rsid w:val="00422AFC"/>
    <w:rsid w:val="00422F4F"/>
    <w:rsid w:val="004268CC"/>
    <w:rsid w:val="00427A36"/>
    <w:rsid w:val="00433E27"/>
    <w:rsid w:val="00435C20"/>
    <w:rsid w:val="004368AE"/>
    <w:rsid w:val="0044080B"/>
    <w:rsid w:val="004416F0"/>
    <w:rsid w:val="00442633"/>
    <w:rsid w:val="004441A5"/>
    <w:rsid w:val="00444AF3"/>
    <w:rsid w:val="00446F27"/>
    <w:rsid w:val="00447E89"/>
    <w:rsid w:val="00450375"/>
    <w:rsid w:val="004520DA"/>
    <w:rsid w:val="00455F89"/>
    <w:rsid w:val="00456124"/>
    <w:rsid w:val="00460EFF"/>
    <w:rsid w:val="0046596A"/>
    <w:rsid w:val="00465BC3"/>
    <w:rsid w:val="0046663A"/>
    <w:rsid w:val="004666F3"/>
    <w:rsid w:val="00466D58"/>
    <w:rsid w:val="00467F2A"/>
    <w:rsid w:val="00470517"/>
    <w:rsid w:val="0047101B"/>
    <w:rsid w:val="004713A8"/>
    <w:rsid w:val="00471D28"/>
    <w:rsid w:val="00472643"/>
    <w:rsid w:val="00472AB3"/>
    <w:rsid w:val="00475043"/>
    <w:rsid w:val="004753B6"/>
    <w:rsid w:val="00475A3F"/>
    <w:rsid w:val="00476605"/>
    <w:rsid w:val="004775CA"/>
    <w:rsid w:val="00484B38"/>
    <w:rsid w:val="004873AF"/>
    <w:rsid w:val="00487588"/>
    <w:rsid w:val="00491535"/>
    <w:rsid w:val="00491C10"/>
    <w:rsid w:val="00492334"/>
    <w:rsid w:val="00493C15"/>
    <w:rsid w:val="00493D20"/>
    <w:rsid w:val="004A260A"/>
    <w:rsid w:val="004A2AF5"/>
    <w:rsid w:val="004A5029"/>
    <w:rsid w:val="004A5BF2"/>
    <w:rsid w:val="004B0BA6"/>
    <w:rsid w:val="004B4B59"/>
    <w:rsid w:val="004B4D6B"/>
    <w:rsid w:val="004B519C"/>
    <w:rsid w:val="004B5BC1"/>
    <w:rsid w:val="004B7F60"/>
    <w:rsid w:val="004C1497"/>
    <w:rsid w:val="004C2FD3"/>
    <w:rsid w:val="004C4996"/>
    <w:rsid w:val="004D0D03"/>
    <w:rsid w:val="004D0F46"/>
    <w:rsid w:val="004D1A4E"/>
    <w:rsid w:val="004D5765"/>
    <w:rsid w:val="004D60FA"/>
    <w:rsid w:val="004D7A65"/>
    <w:rsid w:val="004D7DA3"/>
    <w:rsid w:val="004E325F"/>
    <w:rsid w:val="004E46D1"/>
    <w:rsid w:val="004E496C"/>
    <w:rsid w:val="004E4A27"/>
    <w:rsid w:val="004E4B92"/>
    <w:rsid w:val="004E77FB"/>
    <w:rsid w:val="004F030D"/>
    <w:rsid w:val="004F0C0B"/>
    <w:rsid w:val="004F3199"/>
    <w:rsid w:val="004F5960"/>
    <w:rsid w:val="0050321C"/>
    <w:rsid w:val="00506610"/>
    <w:rsid w:val="00506ECA"/>
    <w:rsid w:val="0050790A"/>
    <w:rsid w:val="00507953"/>
    <w:rsid w:val="00511EB1"/>
    <w:rsid w:val="00514236"/>
    <w:rsid w:val="0051529A"/>
    <w:rsid w:val="00517315"/>
    <w:rsid w:val="005173E5"/>
    <w:rsid w:val="00531DF3"/>
    <w:rsid w:val="0053307A"/>
    <w:rsid w:val="005345C7"/>
    <w:rsid w:val="00534C74"/>
    <w:rsid w:val="00545D55"/>
    <w:rsid w:val="00545F9F"/>
    <w:rsid w:val="00546338"/>
    <w:rsid w:val="005473D0"/>
    <w:rsid w:val="0054788B"/>
    <w:rsid w:val="00547D62"/>
    <w:rsid w:val="00551551"/>
    <w:rsid w:val="005554B3"/>
    <w:rsid w:val="00556B29"/>
    <w:rsid w:val="00561A86"/>
    <w:rsid w:val="005632EE"/>
    <w:rsid w:val="00565684"/>
    <w:rsid w:val="0056581D"/>
    <w:rsid w:val="005665F7"/>
    <w:rsid w:val="005705E4"/>
    <w:rsid w:val="00570E75"/>
    <w:rsid w:val="00571CDD"/>
    <w:rsid w:val="005728EE"/>
    <w:rsid w:val="00583E6D"/>
    <w:rsid w:val="005846A3"/>
    <w:rsid w:val="005908D4"/>
    <w:rsid w:val="00590CC4"/>
    <w:rsid w:val="00590D70"/>
    <w:rsid w:val="005927EB"/>
    <w:rsid w:val="00593AD0"/>
    <w:rsid w:val="00595A15"/>
    <w:rsid w:val="00595F0E"/>
    <w:rsid w:val="005960A3"/>
    <w:rsid w:val="005A0002"/>
    <w:rsid w:val="005A0EA5"/>
    <w:rsid w:val="005A2914"/>
    <w:rsid w:val="005A3B19"/>
    <w:rsid w:val="005A620C"/>
    <w:rsid w:val="005A74B7"/>
    <w:rsid w:val="005A7A39"/>
    <w:rsid w:val="005A7C28"/>
    <w:rsid w:val="005B22E9"/>
    <w:rsid w:val="005B5D38"/>
    <w:rsid w:val="005B6CCB"/>
    <w:rsid w:val="005B7750"/>
    <w:rsid w:val="005C1C41"/>
    <w:rsid w:val="005C2282"/>
    <w:rsid w:val="005D063D"/>
    <w:rsid w:val="005D3035"/>
    <w:rsid w:val="005D6931"/>
    <w:rsid w:val="005D6F7F"/>
    <w:rsid w:val="005E09C8"/>
    <w:rsid w:val="005E0FC0"/>
    <w:rsid w:val="005E1A6C"/>
    <w:rsid w:val="005E21B5"/>
    <w:rsid w:val="005E250C"/>
    <w:rsid w:val="005E47FC"/>
    <w:rsid w:val="005E4A96"/>
    <w:rsid w:val="005F3BAB"/>
    <w:rsid w:val="005F3ED9"/>
    <w:rsid w:val="005F458C"/>
    <w:rsid w:val="005F4B0B"/>
    <w:rsid w:val="00600691"/>
    <w:rsid w:val="006007FB"/>
    <w:rsid w:val="00600CEA"/>
    <w:rsid w:val="00601B1B"/>
    <w:rsid w:val="00601F88"/>
    <w:rsid w:val="00602C49"/>
    <w:rsid w:val="006035AE"/>
    <w:rsid w:val="006037B0"/>
    <w:rsid w:val="006040C8"/>
    <w:rsid w:val="00604CC1"/>
    <w:rsid w:val="00612076"/>
    <w:rsid w:val="00615640"/>
    <w:rsid w:val="0062117E"/>
    <w:rsid w:val="0062385C"/>
    <w:rsid w:val="00623E85"/>
    <w:rsid w:val="0062792E"/>
    <w:rsid w:val="00631AF1"/>
    <w:rsid w:val="00632EFF"/>
    <w:rsid w:val="00633BBC"/>
    <w:rsid w:val="00634A94"/>
    <w:rsid w:val="0063551A"/>
    <w:rsid w:val="00635C41"/>
    <w:rsid w:val="00636B09"/>
    <w:rsid w:val="006377E0"/>
    <w:rsid w:val="00644E7A"/>
    <w:rsid w:val="00644FE3"/>
    <w:rsid w:val="006468C2"/>
    <w:rsid w:val="00657CE2"/>
    <w:rsid w:val="00660E72"/>
    <w:rsid w:val="00661C89"/>
    <w:rsid w:val="0066318E"/>
    <w:rsid w:val="0066439B"/>
    <w:rsid w:val="006646E5"/>
    <w:rsid w:val="00665364"/>
    <w:rsid w:val="006671FC"/>
    <w:rsid w:val="0067098C"/>
    <w:rsid w:val="00673C34"/>
    <w:rsid w:val="00675B6A"/>
    <w:rsid w:val="00676459"/>
    <w:rsid w:val="0067658E"/>
    <w:rsid w:val="00676F60"/>
    <w:rsid w:val="006800BE"/>
    <w:rsid w:val="006807DF"/>
    <w:rsid w:val="0068394C"/>
    <w:rsid w:val="00684866"/>
    <w:rsid w:val="00684B1C"/>
    <w:rsid w:val="00686598"/>
    <w:rsid w:val="0068660E"/>
    <w:rsid w:val="00687805"/>
    <w:rsid w:val="00690748"/>
    <w:rsid w:val="006A054F"/>
    <w:rsid w:val="006A1D1B"/>
    <w:rsid w:val="006A2F0D"/>
    <w:rsid w:val="006A3290"/>
    <w:rsid w:val="006A5F6D"/>
    <w:rsid w:val="006A7679"/>
    <w:rsid w:val="006B14DF"/>
    <w:rsid w:val="006B2BE3"/>
    <w:rsid w:val="006B5EE5"/>
    <w:rsid w:val="006B6A53"/>
    <w:rsid w:val="006B7553"/>
    <w:rsid w:val="006B759D"/>
    <w:rsid w:val="006B7D07"/>
    <w:rsid w:val="006C0883"/>
    <w:rsid w:val="006C29C0"/>
    <w:rsid w:val="006C2A74"/>
    <w:rsid w:val="006C37A8"/>
    <w:rsid w:val="006C49CA"/>
    <w:rsid w:val="006C57BE"/>
    <w:rsid w:val="006C641B"/>
    <w:rsid w:val="006D0189"/>
    <w:rsid w:val="006D093C"/>
    <w:rsid w:val="006D11B3"/>
    <w:rsid w:val="006D165F"/>
    <w:rsid w:val="006D350D"/>
    <w:rsid w:val="006D4F7B"/>
    <w:rsid w:val="006D610B"/>
    <w:rsid w:val="006D6343"/>
    <w:rsid w:val="006D65EC"/>
    <w:rsid w:val="006E3D97"/>
    <w:rsid w:val="006F3BEA"/>
    <w:rsid w:val="006F5EEB"/>
    <w:rsid w:val="006F6FE6"/>
    <w:rsid w:val="006F7084"/>
    <w:rsid w:val="006F7E4B"/>
    <w:rsid w:val="00700E66"/>
    <w:rsid w:val="00702190"/>
    <w:rsid w:val="00703151"/>
    <w:rsid w:val="00707035"/>
    <w:rsid w:val="00714060"/>
    <w:rsid w:val="007158F5"/>
    <w:rsid w:val="00715E22"/>
    <w:rsid w:val="007210AE"/>
    <w:rsid w:val="0072559F"/>
    <w:rsid w:val="00730A3D"/>
    <w:rsid w:val="007311A9"/>
    <w:rsid w:val="007323F9"/>
    <w:rsid w:val="00733A87"/>
    <w:rsid w:val="00734B1F"/>
    <w:rsid w:val="00735397"/>
    <w:rsid w:val="00737141"/>
    <w:rsid w:val="00741566"/>
    <w:rsid w:val="00741815"/>
    <w:rsid w:val="007466BD"/>
    <w:rsid w:val="0074761F"/>
    <w:rsid w:val="007500E8"/>
    <w:rsid w:val="007525CF"/>
    <w:rsid w:val="00764C13"/>
    <w:rsid w:val="007725AF"/>
    <w:rsid w:val="0077264C"/>
    <w:rsid w:val="0077404B"/>
    <w:rsid w:val="00776DDF"/>
    <w:rsid w:val="007815CC"/>
    <w:rsid w:val="007878AF"/>
    <w:rsid w:val="00790299"/>
    <w:rsid w:val="00791855"/>
    <w:rsid w:val="00792E9D"/>
    <w:rsid w:val="007933AF"/>
    <w:rsid w:val="007945E5"/>
    <w:rsid w:val="00796E46"/>
    <w:rsid w:val="007A119E"/>
    <w:rsid w:val="007A3F67"/>
    <w:rsid w:val="007A490D"/>
    <w:rsid w:val="007A499F"/>
    <w:rsid w:val="007A5D68"/>
    <w:rsid w:val="007B2A52"/>
    <w:rsid w:val="007B2E4C"/>
    <w:rsid w:val="007B34DF"/>
    <w:rsid w:val="007B3AD8"/>
    <w:rsid w:val="007B3D80"/>
    <w:rsid w:val="007B4558"/>
    <w:rsid w:val="007B4C1F"/>
    <w:rsid w:val="007B65DA"/>
    <w:rsid w:val="007B6ACE"/>
    <w:rsid w:val="007B7A43"/>
    <w:rsid w:val="007C0745"/>
    <w:rsid w:val="007C1DEE"/>
    <w:rsid w:val="007C26D3"/>
    <w:rsid w:val="007C53D8"/>
    <w:rsid w:val="007C6462"/>
    <w:rsid w:val="007C6ED7"/>
    <w:rsid w:val="007D27FC"/>
    <w:rsid w:val="007E24D3"/>
    <w:rsid w:val="007E3715"/>
    <w:rsid w:val="007E3B83"/>
    <w:rsid w:val="007E5D25"/>
    <w:rsid w:val="007E60A7"/>
    <w:rsid w:val="007F3E6B"/>
    <w:rsid w:val="007F5018"/>
    <w:rsid w:val="007F5E32"/>
    <w:rsid w:val="007F5E3B"/>
    <w:rsid w:val="007F5ED0"/>
    <w:rsid w:val="007F75DA"/>
    <w:rsid w:val="008003B4"/>
    <w:rsid w:val="00800CC1"/>
    <w:rsid w:val="00802B9F"/>
    <w:rsid w:val="0080321F"/>
    <w:rsid w:val="00803E1C"/>
    <w:rsid w:val="008042CC"/>
    <w:rsid w:val="008064E0"/>
    <w:rsid w:val="008075FF"/>
    <w:rsid w:val="008105C5"/>
    <w:rsid w:val="008121DE"/>
    <w:rsid w:val="00812B79"/>
    <w:rsid w:val="00813448"/>
    <w:rsid w:val="00813DAB"/>
    <w:rsid w:val="0081782D"/>
    <w:rsid w:val="00817A95"/>
    <w:rsid w:val="00820C3D"/>
    <w:rsid w:val="00823469"/>
    <w:rsid w:val="008244D2"/>
    <w:rsid w:val="0082584D"/>
    <w:rsid w:val="008265B6"/>
    <w:rsid w:val="00831E3C"/>
    <w:rsid w:val="008346DE"/>
    <w:rsid w:val="00837063"/>
    <w:rsid w:val="00837197"/>
    <w:rsid w:val="0083753D"/>
    <w:rsid w:val="0084066B"/>
    <w:rsid w:val="00841D92"/>
    <w:rsid w:val="00847A15"/>
    <w:rsid w:val="008523D9"/>
    <w:rsid w:val="008525B3"/>
    <w:rsid w:val="00854345"/>
    <w:rsid w:val="008547CC"/>
    <w:rsid w:val="008548B2"/>
    <w:rsid w:val="0085711D"/>
    <w:rsid w:val="008634D0"/>
    <w:rsid w:val="00863FD4"/>
    <w:rsid w:val="00864303"/>
    <w:rsid w:val="00870206"/>
    <w:rsid w:val="008711CF"/>
    <w:rsid w:val="00871909"/>
    <w:rsid w:val="00880011"/>
    <w:rsid w:val="00880733"/>
    <w:rsid w:val="008819AE"/>
    <w:rsid w:val="008825A0"/>
    <w:rsid w:val="0088335C"/>
    <w:rsid w:val="00883D12"/>
    <w:rsid w:val="00885653"/>
    <w:rsid w:val="00887626"/>
    <w:rsid w:val="008978C9"/>
    <w:rsid w:val="008979D7"/>
    <w:rsid w:val="008A2109"/>
    <w:rsid w:val="008A256F"/>
    <w:rsid w:val="008A2644"/>
    <w:rsid w:val="008A6942"/>
    <w:rsid w:val="008A716A"/>
    <w:rsid w:val="008B2E65"/>
    <w:rsid w:val="008B53E6"/>
    <w:rsid w:val="008C2CAF"/>
    <w:rsid w:val="008C53BA"/>
    <w:rsid w:val="008C5CBE"/>
    <w:rsid w:val="008C6A70"/>
    <w:rsid w:val="008C7C5F"/>
    <w:rsid w:val="008C7E78"/>
    <w:rsid w:val="008D0866"/>
    <w:rsid w:val="008D291C"/>
    <w:rsid w:val="008D3454"/>
    <w:rsid w:val="008D4109"/>
    <w:rsid w:val="008D5FDA"/>
    <w:rsid w:val="008E01CA"/>
    <w:rsid w:val="008E27BC"/>
    <w:rsid w:val="008E3EC3"/>
    <w:rsid w:val="008E4B03"/>
    <w:rsid w:val="008E5E47"/>
    <w:rsid w:val="008F1C46"/>
    <w:rsid w:val="008F1F44"/>
    <w:rsid w:val="008F29DB"/>
    <w:rsid w:val="008F3085"/>
    <w:rsid w:val="008F5090"/>
    <w:rsid w:val="008F52F6"/>
    <w:rsid w:val="008F5F31"/>
    <w:rsid w:val="008F7506"/>
    <w:rsid w:val="008F7B03"/>
    <w:rsid w:val="0090320C"/>
    <w:rsid w:val="009054F7"/>
    <w:rsid w:val="0090673D"/>
    <w:rsid w:val="00906AB2"/>
    <w:rsid w:val="00911966"/>
    <w:rsid w:val="00913A13"/>
    <w:rsid w:val="00921D76"/>
    <w:rsid w:val="00922C2F"/>
    <w:rsid w:val="009233AA"/>
    <w:rsid w:val="00925DDC"/>
    <w:rsid w:val="00926DA9"/>
    <w:rsid w:val="0093109B"/>
    <w:rsid w:val="009314DA"/>
    <w:rsid w:val="0093247B"/>
    <w:rsid w:val="009417FE"/>
    <w:rsid w:val="00945B63"/>
    <w:rsid w:val="0094785C"/>
    <w:rsid w:val="0094791B"/>
    <w:rsid w:val="009504BB"/>
    <w:rsid w:val="00951B4E"/>
    <w:rsid w:val="00952BB5"/>
    <w:rsid w:val="009557BE"/>
    <w:rsid w:val="00955B24"/>
    <w:rsid w:val="0095703D"/>
    <w:rsid w:val="00961112"/>
    <w:rsid w:val="00965B99"/>
    <w:rsid w:val="00967601"/>
    <w:rsid w:val="00967CA0"/>
    <w:rsid w:val="00972003"/>
    <w:rsid w:val="00972968"/>
    <w:rsid w:val="00974EC9"/>
    <w:rsid w:val="009802E4"/>
    <w:rsid w:val="009803AF"/>
    <w:rsid w:val="00981986"/>
    <w:rsid w:val="009908D0"/>
    <w:rsid w:val="009919F2"/>
    <w:rsid w:val="009921C1"/>
    <w:rsid w:val="00995CDD"/>
    <w:rsid w:val="00996A35"/>
    <w:rsid w:val="009A66FC"/>
    <w:rsid w:val="009A795E"/>
    <w:rsid w:val="009B2EA4"/>
    <w:rsid w:val="009B3D9C"/>
    <w:rsid w:val="009B417A"/>
    <w:rsid w:val="009B43FD"/>
    <w:rsid w:val="009B60D1"/>
    <w:rsid w:val="009C0860"/>
    <w:rsid w:val="009C2ADE"/>
    <w:rsid w:val="009C3CC3"/>
    <w:rsid w:val="009C79BA"/>
    <w:rsid w:val="009C7A1A"/>
    <w:rsid w:val="009C7F3E"/>
    <w:rsid w:val="009D1F9B"/>
    <w:rsid w:val="009D2FB4"/>
    <w:rsid w:val="009D4957"/>
    <w:rsid w:val="009D4B59"/>
    <w:rsid w:val="009E28D3"/>
    <w:rsid w:val="009E4591"/>
    <w:rsid w:val="009E53A2"/>
    <w:rsid w:val="009E7123"/>
    <w:rsid w:val="009F04A1"/>
    <w:rsid w:val="009F15ED"/>
    <w:rsid w:val="009F27E1"/>
    <w:rsid w:val="009F38C0"/>
    <w:rsid w:val="009F4C62"/>
    <w:rsid w:val="00A018A5"/>
    <w:rsid w:val="00A02F3C"/>
    <w:rsid w:val="00A060C6"/>
    <w:rsid w:val="00A062BF"/>
    <w:rsid w:val="00A06565"/>
    <w:rsid w:val="00A101BF"/>
    <w:rsid w:val="00A14425"/>
    <w:rsid w:val="00A14697"/>
    <w:rsid w:val="00A205F0"/>
    <w:rsid w:val="00A26302"/>
    <w:rsid w:val="00A32034"/>
    <w:rsid w:val="00A320B0"/>
    <w:rsid w:val="00A3593C"/>
    <w:rsid w:val="00A35BB3"/>
    <w:rsid w:val="00A35F4A"/>
    <w:rsid w:val="00A35FF2"/>
    <w:rsid w:val="00A40214"/>
    <w:rsid w:val="00A44CBE"/>
    <w:rsid w:val="00A455A0"/>
    <w:rsid w:val="00A465F4"/>
    <w:rsid w:val="00A47D2D"/>
    <w:rsid w:val="00A553F4"/>
    <w:rsid w:val="00A57372"/>
    <w:rsid w:val="00A574CB"/>
    <w:rsid w:val="00A57781"/>
    <w:rsid w:val="00A6046F"/>
    <w:rsid w:val="00A62EB5"/>
    <w:rsid w:val="00A62EBA"/>
    <w:rsid w:val="00A64A6E"/>
    <w:rsid w:val="00A70FBC"/>
    <w:rsid w:val="00A729AA"/>
    <w:rsid w:val="00A744A7"/>
    <w:rsid w:val="00A7462C"/>
    <w:rsid w:val="00A74A97"/>
    <w:rsid w:val="00A763DF"/>
    <w:rsid w:val="00A8006C"/>
    <w:rsid w:val="00A82AD3"/>
    <w:rsid w:val="00A84BF7"/>
    <w:rsid w:val="00A904BD"/>
    <w:rsid w:val="00A9504B"/>
    <w:rsid w:val="00AA1E6F"/>
    <w:rsid w:val="00AA27F8"/>
    <w:rsid w:val="00AA2F04"/>
    <w:rsid w:val="00AA3057"/>
    <w:rsid w:val="00AA3B36"/>
    <w:rsid w:val="00AA4780"/>
    <w:rsid w:val="00AA4ADD"/>
    <w:rsid w:val="00AB2D60"/>
    <w:rsid w:val="00AB2EA0"/>
    <w:rsid w:val="00AB4CCB"/>
    <w:rsid w:val="00AB592B"/>
    <w:rsid w:val="00AC6D61"/>
    <w:rsid w:val="00AC7130"/>
    <w:rsid w:val="00AC7B9D"/>
    <w:rsid w:val="00AC7BE2"/>
    <w:rsid w:val="00AC7F95"/>
    <w:rsid w:val="00AD08CE"/>
    <w:rsid w:val="00AD4605"/>
    <w:rsid w:val="00AD4F72"/>
    <w:rsid w:val="00AE1AC3"/>
    <w:rsid w:val="00AE20DE"/>
    <w:rsid w:val="00AE3A63"/>
    <w:rsid w:val="00AE79C9"/>
    <w:rsid w:val="00AE7DB0"/>
    <w:rsid w:val="00AE7FF8"/>
    <w:rsid w:val="00AF35F4"/>
    <w:rsid w:val="00AF40DD"/>
    <w:rsid w:val="00AF5838"/>
    <w:rsid w:val="00B00948"/>
    <w:rsid w:val="00B01B5A"/>
    <w:rsid w:val="00B020C7"/>
    <w:rsid w:val="00B02B9B"/>
    <w:rsid w:val="00B02BCD"/>
    <w:rsid w:val="00B052EE"/>
    <w:rsid w:val="00B07689"/>
    <w:rsid w:val="00B10626"/>
    <w:rsid w:val="00B107FE"/>
    <w:rsid w:val="00B12AA0"/>
    <w:rsid w:val="00B12F8C"/>
    <w:rsid w:val="00B13D6D"/>
    <w:rsid w:val="00B14EF7"/>
    <w:rsid w:val="00B15DDA"/>
    <w:rsid w:val="00B17435"/>
    <w:rsid w:val="00B25D7E"/>
    <w:rsid w:val="00B268D8"/>
    <w:rsid w:val="00B30C73"/>
    <w:rsid w:val="00B31542"/>
    <w:rsid w:val="00B318E1"/>
    <w:rsid w:val="00B321AF"/>
    <w:rsid w:val="00B3497F"/>
    <w:rsid w:val="00B41488"/>
    <w:rsid w:val="00B5546B"/>
    <w:rsid w:val="00B55880"/>
    <w:rsid w:val="00B56E30"/>
    <w:rsid w:val="00B56FAE"/>
    <w:rsid w:val="00B621BB"/>
    <w:rsid w:val="00B62864"/>
    <w:rsid w:val="00B64209"/>
    <w:rsid w:val="00B64495"/>
    <w:rsid w:val="00B6799E"/>
    <w:rsid w:val="00B723CC"/>
    <w:rsid w:val="00B75ECC"/>
    <w:rsid w:val="00B7767F"/>
    <w:rsid w:val="00B809F7"/>
    <w:rsid w:val="00B8189B"/>
    <w:rsid w:val="00B829AC"/>
    <w:rsid w:val="00B84887"/>
    <w:rsid w:val="00B85355"/>
    <w:rsid w:val="00B86111"/>
    <w:rsid w:val="00B862AF"/>
    <w:rsid w:val="00B91122"/>
    <w:rsid w:val="00B922F7"/>
    <w:rsid w:val="00B93B3D"/>
    <w:rsid w:val="00B93D86"/>
    <w:rsid w:val="00B94D80"/>
    <w:rsid w:val="00B9620A"/>
    <w:rsid w:val="00B96F1C"/>
    <w:rsid w:val="00BA4061"/>
    <w:rsid w:val="00BA6DEF"/>
    <w:rsid w:val="00BB1FD7"/>
    <w:rsid w:val="00BB6B5A"/>
    <w:rsid w:val="00BB6D94"/>
    <w:rsid w:val="00BC47F2"/>
    <w:rsid w:val="00BD2DDE"/>
    <w:rsid w:val="00BD4B50"/>
    <w:rsid w:val="00BD54D8"/>
    <w:rsid w:val="00BD729E"/>
    <w:rsid w:val="00BE292F"/>
    <w:rsid w:val="00BE7516"/>
    <w:rsid w:val="00BE7C30"/>
    <w:rsid w:val="00BF2584"/>
    <w:rsid w:val="00BF4FA6"/>
    <w:rsid w:val="00BF63EF"/>
    <w:rsid w:val="00BF652E"/>
    <w:rsid w:val="00BF6C10"/>
    <w:rsid w:val="00BF7ADA"/>
    <w:rsid w:val="00BF7C5A"/>
    <w:rsid w:val="00C0470E"/>
    <w:rsid w:val="00C059E9"/>
    <w:rsid w:val="00C12739"/>
    <w:rsid w:val="00C12F1E"/>
    <w:rsid w:val="00C13096"/>
    <w:rsid w:val="00C13D6E"/>
    <w:rsid w:val="00C13D83"/>
    <w:rsid w:val="00C16E49"/>
    <w:rsid w:val="00C17FD9"/>
    <w:rsid w:val="00C20C69"/>
    <w:rsid w:val="00C230C8"/>
    <w:rsid w:val="00C250DA"/>
    <w:rsid w:val="00C3023A"/>
    <w:rsid w:val="00C30591"/>
    <w:rsid w:val="00C32F5F"/>
    <w:rsid w:val="00C33955"/>
    <w:rsid w:val="00C3506D"/>
    <w:rsid w:val="00C353A3"/>
    <w:rsid w:val="00C3690D"/>
    <w:rsid w:val="00C52C18"/>
    <w:rsid w:val="00C60EC3"/>
    <w:rsid w:val="00C6145D"/>
    <w:rsid w:val="00C62766"/>
    <w:rsid w:val="00C70D95"/>
    <w:rsid w:val="00C71AFB"/>
    <w:rsid w:val="00C72C28"/>
    <w:rsid w:val="00C7419B"/>
    <w:rsid w:val="00C75A59"/>
    <w:rsid w:val="00C760D0"/>
    <w:rsid w:val="00C83612"/>
    <w:rsid w:val="00C8489F"/>
    <w:rsid w:val="00C85983"/>
    <w:rsid w:val="00C87027"/>
    <w:rsid w:val="00C9055D"/>
    <w:rsid w:val="00C910AF"/>
    <w:rsid w:val="00C923C0"/>
    <w:rsid w:val="00C93885"/>
    <w:rsid w:val="00C93B31"/>
    <w:rsid w:val="00C96479"/>
    <w:rsid w:val="00C97F0D"/>
    <w:rsid w:val="00CA5B11"/>
    <w:rsid w:val="00CA6423"/>
    <w:rsid w:val="00CB289E"/>
    <w:rsid w:val="00CC2CA3"/>
    <w:rsid w:val="00CC2CF4"/>
    <w:rsid w:val="00CD0BE6"/>
    <w:rsid w:val="00CD0BF6"/>
    <w:rsid w:val="00CD304D"/>
    <w:rsid w:val="00CD59F4"/>
    <w:rsid w:val="00CD61EE"/>
    <w:rsid w:val="00CD73BF"/>
    <w:rsid w:val="00CE0A0D"/>
    <w:rsid w:val="00CE0BF3"/>
    <w:rsid w:val="00CE2C44"/>
    <w:rsid w:val="00CF28FB"/>
    <w:rsid w:val="00CF4F79"/>
    <w:rsid w:val="00CF59CC"/>
    <w:rsid w:val="00CF76BD"/>
    <w:rsid w:val="00D03687"/>
    <w:rsid w:val="00D06861"/>
    <w:rsid w:val="00D07364"/>
    <w:rsid w:val="00D076E1"/>
    <w:rsid w:val="00D07DEE"/>
    <w:rsid w:val="00D10EA8"/>
    <w:rsid w:val="00D121C9"/>
    <w:rsid w:val="00D13052"/>
    <w:rsid w:val="00D14414"/>
    <w:rsid w:val="00D15F53"/>
    <w:rsid w:val="00D166CC"/>
    <w:rsid w:val="00D17B1D"/>
    <w:rsid w:val="00D209C0"/>
    <w:rsid w:val="00D226F9"/>
    <w:rsid w:val="00D23640"/>
    <w:rsid w:val="00D271D7"/>
    <w:rsid w:val="00D30C78"/>
    <w:rsid w:val="00D30DC0"/>
    <w:rsid w:val="00D32F49"/>
    <w:rsid w:val="00D3396A"/>
    <w:rsid w:val="00D35205"/>
    <w:rsid w:val="00D35F3B"/>
    <w:rsid w:val="00D41440"/>
    <w:rsid w:val="00D4145F"/>
    <w:rsid w:val="00D41F81"/>
    <w:rsid w:val="00D43A7A"/>
    <w:rsid w:val="00D5039C"/>
    <w:rsid w:val="00D5440E"/>
    <w:rsid w:val="00D5473C"/>
    <w:rsid w:val="00D548E2"/>
    <w:rsid w:val="00D55D08"/>
    <w:rsid w:val="00D603DE"/>
    <w:rsid w:val="00D662B6"/>
    <w:rsid w:val="00D66D33"/>
    <w:rsid w:val="00D70BBE"/>
    <w:rsid w:val="00D70E03"/>
    <w:rsid w:val="00D73100"/>
    <w:rsid w:val="00D749A9"/>
    <w:rsid w:val="00D76159"/>
    <w:rsid w:val="00D77AAD"/>
    <w:rsid w:val="00D8081E"/>
    <w:rsid w:val="00D80B5B"/>
    <w:rsid w:val="00D81D84"/>
    <w:rsid w:val="00D8298E"/>
    <w:rsid w:val="00D84477"/>
    <w:rsid w:val="00D84993"/>
    <w:rsid w:val="00D85C42"/>
    <w:rsid w:val="00D95D0C"/>
    <w:rsid w:val="00D97357"/>
    <w:rsid w:val="00D9774E"/>
    <w:rsid w:val="00DA0DD8"/>
    <w:rsid w:val="00DA0F27"/>
    <w:rsid w:val="00DA694D"/>
    <w:rsid w:val="00DA6FAD"/>
    <w:rsid w:val="00DC06D9"/>
    <w:rsid w:val="00DC11EF"/>
    <w:rsid w:val="00DC2C0C"/>
    <w:rsid w:val="00DC2E0C"/>
    <w:rsid w:val="00DC3936"/>
    <w:rsid w:val="00DC5127"/>
    <w:rsid w:val="00DC6DA9"/>
    <w:rsid w:val="00DC74FC"/>
    <w:rsid w:val="00DC7D5C"/>
    <w:rsid w:val="00DD2B88"/>
    <w:rsid w:val="00DD3888"/>
    <w:rsid w:val="00DD3CEB"/>
    <w:rsid w:val="00DE0DDA"/>
    <w:rsid w:val="00DE26E9"/>
    <w:rsid w:val="00DE34BD"/>
    <w:rsid w:val="00DE5705"/>
    <w:rsid w:val="00DE6FD0"/>
    <w:rsid w:val="00DF3242"/>
    <w:rsid w:val="00DF3806"/>
    <w:rsid w:val="00DF698C"/>
    <w:rsid w:val="00DF7C7F"/>
    <w:rsid w:val="00DF7EB9"/>
    <w:rsid w:val="00E005BA"/>
    <w:rsid w:val="00E024C2"/>
    <w:rsid w:val="00E05D9A"/>
    <w:rsid w:val="00E06FE4"/>
    <w:rsid w:val="00E07A23"/>
    <w:rsid w:val="00E10F31"/>
    <w:rsid w:val="00E1106A"/>
    <w:rsid w:val="00E12BCB"/>
    <w:rsid w:val="00E12DA9"/>
    <w:rsid w:val="00E13FDD"/>
    <w:rsid w:val="00E142BA"/>
    <w:rsid w:val="00E145F7"/>
    <w:rsid w:val="00E148F3"/>
    <w:rsid w:val="00E14CB4"/>
    <w:rsid w:val="00E15F80"/>
    <w:rsid w:val="00E16EAA"/>
    <w:rsid w:val="00E176EB"/>
    <w:rsid w:val="00E17B0F"/>
    <w:rsid w:val="00E17B38"/>
    <w:rsid w:val="00E20257"/>
    <w:rsid w:val="00E246F8"/>
    <w:rsid w:val="00E25326"/>
    <w:rsid w:val="00E25E8D"/>
    <w:rsid w:val="00E33B6A"/>
    <w:rsid w:val="00E3797B"/>
    <w:rsid w:val="00E401B2"/>
    <w:rsid w:val="00E422AB"/>
    <w:rsid w:val="00E43F19"/>
    <w:rsid w:val="00E45108"/>
    <w:rsid w:val="00E4542D"/>
    <w:rsid w:val="00E4613C"/>
    <w:rsid w:val="00E51CB3"/>
    <w:rsid w:val="00E53A9D"/>
    <w:rsid w:val="00E56CA7"/>
    <w:rsid w:val="00E56CAA"/>
    <w:rsid w:val="00E5788C"/>
    <w:rsid w:val="00E62014"/>
    <w:rsid w:val="00E677B0"/>
    <w:rsid w:val="00E70A3C"/>
    <w:rsid w:val="00E70B53"/>
    <w:rsid w:val="00E72484"/>
    <w:rsid w:val="00E726DA"/>
    <w:rsid w:val="00E74850"/>
    <w:rsid w:val="00E74A34"/>
    <w:rsid w:val="00E7620F"/>
    <w:rsid w:val="00E82D98"/>
    <w:rsid w:val="00E90469"/>
    <w:rsid w:val="00E9136F"/>
    <w:rsid w:val="00E92F1E"/>
    <w:rsid w:val="00E93049"/>
    <w:rsid w:val="00E930F1"/>
    <w:rsid w:val="00E93728"/>
    <w:rsid w:val="00E9423B"/>
    <w:rsid w:val="00E9724B"/>
    <w:rsid w:val="00E97F58"/>
    <w:rsid w:val="00EA1C77"/>
    <w:rsid w:val="00EA4AC9"/>
    <w:rsid w:val="00EA55F8"/>
    <w:rsid w:val="00EB0045"/>
    <w:rsid w:val="00EB04FC"/>
    <w:rsid w:val="00EB303C"/>
    <w:rsid w:val="00EB4C46"/>
    <w:rsid w:val="00EB5CE0"/>
    <w:rsid w:val="00EC0E57"/>
    <w:rsid w:val="00EC1015"/>
    <w:rsid w:val="00EC132C"/>
    <w:rsid w:val="00EC28C7"/>
    <w:rsid w:val="00EC3C55"/>
    <w:rsid w:val="00EC65A2"/>
    <w:rsid w:val="00EC6A56"/>
    <w:rsid w:val="00ED2353"/>
    <w:rsid w:val="00ED3AA4"/>
    <w:rsid w:val="00ED45F2"/>
    <w:rsid w:val="00ED4C4A"/>
    <w:rsid w:val="00ED4E1D"/>
    <w:rsid w:val="00ED6550"/>
    <w:rsid w:val="00EE2A24"/>
    <w:rsid w:val="00EE72F4"/>
    <w:rsid w:val="00EF254E"/>
    <w:rsid w:val="00EF5C54"/>
    <w:rsid w:val="00EF6A12"/>
    <w:rsid w:val="00F0078A"/>
    <w:rsid w:val="00F018BD"/>
    <w:rsid w:val="00F02518"/>
    <w:rsid w:val="00F02DC4"/>
    <w:rsid w:val="00F0412C"/>
    <w:rsid w:val="00F1390C"/>
    <w:rsid w:val="00F1581C"/>
    <w:rsid w:val="00F15DB8"/>
    <w:rsid w:val="00F170DC"/>
    <w:rsid w:val="00F17ACA"/>
    <w:rsid w:val="00F26B1E"/>
    <w:rsid w:val="00F27BB4"/>
    <w:rsid w:val="00F32551"/>
    <w:rsid w:val="00F32E2C"/>
    <w:rsid w:val="00F33CD4"/>
    <w:rsid w:val="00F3759C"/>
    <w:rsid w:val="00F40388"/>
    <w:rsid w:val="00F41DD0"/>
    <w:rsid w:val="00F43608"/>
    <w:rsid w:val="00F443B4"/>
    <w:rsid w:val="00F447C3"/>
    <w:rsid w:val="00F458AD"/>
    <w:rsid w:val="00F4719F"/>
    <w:rsid w:val="00F47850"/>
    <w:rsid w:val="00F53D1D"/>
    <w:rsid w:val="00F605DD"/>
    <w:rsid w:val="00F6070C"/>
    <w:rsid w:val="00F611CE"/>
    <w:rsid w:val="00F64C1C"/>
    <w:rsid w:val="00F74DE8"/>
    <w:rsid w:val="00F75597"/>
    <w:rsid w:val="00F75DB3"/>
    <w:rsid w:val="00F7618D"/>
    <w:rsid w:val="00F84D34"/>
    <w:rsid w:val="00F84E87"/>
    <w:rsid w:val="00F85D86"/>
    <w:rsid w:val="00F872AC"/>
    <w:rsid w:val="00F877F7"/>
    <w:rsid w:val="00F87E72"/>
    <w:rsid w:val="00F90495"/>
    <w:rsid w:val="00F912FD"/>
    <w:rsid w:val="00F91A5A"/>
    <w:rsid w:val="00F92A27"/>
    <w:rsid w:val="00F92B2D"/>
    <w:rsid w:val="00F937C4"/>
    <w:rsid w:val="00F93AFA"/>
    <w:rsid w:val="00F93B8B"/>
    <w:rsid w:val="00F95C42"/>
    <w:rsid w:val="00F97FC0"/>
    <w:rsid w:val="00FA12AC"/>
    <w:rsid w:val="00FA1E10"/>
    <w:rsid w:val="00FA2740"/>
    <w:rsid w:val="00FA5FF3"/>
    <w:rsid w:val="00FA7F03"/>
    <w:rsid w:val="00FB03BE"/>
    <w:rsid w:val="00FB11DD"/>
    <w:rsid w:val="00FB2A24"/>
    <w:rsid w:val="00FB2BBF"/>
    <w:rsid w:val="00FB3435"/>
    <w:rsid w:val="00FB47A7"/>
    <w:rsid w:val="00FB7299"/>
    <w:rsid w:val="00FB7789"/>
    <w:rsid w:val="00FC0F03"/>
    <w:rsid w:val="00FC15B9"/>
    <w:rsid w:val="00FC22E4"/>
    <w:rsid w:val="00FD5A4D"/>
    <w:rsid w:val="00FD7F88"/>
    <w:rsid w:val="00FE1836"/>
    <w:rsid w:val="00FE1F32"/>
    <w:rsid w:val="00FE2619"/>
    <w:rsid w:val="00FE2881"/>
    <w:rsid w:val="00FE404A"/>
    <w:rsid w:val="00FE4D0E"/>
    <w:rsid w:val="00FF5288"/>
    <w:rsid w:val="00FF5522"/>
    <w:rsid w:val="00FF564B"/>
    <w:rsid w:val="00FF7870"/>
    <w:rsid w:val="05CB7B72"/>
    <w:rsid w:val="0601E672"/>
    <w:rsid w:val="06BE7EEF"/>
    <w:rsid w:val="073C3658"/>
    <w:rsid w:val="091F148E"/>
    <w:rsid w:val="092E1517"/>
    <w:rsid w:val="09B37E48"/>
    <w:rsid w:val="09CBBF2C"/>
    <w:rsid w:val="0BE222B8"/>
    <w:rsid w:val="0D900A5B"/>
    <w:rsid w:val="0D93DDFD"/>
    <w:rsid w:val="0E4A155F"/>
    <w:rsid w:val="0E79EA45"/>
    <w:rsid w:val="0FB51F00"/>
    <w:rsid w:val="0FE19383"/>
    <w:rsid w:val="129698E4"/>
    <w:rsid w:val="1509F785"/>
    <w:rsid w:val="19141F13"/>
    <w:rsid w:val="199FC945"/>
    <w:rsid w:val="1A808AF9"/>
    <w:rsid w:val="1AA5A615"/>
    <w:rsid w:val="1BB39F3B"/>
    <w:rsid w:val="1C003408"/>
    <w:rsid w:val="2092777A"/>
    <w:rsid w:val="2184A2F8"/>
    <w:rsid w:val="21FA67F6"/>
    <w:rsid w:val="23769376"/>
    <w:rsid w:val="24506EB2"/>
    <w:rsid w:val="24A26479"/>
    <w:rsid w:val="25ABE13D"/>
    <w:rsid w:val="27880F74"/>
    <w:rsid w:val="2791BA59"/>
    <w:rsid w:val="29BF1322"/>
    <w:rsid w:val="2B08FADD"/>
    <w:rsid w:val="2E1EB7E0"/>
    <w:rsid w:val="30FFC929"/>
    <w:rsid w:val="331822A1"/>
    <w:rsid w:val="33DA2484"/>
    <w:rsid w:val="349F13F1"/>
    <w:rsid w:val="3833A50F"/>
    <w:rsid w:val="385EAA53"/>
    <w:rsid w:val="38D0F8D3"/>
    <w:rsid w:val="3A6CC934"/>
    <w:rsid w:val="41B4FA91"/>
    <w:rsid w:val="428D813E"/>
    <w:rsid w:val="44BC2827"/>
    <w:rsid w:val="45DFAB23"/>
    <w:rsid w:val="46410C10"/>
    <w:rsid w:val="4AC033D0"/>
    <w:rsid w:val="4CBA5553"/>
    <w:rsid w:val="4DB55E8A"/>
    <w:rsid w:val="513527DC"/>
    <w:rsid w:val="5228F9C3"/>
    <w:rsid w:val="523BF8A5"/>
    <w:rsid w:val="54124516"/>
    <w:rsid w:val="54B06B09"/>
    <w:rsid w:val="56CF08BD"/>
    <w:rsid w:val="578AEF66"/>
    <w:rsid w:val="5903D11C"/>
    <w:rsid w:val="593ECADE"/>
    <w:rsid w:val="59B484A1"/>
    <w:rsid w:val="5C845442"/>
    <w:rsid w:val="5D2521E4"/>
    <w:rsid w:val="608A9D05"/>
    <w:rsid w:val="61A39B59"/>
    <w:rsid w:val="61FC847E"/>
    <w:rsid w:val="67186E00"/>
    <w:rsid w:val="6BA9377F"/>
    <w:rsid w:val="6E003A1F"/>
    <w:rsid w:val="6F34061B"/>
    <w:rsid w:val="6FE6C694"/>
    <w:rsid w:val="74455033"/>
    <w:rsid w:val="76A7AE41"/>
    <w:rsid w:val="77A09B38"/>
    <w:rsid w:val="77B04373"/>
    <w:rsid w:val="7995DAED"/>
    <w:rsid w:val="7AD83BFA"/>
    <w:rsid w:val="7B20F18F"/>
    <w:rsid w:val="7CBDF0E0"/>
    <w:rsid w:val="7F97082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07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F27"/>
    <w:rPr>
      <w:rFonts w:asciiTheme="minorHAnsi" w:hAnsiTheme="minorHAnsi" w:cstheme="minorBidi"/>
      <w:sz w:val="22"/>
      <w:szCs w:val="22"/>
    </w:rPr>
  </w:style>
  <w:style w:type="paragraph" w:styleId="Titolo1">
    <w:name w:val="heading 1"/>
    <w:basedOn w:val="Normale"/>
    <w:next w:val="Normale"/>
    <w:link w:val="Titolo1Carattere"/>
    <w:uiPriority w:val="9"/>
    <w:qFormat/>
    <w:rsid w:val="00446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46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035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46F27"/>
    <w:rPr>
      <w:rFonts w:asciiTheme="majorHAnsi" w:eastAsiaTheme="majorEastAsia" w:hAnsiTheme="majorHAnsi" w:cstheme="majorBidi"/>
      <w:color w:val="2E74B5" w:themeColor="accent1" w:themeShade="BF"/>
      <w:sz w:val="32"/>
      <w:szCs w:val="32"/>
    </w:rPr>
  </w:style>
  <w:style w:type="paragraph" w:styleId="Pidipagina">
    <w:name w:val="footer"/>
    <w:basedOn w:val="Normale"/>
    <w:link w:val="PidipaginaCarattere"/>
    <w:uiPriority w:val="99"/>
    <w:unhideWhenUsed/>
    <w:rsid w:val="00446F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46F27"/>
    <w:rPr>
      <w:rFonts w:asciiTheme="minorHAnsi" w:hAnsiTheme="minorHAnsi" w:cstheme="minorBidi"/>
      <w:sz w:val="22"/>
      <w:szCs w:val="22"/>
    </w:rPr>
  </w:style>
  <w:style w:type="paragraph" w:styleId="Testonotaapidipagina">
    <w:name w:val="footnote text"/>
    <w:basedOn w:val="Normale"/>
    <w:link w:val="TestonotaapidipaginaCarattere"/>
    <w:uiPriority w:val="99"/>
    <w:unhideWhenUsed/>
    <w:rsid w:val="00446F2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46F27"/>
    <w:rPr>
      <w:rFonts w:asciiTheme="minorHAnsi" w:hAnsiTheme="minorHAnsi" w:cstheme="minorBidi"/>
    </w:rPr>
  </w:style>
  <w:style w:type="character" w:styleId="Rimandonotaapidipagina">
    <w:name w:val="footnote reference"/>
    <w:basedOn w:val="Caratterepredefinitoparagrafo"/>
    <w:uiPriority w:val="99"/>
    <w:unhideWhenUsed/>
    <w:rsid w:val="00446F27"/>
    <w:rPr>
      <w:vertAlign w:val="superscript"/>
    </w:rPr>
  </w:style>
  <w:style w:type="paragraph" w:styleId="Testofumetto">
    <w:name w:val="Balloon Text"/>
    <w:basedOn w:val="Normale"/>
    <w:link w:val="TestofumettoCarattere"/>
    <w:uiPriority w:val="99"/>
    <w:semiHidden/>
    <w:unhideWhenUsed/>
    <w:rsid w:val="00446F27"/>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46F27"/>
    <w:rPr>
      <w:rFonts w:ascii="Segoe UI" w:hAnsi="Segoe UI" w:cs="Segoe UI"/>
      <w:sz w:val="18"/>
      <w:szCs w:val="18"/>
    </w:rPr>
  </w:style>
  <w:style w:type="character" w:customStyle="1" w:styleId="normaltextrun">
    <w:name w:val="normaltextrun"/>
    <w:basedOn w:val="Caratterepredefinitoparagrafo"/>
    <w:rsid w:val="00446F27"/>
  </w:style>
  <w:style w:type="paragraph" w:styleId="Paragrafoelenco">
    <w:name w:val="List Paragraph"/>
    <w:basedOn w:val="Normale"/>
    <w:uiPriority w:val="34"/>
    <w:qFormat/>
    <w:rsid w:val="00446F27"/>
    <w:pPr>
      <w:ind w:left="720"/>
      <w:contextualSpacing/>
    </w:pPr>
  </w:style>
  <w:style w:type="paragraph" w:customStyle="1" w:styleId="testo-leggedj-para-r1">
    <w:name w:val="testo-legge_dj-para-r1"/>
    <w:basedOn w:val="Normale"/>
    <w:rsid w:val="00446F27"/>
    <w:pPr>
      <w:pBdr>
        <w:top w:val="none" w:sz="0" w:space="1" w:color="auto"/>
        <w:bottom w:val="none" w:sz="0" w:space="1" w:color="auto"/>
      </w:pBdr>
      <w:spacing w:after="0" w:line="330" w:lineRule="atLeast"/>
      <w:jc w:val="both"/>
    </w:pPr>
    <w:rPr>
      <w:rFonts w:ascii="Arial" w:eastAsia="Arial" w:hAnsi="Arial" w:cs="Arial"/>
      <w:sz w:val="24"/>
      <w:szCs w:val="24"/>
      <w:lang w:eastAsia="it-IT"/>
    </w:rPr>
  </w:style>
  <w:style w:type="character" w:styleId="Collegamentoipertestuale">
    <w:name w:val="Hyperlink"/>
    <w:basedOn w:val="Caratterepredefinitoparagrafo"/>
    <w:uiPriority w:val="99"/>
    <w:unhideWhenUsed/>
    <w:rsid w:val="00446F27"/>
    <w:rPr>
      <w:color w:val="0563C1" w:themeColor="hyperlink"/>
      <w:u w:val="single"/>
    </w:rPr>
  </w:style>
  <w:style w:type="character" w:styleId="Rimandocommento">
    <w:name w:val="annotation reference"/>
    <w:basedOn w:val="Caratterepredefinitoparagrafo"/>
    <w:uiPriority w:val="99"/>
    <w:semiHidden/>
    <w:unhideWhenUsed/>
    <w:rsid w:val="00446F27"/>
    <w:rPr>
      <w:sz w:val="16"/>
      <w:szCs w:val="16"/>
    </w:rPr>
  </w:style>
  <w:style w:type="paragraph" w:styleId="Testocommento">
    <w:name w:val="annotation text"/>
    <w:basedOn w:val="Normale"/>
    <w:link w:val="TestocommentoCarattere"/>
    <w:uiPriority w:val="99"/>
    <w:unhideWhenUsed/>
    <w:rsid w:val="00446F27"/>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446F27"/>
    <w:rPr>
      <w:rFonts w:asciiTheme="minorHAnsi" w:hAnsiTheme="minorHAnsi" w:cstheme="minorBidi"/>
    </w:rPr>
  </w:style>
  <w:style w:type="paragraph" w:styleId="Intestazione">
    <w:name w:val="header"/>
    <w:basedOn w:val="Normale"/>
    <w:link w:val="IntestazioneCarattere"/>
    <w:uiPriority w:val="99"/>
    <w:unhideWhenUsed/>
    <w:rsid w:val="00446F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46F27"/>
    <w:rPr>
      <w:rFonts w:asciiTheme="minorHAnsi" w:hAnsiTheme="minorHAnsi" w:cstheme="minorBidi"/>
      <w:sz w:val="22"/>
      <w:szCs w:val="22"/>
    </w:rPr>
  </w:style>
  <w:style w:type="paragraph" w:customStyle="1" w:styleId="paragraph">
    <w:name w:val="paragraph"/>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atterepredefinitoparagrafo"/>
    <w:rsid w:val="00446F27"/>
  </w:style>
  <w:style w:type="character" w:customStyle="1" w:styleId="lbl-numero-articolo">
    <w:name w:val="lbl-numero-articolo"/>
    <w:rsid w:val="00446F27"/>
    <w:rPr>
      <w:b/>
      <w:bCs/>
    </w:rPr>
  </w:style>
  <w:style w:type="paragraph" w:customStyle="1" w:styleId="dj-para-r1">
    <w:name w:val="dj-para-r1"/>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446F27"/>
    <w:pPr>
      <w:pBdr>
        <w:top w:val="none" w:sz="0" w:space="6" w:color="auto"/>
        <w:left w:val="none" w:sz="0" w:space="3" w:color="auto"/>
        <w:bottom w:val="none" w:sz="0" w:space="6" w:color="auto"/>
        <w:right w:val="none" w:sz="0" w:space="3" w:color="auto"/>
      </w:pBdr>
      <w:spacing w:after="0" w:line="330" w:lineRule="atLeast"/>
    </w:pPr>
    <w:rPr>
      <w:rFonts w:ascii="Arial" w:eastAsia="Arial" w:hAnsi="Arial" w:cs="Arial"/>
      <w:sz w:val="24"/>
      <w:szCs w:val="24"/>
      <w:lang w:eastAsia="it-IT"/>
    </w:rPr>
  </w:style>
  <w:style w:type="paragraph" w:customStyle="1" w:styleId="dj-para-r3">
    <w:name w:val="dj-para-r3"/>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4">
    <w:name w:val="dj-para-r4"/>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446F27"/>
    <w:rPr>
      <w:rFonts w:ascii="Times New Roman" w:hAnsi="Times New Roman" w:cs="Times New Roman"/>
      <w:sz w:val="24"/>
      <w:szCs w:val="24"/>
    </w:rPr>
  </w:style>
  <w:style w:type="character" w:customStyle="1" w:styleId="provvnumart">
    <w:name w:val="provv_numart"/>
    <w:basedOn w:val="Caratterepredefinitoparagrafo"/>
    <w:rsid w:val="00446F27"/>
  </w:style>
  <w:style w:type="character" w:customStyle="1" w:styleId="provvrubrica">
    <w:name w:val="provv_rubrica"/>
    <w:basedOn w:val="Caratterepredefinitoparagrafo"/>
    <w:rsid w:val="00446F27"/>
  </w:style>
  <w:style w:type="character" w:customStyle="1" w:styleId="provvnumcomma">
    <w:name w:val="provv_numcomma"/>
    <w:basedOn w:val="Caratterepredefinitoparagrafo"/>
    <w:rsid w:val="00446F27"/>
  </w:style>
  <w:style w:type="character" w:customStyle="1" w:styleId="linkneltesto">
    <w:name w:val="link_nel_testo"/>
    <w:basedOn w:val="Caratterepredefinitoparagrafo"/>
    <w:rsid w:val="00446F27"/>
  </w:style>
  <w:style w:type="paragraph" w:styleId="Nessunaspaziatura">
    <w:name w:val="No Spacing"/>
    <w:uiPriority w:val="1"/>
    <w:qFormat/>
    <w:rsid w:val="00446F27"/>
    <w:pPr>
      <w:spacing w:after="0" w:line="240" w:lineRule="auto"/>
    </w:pPr>
    <w:rPr>
      <w:rFonts w:ascii="Calibri" w:eastAsia="Calibri" w:hAnsi="Calibri" w:cs="Calibri"/>
      <w:sz w:val="22"/>
      <w:szCs w:val="22"/>
      <w:lang w:eastAsia="it-IT"/>
    </w:rPr>
  </w:style>
  <w:style w:type="paragraph" w:styleId="Sommario1">
    <w:name w:val="toc 1"/>
    <w:basedOn w:val="Normale"/>
    <w:next w:val="Normale"/>
    <w:autoRedefine/>
    <w:uiPriority w:val="39"/>
    <w:unhideWhenUsed/>
    <w:rsid w:val="00446F27"/>
    <w:pPr>
      <w:tabs>
        <w:tab w:val="right" w:leader="dot" w:pos="8920"/>
      </w:tabs>
      <w:jc w:val="both"/>
    </w:pPr>
    <w:rPr>
      <w:rFonts w:ascii="Times New Roman" w:hAnsi="Times New Roman" w:cs="Times New Roman"/>
      <w:b/>
      <w:sz w:val="24"/>
      <w:lang w:eastAsia="it-IT"/>
    </w:rPr>
  </w:style>
  <w:style w:type="paragraph" w:customStyle="1" w:styleId="provvr0">
    <w:name w:val="provv_r0"/>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446F27"/>
    <w:pPr>
      <w:spacing w:after="0" w:line="240" w:lineRule="auto"/>
    </w:pPr>
    <w:rPr>
      <w:rFonts w:asciiTheme="minorHAnsi" w:hAnsiTheme="minorHAnsi" w:cstheme="minorBidi"/>
      <w:sz w:val="22"/>
      <w:szCs w:val="22"/>
    </w:rPr>
  </w:style>
  <w:style w:type="paragraph" w:styleId="Soggettocommento">
    <w:name w:val="annotation subject"/>
    <w:basedOn w:val="Testocommento"/>
    <w:next w:val="Testocommento"/>
    <w:link w:val="SoggettocommentoCarattere"/>
    <w:uiPriority w:val="99"/>
    <w:semiHidden/>
    <w:unhideWhenUsed/>
    <w:rsid w:val="00446F27"/>
    <w:rPr>
      <w:b/>
      <w:bCs/>
    </w:rPr>
  </w:style>
  <w:style w:type="character" w:customStyle="1" w:styleId="SoggettocommentoCarattere">
    <w:name w:val="Soggetto commento Carattere"/>
    <w:basedOn w:val="TestocommentoCarattere"/>
    <w:link w:val="Soggettocommento"/>
    <w:uiPriority w:val="99"/>
    <w:semiHidden/>
    <w:rsid w:val="00446F27"/>
    <w:rPr>
      <w:rFonts w:asciiTheme="minorHAnsi" w:hAnsiTheme="minorHAnsi" w:cstheme="minorBidi"/>
      <w:b/>
      <w:bCs/>
    </w:rPr>
  </w:style>
  <w:style w:type="table" w:customStyle="1" w:styleId="Grigliatabella2">
    <w:name w:val="Griglia tabella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6F27"/>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Caratterepredefinitoparagrafo"/>
    <w:rsid w:val="00446F27"/>
  </w:style>
  <w:style w:type="character" w:customStyle="1" w:styleId="Hyperlink0">
    <w:name w:val="Hyperlink.0"/>
    <w:basedOn w:val="Caratterepredefinitoparagrafo"/>
    <w:rsid w:val="00446F27"/>
    <w:rPr>
      <w:lang w:val="it-IT"/>
    </w:rPr>
  </w:style>
  <w:style w:type="character" w:customStyle="1" w:styleId="Titolo2Carattere">
    <w:name w:val="Titolo 2 Carattere"/>
    <w:basedOn w:val="Caratterepredefinitoparagrafo"/>
    <w:link w:val="Titolo2"/>
    <w:uiPriority w:val="9"/>
    <w:rsid w:val="00446F27"/>
    <w:rPr>
      <w:rFonts w:asciiTheme="majorHAnsi" w:eastAsiaTheme="majorEastAsia" w:hAnsiTheme="majorHAnsi" w:cstheme="majorBidi"/>
      <w:color w:val="2E74B5" w:themeColor="accent1" w:themeShade="BF"/>
      <w:sz w:val="26"/>
      <w:szCs w:val="26"/>
    </w:rPr>
  </w:style>
  <w:style w:type="table" w:customStyle="1" w:styleId="Grigliatabella11">
    <w:name w:val="Griglia tabella11"/>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446F27"/>
    <w:rPr>
      <w:i/>
      <w:iCs/>
    </w:rPr>
  </w:style>
  <w:style w:type="character" w:customStyle="1" w:styleId="ng-binding">
    <w:name w:val="ng-binding"/>
    <w:rsid w:val="00446F27"/>
  </w:style>
  <w:style w:type="table" w:customStyle="1" w:styleId="Grigliatabella13">
    <w:name w:val="Griglia tabella13"/>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446F27"/>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446F27"/>
    <w:rPr>
      <w:rFonts w:asciiTheme="minorHAnsi" w:hAnsiTheme="minorHAnsi" w:cstheme="minorBidi"/>
    </w:rPr>
  </w:style>
  <w:style w:type="character" w:styleId="Rimandonotadichiusura">
    <w:name w:val="endnote reference"/>
    <w:basedOn w:val="Caratterepredefinitoparagrafo"/>
    <w:uiPriority w:val="99"/>
    <w:semiHidden/>
    <w:unhideWhenUsed/>
    <w:rsid w:val="00446F27"/>
    <w:rPr>
      <w:vertAlign w:val="superscript"/>
    </w:rPr>
  </w:style>
  <w:style w:type="table" w:customStyle="1" w:styleId="Grigliatabella6">
    <w:name w:val="Griglia tabella6"/>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1">
    <w:name w:val="Griglia tabella111"/>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2">
    <w:name w:val="Griglia tabella4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83753D"/>
  </w:style>
  <w:style w:type="character" w:customStyle="1" w:styleId="Hyperlink1">
    <w:name w:val="Hyperlink.1"/>
    <w:basedOn w:val="Nessuno"/>
    <w:rsid w:val="0083753D"/>
  </w:style>
  <w:style w:type="paragraph" w:styleId="PreformattatoHTML">
    <w:name w:val="HTML Preformatted"/>
    <w:link w:val="PreformattatoHTMLCarattere"/>
    <w:rsid w:val="0083753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u w:color="000000"/>
      <w:bdr w:val="nil"/>
      <w:lang w:eastAsia="it-IT"/>
    </w:rPr>
  </w:style>
  <w:style w:type="character" w:customStyle="1" w:styleId="PreformattatoHTMLCarattere">
    <w:name w:val="Preformattato HTML Carattere"/>
    <w:basedOn w:val="Caratterepredefinitoparagrafo"/>
    <w:link w:val="PreformattatoHTML"/>
    <w:rsid w:val="0083753D"/>
    <w:rPr>
      <w:rFonts w:ascii="Courier New" w:eastAsia="Arial Unicode MS" w:hAnsi="Courier New" w:cs="Arial Unicode MS"/>
      <w:color w:val="000000"/>
      <w:u w:color="000000"/>
      <w:bdr w:val="nil"/>
      <w:lang w:eastAsia="it-IT"/>
    </w:rPr>
  </w:style>
  <w:style w:type="paragraph" w:styleId="Corpodeltesto">
    <w:name w:val="Body Text"/>
    <w:link w:val="CorpodeltestoCarattere"/>
    <w:rsid w:val="0083753D"/>
    <w:pPr>
      <w:widowControl w:val="0"/>
      <w:pBdr>
        <w:top w:val="nil"/>
        <w:left w:val="nil"/>
        <w:bottom w:val="nil"/>
        <w:right w:val="nil"/>
        <w:between w:val="nil"/>
        <w:bar w:val="nil"/>
      </w:pBdr>
      <w:spacing w:after="0" w:line="240" w:lineRule="auto"/>
      <w:ind w:left="100"/>
      <w:jc w:val="both"/>
    </w:pPr>
    <w:rPr>
      <w:rFonts w:ascii="Courier New" w:eastAsia="Arial Unicode MS" w:hAnsi="Courier New" w:cs="Arial Unicode MS"/>
      <w:color w:val="000000"/>
      <w:sz w:val="24"/>
      <w:szCs w:val="24"/>
      <w:u w:color="000000"/>
      <w:bdr w:val="nil"/>
      <w:lang w:eastAsia="it-IT"/>
    </w:rPr>
  </w:style>
  <w:style w:type="character" w:customStyle="1" w:styleId="CorpodeltestoCarattere">
    <w:name w:val="Corpo del testo Carattere"/>
    <w:basedOn w:val="Caratterepredefinitoparagrafo"/>
    <w:link w:val="Corpodeltesto"/>
    <w:rsid w:val="0083753D"/>
    <w:rPr>
      <w:rFonts w:ascii="Courier New" w:eastAsia="Arial Unicode MS" w:hAnsi="Courier New" w:cs="Arial Unicode MS"/>
      <w:color w:val="000000"/>
      <w:sz w:val="24"/>
      <w:szCs w:val="24"/>
      <w:u w:color="000000"/>
      <w:bdr w:val="nil"/>
      <w:lang w:eastAsia="it-IT"/>
    </w:rPr>
  </w:style>
  <w:style w:type="character" w:customStyle="1" w:styleId="Hyperlink3">
    <w:name w:val="Hyperlink.3"/>
    <w:basedOn w:val="Nessuno"/>
    <w:rsid w:val="0083753D"/>
    <w:rPr>
      <w:rFonts w:ascii="Times New Roman" w:eastAsia="Times New Roman" w:hAnsi="Times New Roman" w:cs="Times New Roman"/>
      <w:sz w:val="24"/>
      <w:szCs w:val="24"/>
      <w:lang w:val="it-IT"/>
    </w:rPr>
  </w:style>
  <w:style w:type="character" w:customStyle="1" w:styleId="Hyperlink4">
    <w:name w:val="Hyperlink.4"/>
    <w:basedOn w:val="Nessuno"/>
    <w:rsid w:val="0083753D"/>
    <w:rPr>
      <w:rFonts w:ascii="Times New Roman" w:eastAsia="Times New Roman" w:hAnsi="Times New Roman" w:cs="Times New Roman"/>
      <w:lang w:val="it-IT"/>
    </w:rPr>
  </w:style>
  <w:style w:type="paragraph" w:customStyle="1" w:styleId="Standard">
    <w:name w:val="Standard"/>
    <w:rsid w:val="0083753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kern w:val="3"/>
      <w:sz w:val="22"/>
      <w:szCs w:val="22"/>
      <w:u w:color="000000"/>
      <w:bdr w:val="nil"/>
      <w:lang w:eastAsia="it-IT"/>
    </w:rPr>
  </w:style>
  <w:style w:type="character" w:customStyle="1" w:styleId="Hyperlink5">
    <w:name w:val="Hyperlink.5"/>
    <w:basedOn w:val="Nessuno"/>
    <w:rsid w:val="0083753D"/>
    <w:rPr>
      <w:rFonts w:ascii="Times New Roman" w:eastAsia="Times New Roman" w:hAnsi="Times New Roman" w:cs="Times New Roman"/>
      <w:b/>
      <w:bCs/>
      <w:outline w:val="0"/>
      <w:color w:val="FF0000"/>
      <w:u w:color="FF0000"/>
      <w:lang w:val="it-IT"/>
    </w:rPr>
  </w:style>
  <w:style w:type="character" w:customStyle="1" w:styleId="Hyperlink6">
    <w:name w:val="Hyperlink.6"/>
    <w:basedOn w:val="Nessuno"/>
    <w:rsid w:val="0083753D"/>
    <w:rPr>
      <w:rFonts w:ascii="Calibri" w:eastAsia="Calibri" w:hAnsi="Calibri" w:cs="Calibri"/>
      <w:sz w:val="22"/>
      <w:szCs w:val="22"/>
    </w:rPr>
  </w:style>
  <w:style w:type="character" w:customStyle="1" w:styleId="Hyperlink7">
    <w:name w:val="Hyperlink.7"/>
    <w:basedOn w:val="Nessuno"/>
    <w:rsid w:val="0083753D"/>
    <w:rPr>
      <w:outline w:val="0"/>
      <w:color w:val="000000"/>
      <w:u w:color="000000"/>
      <w:lang w:val="it-IT"/>
    </w:rPr>
  </w:style>
  <w:style w:type="character" w:customStyle="1" w:styleId="Hyperlink8">
    <w:name w:val="Hyperlink.8"/>
    <w:basedOn w:val="Caratterepredefinitoparagrafo"/>
    <w:rsid w:val="0083753D"/>
    <w:rPr>
      <w:outline w:val="0"/>
      <w:color w:val="000000"/>
      <w:u w:val="none" w:color="000000"/>
      <w:lang w:val="it-IT"/>
    </w:rPr>
  </w:style>
  <w:style w:type="character" w:customStyle="1" w:styleId="Hyperlink9">
    <w:name w:val="Hyperlink.9"/>
    <w:basedOn w:val="Caratterepredefinitoparagrafo"/>
    <w:rsid w:val="0083753D"/>
    <w:rPr>
      <w:rFonts w:ascii="Times New Roman" w:eastAsia="Times New Roman" w:hAnsi="Times New Roman" w:cs="Times New Roman"/>
      <w:b/>
      <w:bCs/>
      <w:i/>
      <w:iCs/>
      <w:outline w:val="0"/>
      <w:color w:val="000000"/>
      <w:u w:val="none" w:color="000000"/>
      <w:lang w:val="it-IT"/>
    </w:rPr>
  </w:style>
  <w:style w:type="paragraph" w:customStyle="1" w:styleId="provvc">
    <w:name w:val="provv_c"/>
    <w:basedOn w:val="Normale"/>
    <w:rsid w:val="003610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atterepredefinitoparagrafo"/>
    <w:link w:val="Titolo3"/>
    <w:uiPriority w:val="9"/>
    <w:semiHidden/>
    <w:rsid w:val="00035CA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F27"/>
    <w:rPr>
      <w:rFonts w:asciiTheme="minorHAnsi" w:hAnsiTheme="minorHAnsi" w:cstheme="minorBidi"/>
      <w:sz w:val="22"/>
      <w:szCs w:val="22"/>
    </w:rPr>
  </w:style>
  <w:style w:type="paragraph" w:styleId="Titolo1">
    <w:name w:val="heading 1"/>
    <w:basedOn w:val="Normale"/>
    <w:next w:val="Normale"/>
    <w:link w:val="Titolo1Carattere"/>
    <w:uiPriority w:val="9"/>
    <w:qFormat/>
    <w:rsid w:val="00446F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446F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035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46F27"/>
    <w:rPr>
      <w:rFonts w:asciiTheme="majorHAnsi" w:eastAsiaTheme="majorEastAsia" w:hAnsiTheme="majorHAnsi" w:cstheme="majorBidi"/>
      <w:color w:val="2E74B5" w:themeColor="accent1" w:themeShade="BF"/>
      <w:sz w:val="32"/>
      <w:szCs w:val="32"/>
    </w:rPr>
  </w:style>
  <w:style w:type="paragraph" w:styleId="Pidipagina">
    <w:name w:val="footer"/>
    <w:basedOn w:val="Normale"/>
    <w:link w:val="PidipaginaCarattere"/>
    <w:uiPriority w:val="99"/>
    <w:unhideWhenUsed/>
    <w:rsid w:val="00446F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46F27"/>
    <w:rPr>
      <w:rFonts w:asciiTheme="minorHAnsi" w:hAnsiTheme="minorHAnsi" w:cstheme="minorBidi"/>
      <w:sz w:val="22"/>
      <w:szCs w:val="22"/>
    </w:rPr>
  </w:style>
  <w:style w:type="paragraph" w:styleId="Testonotaapidipagina">
    <w:name w:val="footnote text"/>
    <w:basedOn w:val="Normale"/>
    <w:link w:val="TestonotaapidipaginaCarattere"/>
    <w:uiPriority w:val="99"/>
    <w:unhideWhenUsed/>
    <w:rsid w:val="00446F27"/>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rsid w:val="00446F27"/>
    <w:rPr>
      <w:rFonts w:asciiTheme="minorHAnsi" w:hAnsiTheme="minorHAnsi" w:cstheme="minorBidi"/>
    </w:rPr>
  </w:style>
  <w:style w:type="character" w:styleId="Rimandonotaapidipagina">
    <w:name w:val="footnote reference"/>
    <w:basedOn w:val="Caratterepredefinitoparagrafo"/>
    <w:uiPriority w:val="99"/>
    <w:unhideWhenUsed/>
    <w:rsid w:val="00446F27"/>
    <w:rPr>
      <w:vertAlign w:val="superscript"/>
    </w:rPr>
  </w:style>
  <w:style w:type="paragraph" w:styleId="Testofumetto">
    <w:name w:val="Balloon Text"/>
    <w:basedOn w:val="Normale"/>
    <w:link w:val="TestofumettoCarattere"/>
    <w:uiPriority w:val="99"/>
    <w:semiHidden/>
    <w:unhideWhenUsed/>
    <w:rsid w:val="00446F27"/>
    <w:pPr>
      <w:spacing w:after="0"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446F27"/>
    <w:rPr>
      <w:rFonts w:ascii="Segoe UI" w:hAnsi="Segoe UI" w:cs="Segoe UI"/>
      <w:sz w:val="18"/>
      <w:szCs w:val="18"/>
    </w:rPr>
  </w:style>
  <w:style w:type="character" w:customStyle="1" w:styleId="normaltextrun">
    <w:name w:val="normaltextrun"/>
    <w:basedOn w:val="Caratterepredefinitoparagrafo"/>
    <w:rsid w:val="00446F27"/>
  </w:style>
  <w:style w:type="paragraph" w:styleId="Paragrafoelenco">
    <w:name w:val="List Paragraph"/>
    <w:basedOn w:val="Normale"/>
    <w:uiPriority w:val="34"/>
    <w:qFormat/>
    <w:rsid w:val="00446F27"/>
    <w:pPr>
      <w:ind w:left="720"/>
      <w:contextualSpacing/>
    </w:pPr>
  </w:style>
  <w:style w:type="paragraph" w:customStyle="1" w:styleId="testo-leggedj-para-r1">
    <w:name w:val="testo-legge_dj-para-r1"/>
    <w:basedOn w:val="Normale"/>
    <w:rsid w:val="00446F27"/>
    <w:pPr>
      <w:pBdr>
        <w:top w:val="none" w:sz="0" w:space="1" w:color="auto"/>
        <w:bottom w:val="none" w:sz="0" w:space="1" w:color="auto"/>
      </w:pBdr>
      <w:spacing w:after="0" w:line="330" w:lineRule="atLeast"/>
      <w:jc w:val="both"/>
    </w:pPr>
    <w:rPr>
      <w:rFonts w:ascii="Arial" w:eastAsia="Arial" w:hAnsi="Arial" w:cs="Arial"/>
      <w:sz w:val="24"/>
      <w:szCs w:val="24"/>
      <w:lang w:eastAsia="it-IT"/>
    </w:rPr>
  </w:style>
  <w:style w:type="character" w:styleId="Collegamentoipertestuale">
    <w:name w:val="Hyperlink"/>
    <w:basedOn w:val="Caratterepredefinitoparagrafo"/>
    <w:uiPriority w:val="99"/>
    <w:unhideWhenUsed/>
    <w:rsid w:val="00446F27"/>
    <w:rPr>
      <w:color w:val="0563C1" w:themeColor="hyperlink"/>
      <w:u w:val="single"/>
    </w:rPr>
  </w:style>
  <w:style w:type="character" w:styleId="Rimandocommento">
    <w:name w:val="annotation reference"/>
    <w:basedOn w:val="Caratterepredefinitoparagrafo"/>
    <w:uiPriority w:val="99"/>
    <w:semiHidden/>
    <w:unhideWhenUsed/>
    <w:rsid w:val="00446F27"/>
    <w:rPr>
      <w:sz w:val="16"/>
      <w:szCs w:val="16"/>
    </w:rPr>
  </w:style>
  <w:style w:type="paragraph" w:styleId="Testocommento">
    <w:name w:val="annotation text"/>
    <w:basedOn w:val="Normale"/>
    <w:link w:val="TestocommentoCarattere"/>
    <w:uiPriority w:val="99"/>
    <w:unhideWhenUsed/>
    <w:rsid w:val="00446F27"/>
    <w:pPr>
      <w:spacing w:line="240" w:lineRule="auto"/>
    </w:pPr>
    <w:rPr>
      <w:sz w:val="20"/>
      <w:szCs w:val="20"/>
    </w:rPr>
  </w:style>
  <w:style w:type="character" w:customStyle="1" w:styleId="TestocommentoCarattere">
    <w:name w:val="Testo commento Carattere"/>
    <w:basedOn w:val="Caratterepredefinitoparagrafo"/>
    <w:link w:val="Testocommento"/>
    <w:uiPriority w:val="99"/>
    <w:rsid w:val="00446F27"/>
    <w:rPr>
      <w:rFonts w:asciiTheme="minorHAnsi" w:hAnsiTheme="minorHAnsi" w:cstheme="minorBidi"/>
    </w:rPr>
  </w:style>
  <w:style w:type="paragraph" w:styleId="Intestazione">
    <w:name w:val="header"/>
    <w:basedOn w:val="Normale"/>
    <w:link w:val="IntestazioneCarattere"/>
    <w:uiPriority w:val="99"/>
    <w:unhideWhenUsed/>
    <w:rsid w:val="00446F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46F27"/>
    <w:rPr>
      <w:rFonts w:asciiTheme="minorHAnsi" w:hAnsiTheme="minorHAnsi" w:cstheme="minorBidi"/>
      <w:sz w:val="22"/>
      <w:szCs w:val="22"/>
    </w:rPr>
  </w:style>
  <w:style w:type="paragraph" w:customStyle="1" w:styleId="paragraph">
    <w:name w:val="paragraph"/>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op">
    <w:name w:val="eop"/>
    <w:basedOn w:val="Caratterepredefinitoparagrafo"/>
    <w:rsid w:val="00446F27"/>
  </w:style>
  <w:style w:type="character" w:customStyle="1" w:styleId="lbl-numero-articolo">
    <w:name w:val="lbl-numero-articolo"/>
    <w:rsid w:val="00446F27"/>
    <w:rPr>
      <w:b/>
      <w:bCs/>
    </w:rPr>
  </w:style>
  <w:style w:type="paragraph" w:customStyle="1" w:styleId="dj-para-r1">
    <w:name w:val="dj-para-r1"/>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2">
    <w:name w:val="dj-para-r2"/>
    <w:basedOn w:val="Normale"/>
    <w:rsid w:val="00446F27"/>
    <w:pPr>
      <w:pBdr>
        <w:top w:val="none" w:sz="0" w:space="6" w:color="auto"/>
        <w:left w:val="none" w:sz="0" w:space="3" w:color="auto"/>
        <w:bottom w:val="none" w:sz="0" w:space="6" w:color="auto"/>
        <w:right w:val="none" w:sz="0" w:space="3" w:color="auto"/>
      </w:pBdr>
      <w:spacing w:after="0" w:line="330" w:lineRule="atLeast"/>
    </w:pPr>
    <w:rPr>
      <w:rFonts w:ascii="Arial" w:eastAsia="Arial" w:hAnsi="Arial" w:cs="Arial"/>
      <w:sz w:val="24"/>
      <w:szCs w:val="24"/>
      <w:lang w:eastAsia="it-IT"/>
    </w:rPr>
  </w:style>
  <w:style w:type="paragraph" w:customStyle="1" w:styleId="dj-para-r3">
    <w:name w:val="dj-para-r3"/>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j-para-r4">
    <w:name w:val="dj-para-r4"/>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446F27"/>
    <w:rPr>
      <w:rFonts w:ascii="Times New Roman" w:hAnsi="Times New Roman" w:cs="Times New Roman"/>
      <w:sz w:val="24"/>
      <w:szCs w:val="24"/>
    </w:rPr>
  </w:style>
  <w:style w:type="character" w:customStyle="1" w:styleId="provvnumart">
    <w:name w:val="provv_numart"/>
    <w:basedOn w:val="Caratterepredefinitoparagrafo"/>
    <w:rsid w:val="00446F27"/>
  </w:style>
  <w:style w:type="character" w:customStyle="1" w:styleId="provvrubrica">
    <w:name w:val="provv_rubrica"/>
    <w:basedOn w:val="Caratterepredefinitoparagrafo"/>
    <w:rsid w:val="00446F27"/>
  </w:style>
  <w:style w:type="character" w:customStyle="1" w:styleId="provvnumcomma">
    <w:name w:val="provv_numcomma"/>
    <w:basedOn w:val="Caratterepredefinitoparagrafo"/>
    <w:rsid w:val="00446F27"/>
  </w:style>
  <w:style w:type="character" w:customStyle="1" w:styleId="linkneltesto">
    <w:name w:val="link_nel_testo"/>
    <w:basedOn w:val="Caratterepredefinitoparagrafo"/>
    <w:rsid w:val="00446F27"/>
  </w:style>
  <w:style w:type="paragraph" w:styleId="Nessunaspaziatura">
    <w:name w:val="No Spacing"/>
    <w:uiPriority w:val="1"/>
    <w:qFormat/>
    <w:rsid w:val="00446F27"/>
    <w:pPr>
      <w:spacing w:after="0" w:line="240" w:lineRule="auto"/>
    </w:pPr>
    <w:rPr>
      <w:rFonts w:ascii="Calibri" w:eastAsia="Calibri" w:hAnsi="Calibri" w:cs="Calibri"/>
      <w:sz w:val="22"/>
      <w:szCs w:val="22"/>
      <w:lang w:eastAsia="it-IT"/>
    </w:rPr>
  </w:style>
  <w:style w:type="paragraph" w:styleId="Sommario1">
    <w:name w:val="toc 1"/>
    <w:basedOn w:val="Normale"/>
    <w:next w:val="Normale"/>
    <w:autoRedefine/>
    <w:uiPriority w:val="39"/>
    <w:unhideWhenUsed/>
    <w:rsid w:val="00446F27"/>
    <w:pPr>
      <w:tabs>
        <w:tab w:val="right" w:leader="dot" w:pos="8920"/>
      </w:tabs>
      <w:jc w:val="both"/>
    </w:pPr>
    <w:rPr>
      <w:rFonts w:ascii="Times New Roman" w:hAnsi="Times New Roman" w:cs="Times New Roman"/>
      <w:b/>
      <w:sz w:val="24"/>
      <w:lang w:eastAsia="it-IT"/>
    </w:rPr>
  </w:style>
  <w:style w:type="paragraph" w:customStyle="1" w:styleId="provvr0">
    <w:name w:val="provv_r0"/>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446F27"/>
    <w:pPr>
      <w:spacing w:after="0" w:line="240" w:lineRule="auto"/>
    </w:pPr>
    <w:rPr>
      <w:rFonts w:asciiTheme="minorHAnsi" w:hAnsiTheme="minorHAnsi" w:cstheme="minorBidi"/>
      <w:sz w:val="22"/>
      <w:szCs w:val="22"/>
    </w:rPr>
  </w:style>
  <w:style w:type="paragraph" w:styleId="Soggettocommento">
    <w:name w:val="annotation subject"/>
    <w:basedOn w:val="Testocommento"/>
    <w:next w:val="Testocommento"/>
    <w:link w:val="SoggettocommentoCarattere"/>
    <w:uiPriority w:val="99"/>
    <w:semiHidden/>
    <w:unhideWhenUsed/>
    <w:rsid w:val="00446F27"/>
    <w:rPr>
      <w:b/>
      <w:bCs/>
    </w:rPr>
  </w:style>
  <w:style w:type="character" w:customStyle="1" w:styleId="SoggettocommentoCarattere">
    <w:name w:val="Soggetto commento Carattere"/>
    <w:basedOn w:val="TestocommentoCarattere"/>
    <w:link w:val="Soggettocommento"/>
    <w:uiPriority w:val="99"/>
    <w:semiHidden/>
    <w:rsid w:val="00446F27"/>
    <w:rPr>
      <w:rFonts w:asciiTheme="minorHAnsi" w:hAnsiTheme="minorHAnsi" w:cstheme="minorBidi"/>
      <w:b/>
      <w:bCs/>
    </w:rPr>
  </w:style>
  <w:style w:type="table" w:customStyle="1" w:styleId="Grigliatabella2">
    <w:name w:val="Griglia tabella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6F27"/>
    <w:pPr>
      <w:autoSpaceDE w:val="0"/>
      <w:autoSpaceDN w:val="0"/>
      <w:adjustRightInd w:val="0"/>
      <w:spacing w:after="0" w:line="240" w:lineRule="auto"/>
    </w:pPr>
    <w:rPr>
      <w:rFonts w:ascii="Calibri" w:hAnsi="Calibri" w:cs="Calibri"/>
      <w:color w:val="000000"/>
      <w:sz w:val="24"/>
      <w:szCs w:val="24"/>
    </w:rPr>
  </w:style>
  <w:style w:type="character" w:customStyle="1" w:styleId="superscript">
    <w:name w:val="superscript"/>
    <w:basedOn w:val="Caratterepredefinitoparagrafo"/>
    <w:rsid w:val="00446F27"/>
  </w:style>
  <w:style w:type="character" w:customStyle="1" w:styleId="Hyperlink0">
    <w:name w:val="Hyperlink.0"/>
    <w:basedOn w:val="Caratterepredefinitoparagrafo"/>
    <w:rsid w:val="00446F27"/>
    <w:rPr>
      <w:lang w:val="it-IT"/>
    </w:rPr>
  </w:style>
  <w:style w:type="character" w:customStyle="1" w:styleId="Titolo2Carattere">
    <w:name w:val="Titolo 2 Carattere"/>
    <w:basedOn w:val="Caratterepredefinitoparagrafo"/>
    <w:link w:val="Titolo2"/>
    <w:uiPriority w:val="9"/>
    <w:rsid w:val="00446F27"/>
    <w:rPr>
      <w:rFonts w:asciiTheme="majorHAnsi" w:eastAsiaTheme="majorEastAsia" w:hAnsiTheme="majorHAnsi" w:cstheme="majorBidi"/>
      <w:color w:val="2E74B5" w:themeColor="accent1" w:themeShade="BF"/>
      <w:sz w:val="26"/>
      <w:szCs w:val="26"/>
    </w:rPr>
  </w:style>
  <w:style w:type="table" w:customStyle="1" w:styleId="Grigliatabella11">
    <w:name w:val="Griglia tabella11"/>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2">
    <w:name w:val="Griglia tabella12"/>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e"/>
    <w:rsid w:val="00446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atterepredefinitoparagrafo"/>
    <w:uiPriority w:val="20"/>
    <w:qFormat/>
    <w:rsid w:val="00446F27"/>
    <w:rPr>
      <w:i/>
      <w:iCs/>
    </w:rPr>
  </w:style>
  <w:style w:type="character" w:customStyle="1" w:styleId="ng-binding">
    <w:name w:val="ng-binding"/>
    <w:rsid w:val="00446F27"/>
  </w:style>
  <w:style w:type="table" w:customStyle="1" w:styleId="Grigliatabella13">
    <w:name w:val="Griglia tabella13"/>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unhideWhenUsed/>
    <w:rsid w:val="00446F27"/>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446F27"/>
    <w:rPr>
      <w:rFonts w:asciiTheme="minorHAnsi" w:hAnsiTheme="minorHAnsi" w:cstheme="minorBidi"/>
    </w:rPr>
  </w:style>
  <w:style w:type="character" w:styleId="Rimandonotadichiusura">
    <w:name w:val="endnote reference"/>
    <w:basedOn w:val="Caratterepredefinitoparagrafo"/>
    <w:uiPriority w:val="99"/>
    <w:semiHidden/>
    <w:unhideWhenUsed/>
    <w:rsid w:val="00446F27"/>
    <w:rPr>
      <w:vertAlign w:val="superscript"/>
    </w:rPr>
  </w:style>
  <w:style w:type="table" w:customStyle="1" w:styleId="Grigliatabella6">
    <w:name w:val="Griglia tabella6"/>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1">
    <w:name w:val="Griglia tabella4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1">
    <w:name w:val="Griglia tabella111"/>
    <w:basedOn w:val="Tabellanormale"/>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2">
    <w:name w:val="Griglia tabella2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1">
    <w:name w:val="Griglia tabella31"/>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2">
    <w:name w:val="Griglia tabella42"/>
    <w:basedOn w:val="Tabellanormale"/>
    <w:next w:val="Grigliatabella"/>
    <w:uiPriority w:val="39"/>
    <w:rsid w:val="00446F27"/>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ssuno">
    <w:name w:val="Nessuno"/>
    <w:rsid w:val="0083753D"/>
  </w:style>
  <w:style w:type="character" w:customStyle="1" w:styleId="Hyperlink1">
    <w:name w:val="Hyperlink.1"/>
    <w:basedOn w:val="Nessuno"/>
    <w:rsid w:val="0083753D"/>
  </w:style>
  <w:style w:type="paragraph" w:styleId="PreformattatoHTML">
    <w:name w:val="HTML Preformatted"/>
    <w:link w:val="PreformattatoHTMLCarattere"/>
    <w:rsid w:val="0083753D"/>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u w:color="000000"/>
      <w:bdr w:val="nil"/>
      <w:lang w:eastAsia="it-IT"/>
    </w:rPr>
  </w:style>
  <w:style w:type="character" w:customStyle="1" w:styleId="PreformattatoHTMLCarattere">
    <w:name w:val="Preformattato HTML Carattere"/>
    <w:basedOn w:val="Caratterepredefinitoparagrafo"/>
    <w:link w:val="PreformattatoHTML"/>
    <w:rsid w:val="0083753D"/>
    <w:rPr>
      <w:rFonts w:ascii="Courier New" w:eastAsia="Arial Unicode MS" w:hAnsi="Courier New" w:cs="Arial Unicode MS"/>
      <w:color w:val="000000"/>
      <w:u w:color="000000"/>
      <w:bdr w:val="nil"/>
      <w:lang w:eastAsia="it-IT"/>
    </w:rPr>
  </w:style>
  <w:style w:type="paragraph" w:styleId="Corpodeltesto">
    <w:name w:val="Body Text"/>
    <w:link w:val="CorpodeltestoCarattere"/>
    <w:rsid w:val="0083753D"/>
    <w:pPr>
      <w:widowControl w:val="0"/>
      <w:pBdr>
        <w:top w:val="nil"/>
        <w:left w:val="nil"/>
        <w:bottom w:val="nil"/>
        <w:right w:val="nil"/>
        <w:between w:val="nil"/>
        <w:bar w:val="nil"/>
      </w:pBdr>
      <w:spacing w:after="0" w:line="240" w:lineRule="auto"/>
      <w:ind w:left="100"/>
      <w:jc w:val="both"/>
    </w:pPr>
    <w:rPr>
      <w:rFonts w:ascii="Courier New" w:eastAsia="Arial Unicode MS" w:hAnsi="Courier New" w:cs="Arial Unicode MS"/>
      <w:color w:val="000000"/>
      <w:sz w:val="24"/>
      <w:szCs w:val="24"/>
      <w:u w:color="000000"/>
      <w:bdr w:val="nil"/>
      <w:lang w:eastAsia="it-IT"/>
    </w:rPr>
  </w:style>
  <w:style w:type="character" w:customStyle="1" w:styleId="CorpodeltestoCarattere">
    <w:name w:val="Corpo del testo Carattere"/>
    <w:basedOn w:val="Caratterepredefinitoparagrafo"/>
    <w:link w:val="Corpodeltesto"/>
    <w:rsid w:val="0083753D"/>
    <w:rPr>
      <w:rFonts w:ascii="Courier New" w:eastAsia="Arial Unicode MS" w:hAnsi="Courier New" w:cs="Arial Unicode MS"/>
      <w:color w:val="000000"/>
      <w:sz w:val="24"/>
      <w:szCs w:val="24"/>
      <w:u w:color="000000"/>
      <w:bdr w:val="nil"/>
      <w:lang w:eastAsia="it-IT"/>
    </w:rPr>
  </w:style>
  <w:style w:type="character" w:customStyle="1" w:styleId="Hyperlink3">
    <w:name w:val="Hyperlink.3"/>
    <w:basedOn w:val="Nessuno"/>
    <w:rsid w:val="0083753D"/>
    <w:rPr>
      <w:rFonts w:ascii="Times New Roman" w:eastAsia="Times New Roman" w:hAnsi="Times New Roman" w:cs="Times New Roman"/>
      <w:sz w:val="24"/>
      <w:szCs w:val="24"/>
      <w:lang w:val="it-IT"/>
    </w:rPr>
  </w:style>
  <w:style w:type="character" w:customStyle="1" w:styleId="Hyperlink4">
    <w:name w:val="Hyperlink.4"/>
    <w:basedOn w:val="Nessuno"/>
    <w:rsid w:val="0083753D"/>
    <w:rPr>
      <w:rFonts w:ascii="Times New Roman" w:eastAsia="Times New Roman" w:hAnsi="Times New Roman" w:cs="Times New Roman"/>
      <w:lang w:val="it-IT"/>
    </w:rPr>
  </w:style>
  <w:style w:type="paragraph" w:customStyle="1" w:styleId="Standard">
    <w:name w:val="Standard"/>
    <w:rsid w:val="0083753D"/>
    <w:pPr>
      <w:pBdr>
        <w:top w:val="nil"/>
        <w:left w:val="nil"/>
        <w:bottom w:val="nil"/>
        <w:right w:val="nil"/>
        <w:between w:val="nil"/>
        <w:bar w:val="nil"/>
      </w:pBdr>
      <w:suppressAutoHyphens/>
      <w:spacing w:after="200" w:line="276" w:lineRule="auto"/>
    </w:pPr>
    <w:rPr>
      <w:rFonts w:ascii="Calibri" w:eastAsia="Arial Unicode MS" w:hAnsi="Calibri" w:cs="Arial Unicode MS"/>
      <w:color w:val="000000"/>
      <w:kern w:val="3"/>
      <w:sz w:val="22"/>
      <w:szCs w:val="22"/>
      <w:u w:color="000000"/>
      <w:bdr w:val="nil"/>
      <w:lang w:eastAsia="it-IT"/>
    </w:rPr>
  </w:style>
  <w:style w:type="character" w:customStyle="1" w:styleId="Hyperlink5">
    <w:name w:val="Hyperlink.5"/>
    <w:basedOn w:val="Nessuno"/>
    <w:rsid w:val="0083753D"/>
    <w:rPr>
      <w:rFonts w:ascii="Times New Roman" w:eastAsia="Times New Roman" w:hAnsi="Times New Roman" w:cs="Times New Roman"/>
      <w:b/>
      <w:bCs/>
      <w:outline w:val="0"/>
      <w:color w:val="FF0000"/>
      <w:u w:color="FF0000"/>
      <w:lang w:val="it-IT"/>
    </w:rPr>
  </w:style>
  <w:style w:type="character" w:customStyle="1" w:styleId="Hyperlink6">
    <w:name w:val="Hyperlink.6"/>
    <w:basedOn w:val="Nessuno"/>
    <w:rsid w:val="0083753D"/>
    <w:rPr>
      <w:rFonts w:ascii="Calibri" w:eastAsia="Calibri" w:hAnsi="Calibri" w:cs="Calibri"/>
      <w:sz w:val="22"/>
      <w:szCs w:val="22"/>
    </w:rPr>
  </w:style>
  <w:style w:type="character" w:customStyle="1" w:styleId="Hyperlink7">
    <w:name w:val="Hyperlink.7"/>
    <w:basedOn w:val="Nessuno"/>
    <w:rsid w:val="0083753D"/>
    <w:rPr>
      <w:outline w:val="0"/>
      <w:color w:val="000000"/>
      <w:u w:color="000000"/>
      <w:lang w:val="it-IT"/>
    </w:rPr>
  </w:style>
  <w:style w:type="character" w:customStyle="1" w:styleId="Hyperlink8">
    <w:name w:val="Hyperlink.8"/>
    <w:basedOn w:val="Caratterepredefinitoparagrafo"/>
    <w:rsid w:val="0083753D"/>
    <w:rPr>
      <w:outline w:val="0"/>
      <w:color w:val="000000"/>
      <w:u w:val="none" w:color="000000"/>
      <w:lang w:val="it-IT"/>
    </w:rPr>
  </w:style>
  <w:style w:type="character" w:customStyle="1" w:styleId="Hyperlink9">
    <w:name w:val="Hyperlink.9"/>
    <w:basedOn w:val="Caratterepredefinitoparagrafo"/>
    <w:rsid w:val="0083753D"/>
    <w:rPr>
      <w:rFonts w:ascii="Times New Roman" w:eastAsia="Times New Roman" w:hAnsi="Times New Roman" w:cs="Times New Roman"/>
      <w:b/>
      <w:bCs/>
      <w:i/>
      <w:iCs/>
      <w:outline w:val="0"/>
      <w:color w:val="000000"/>
      <w:u w:val="none" w:color="000000"/>
      <w:lang w:val="it-IT"/>
    </w:rPr>
  </w:style>
  <w:style w:type="paragraph" w:customStyle="1" w:styleId="provvc">
    <w:name w:val="provv_c"/>
    <w:basedOn w:val="Normale"/>
    <w:rsid w:val="003610A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atterepredefinitoparagrafo"/>
    <w:link w:val="Titolo3"/>
    <w:uiPriority w:val="9"/>
    <w:semiHidden/>
    <w:rsid w:val="00035C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2252">
      <w:bodyDiv w:val="1"/>
      <w:marLeft w:val="0"/>
      <w:marRight w:val="0"/>
      <w:marTop w:val="0"/>
      <w:marBottom w:val="0"/>
      <w:divBdr>
        <w:top w:val="none" w:sz="0" w:space="0" w:color="auto"/>
        <w:left w:val="none" w:sz="0" w:space="0" w:color="auto"/>
        <w:bottom w:val="none" w:sz="0" w:space="0" w:color="auto"/>
        <w:right w:val="none" w:sz="0" w:space="0" w:color="auto"/>
      </w:divBdr>
      <w:divsChild>
        <w:div w:id="1559517575">
          <w:marLeft w:val="0"/>
          <w:marRight w:val="0"/>
          <w:marTop w:val="0"/>
          <w:marBottom w:val="120"/>
          <w:divBdr>
            <w:top w:val="none" w:sz="0" w:space="0" w:color="auto"/>
            <w:left w:val="none" w:sz="0" w:space="0" w:color="auto"/>
            <w:bottom w:val="none" w:sz="0" w:space="0" w:color="auto"/>
            <w:right w:val="none" w:sz="0" w:space="0" w:color="auto"/>
          </w:divBdr>
          <w:divsChild>
            <w:div w:id="15550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2474">
      <w:bodyDiv w:val="1"/>
      <w:marLeft w:val="0"/>
      <w:marRight w:val="0"/>
      <w:marTop w:val="0"/>
      <w:marBottom w:val="0"/>
      <w:divBdr>
        <w:top w:val="none" w:sz="0" w:space="0" w:color="auto"/>
        <w:left w:val="none" w:sz="0" w:space="0" w:color="auto"/>
        <w:bottom w:val="none" w:sz="0" w:space="0" w:color="auto"/>
        <w:right w:val="none" w:sz="0" w:space="0" w:color="auto"/>
      </w:divBdr>
    </w:div>
    <w:div w:id="341514664">
      <w:bodyDiv w:val="1"/>
      <w:marLeft w:val="0"/>
      <w:marRight w:val="0"/>
      <w:marTop w:val="0"/>
      <w:marBottom w:val="0"/>
      <w:divBdr>
        <w:top w:val="none" w:sz="0" w:space="0" w:color="auto"/>
        <w:left w:val="none" w:sz="0" w:space="0" w:color="auto"/>
        <w:bottom w:val="none" w:sz="0" w:space="0" w:color="auto"/>
        <w:right w:val="none" w:sz="0" w:space="0" w:color="auto"/>
      </w:divBdr>
    </w:div>
    <w:div w:id="359009243">
      <w:bodyDiv w:val="1"/>
      <w:marLeft w:val="0"/>
      <w:marRight w:val="0"/>
      <w:marTop w:val="0"/>
      <w:marBottom w:val="0"/>
      <w:divBdr>
        <w:top w:val="none" w:sz="0" w:space="0" w:color="auto"/>
        <w:left w:val="none" w:sz="0" w:space="0" w:color="auto"/>
        <w:bottom w:val="none" w:sz="0" w:space="0" w:color="auto"/>
        <w:right w:val="none" w:sz="0" w:space="0" w:color="auto"/>
      </w:divBdr>
    </w:div>
    <w:div w:id="1124226809">
      <w:bodyDiv w:val="1"/>
      <w:marLeft w:val="0"/>
      <w:marRight w:val="0"/>
      <w:marTop w:val="0"/>
      <w:marBottom w:val="0"/>
      <w:divBdr>
        <w:top w:val="none" w:sz="0" w:space="0" w:color="auto"/>
        <w:left w:val="none" w:sz="0" w:space="0" w:color="auto"/>
        <w:bottom w:val="none" w:sz="0" w:space="0" w:color="auto"/>
        <w:right w:val="none" w:sz="0" w:space="0" w:color="auto"/>
      </w:divBdr>
    </w:div>
    <w:div w:id="1360740012">
      <w:bodyDiv w:val="1"/>
      <w:marLeft w:val="0"/>
      <w:marRight w:val="0"/>
      <w:marTop w:val="0"/>
      <w:marBottom w:val="0"/>
      <w:divBdr>
        <w:top w:val="none" w:sz="0" w:space="0" w:color="auto"/>
        <w:left w:val="none" w:sz="0" w:space="0" w:color="auto"/>
        <w:bottom w:val="none" w:sz="0" w:space="0" w:color="auto"/>
        <w:right w:val="none" w:sz="0" w:space="0" w:color="auto"/>
      </w:divBdr>
    </w:div>
    <w:div w:id="1453401951">
      <w:bodyDiv w:val="1"/>
      <w:marLeft w:val="0"/>
      <w:marRight w:val="0"/>
      <w:marTop w:val="0"/>
      <w:marBottom w:val="0"/>
      <w:divBdr>
        <w:top w:val="none" w:sz="0" w:space="0" w:color="auto"/>
        <w:left w:val="none" w:sz="0" w:space="0" w:color="auto"/>
        <w:bottom w:val="none" w:sz="0" w:space="0" w:color="auto"/>
        <w:right w:val="none" w:sz="0" w:space="0" w:color="auto"/>
      </w:divBdr>
    </w:div>
    <w:div w:id="1527786344">
      <w:bodyDiv w:val="1"/>
      <w:marLeft w:val="0"/>
      <w:marRight w:val="0"/>
      <w:marTop w:val="0"/>
      <w:marBottom w:val="0"/>
      <w:divBdr>
        <w:top w:val="none" w:sz="0" w:space="0" w:color="auto"/>
        <w:left w:val="none" w:sz="0" w:space="0" w:color="auto"/>
        <w:bottom w:val="none" w:sz="0" w:space="0" w:color="auto"/>
        <w:right w:val="none" w:sz="0" w:space="0" w:color="auto"/>
      </w:divBdr>
    </w:div>
    <w:div w:id="1539586768">
      <w:bodyDiv w:val="1"/>
      <w:marLeft w:val="0"/>
      <w:marRight w:val="0"/>
      <w:marTop w:val="0"/>
      <w:marBottom w:val="0"/>
      <w:divBdr>
        <w:top w:val="none" w:sz="0" w:space="0" w:color="auto"/>
        <w:left w:val="none" w:sz="0" w:space="0" w:color="auto"/>
        <w:bottom w:val="none" w:sz="0" w:space="0" w:color="auto"/>
        <w:right w:val="none" w:sz="0" w:space="0" w:color="auto"/>
      </w:divBdr>
    </w:div>
    <w:div w:id="17522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800921ART0" TargetMode="External"/><Relationship Id="rId14" Type="http://schemas.openxmlformats.org/officeDocument/2006/relationships/hyperlink" Target="https://www.bosettiegatti.eu/info/norme/statali/2016_0050.htm" TargetMode="External"/><Relationship Id="rId15" Type="http://schemas.openxmlformats.org/officeDocument/2006/relationships/hyperlink" Target="https://pa.leggiditalia.it/" TargetMode="External"/><Relationship Id="rId16" Type="http://schemas.openxmlformats.org/officeDocument/2006/relationships/hyperlink" Target="https://pa.leggiditalia.it/" TargetMode="External"/><Relationship Id="rId17" Type="http://schemas.openxmlformats.org/officeDocument/2006/relationships/hyperlink" Target="https://www.bosettiegatti.eu/info/norme/statali/2016_0050.htm" TargetMode="External"/><Relationship Id="rId18" Type="http://schemas.openxmlformats.org/officeDocument/2006/relationships/hyperlink" Target="https://pa.leggiditalia.it/" TargetMode="External"/><Relationship Id="rId19" Type="http://schemas.openxmlformats.org/officeDocument/2006/relationships/hyperlink" Target="https://pa.leggiditalia.it/" TargetMode="External"/><Relationship Id="rId50" Type="http://schemas.openxmlformats.org/officeDocument/2006/relationships/header" Target="header4.xml"/><Relationship Id="rId51" Type="http://schemas.openxmlformats.org/officeDocument/2006/relationships/header" Target="header5.xml"/><Relationship Id="rId52" Type="http://schemas.openxmlformats.org/officeDocument/2006/relationships/footer" Target="footer3.xml"/><Relationship Id="rId53" Type="http://schemas.openxmlformats.org/officeDocument/2006/relationships/footer" Target="footer4.xml"/><Relationship Id="rId54" Type="http://schemas.openxmlformats.org/officeDocument/2006/relationships/header" Target="header6.xml"/><Relationship Id="rId55" Type="http://schemas.openxmlformats.org/officeDocument/2006/relationships/footer" Target="footer5.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normattiva.it/uri-res/N2Ls?urn%253Anir%253Astato%253Alegge%253A2019-06-14%253B55" TargetMode="External"/><Relationship Id="rId41" Type="http://schemas.openxmlformats.org/officeDocument/2006/relationships/hyperlink" Target="http://bd01.leggiditalia.it/cgi-bin/FulShow?TIPO=5&amp;NOTXT=1&amp;KEY=01LX0000776418ART13" TargetMode="External"/><Relationship Id="rId42" Type="http://schemas.openxmlformats.org/officeDocument/2006/relationships/hyperlink" Target="http://bd01.leggiditalia.it/cgi-bin/FulShow?TIPO=5&amp;NOTXT=1&amp;KEY=01LX0000763702ART192" TargetMode="External"/><Relationship Id="rId43" Type="http://schemas.openxmlformats.org/officeDocument/2006/relationships/hyperlink" Target="http://bd01.leggiditalia.it/cgi-bin/FulShow?TIPO=5&amp;NOTXT=1&amp;KEY=01LX0000766766ART0" TargetMode="External"/><Relationship Id="rId44" Type="http://schemas.openxmlformats.org/officeDocument/2006/relationships/hyperlink" Target="http://bd01.leggiditalia.it/cgi-bin/FulShow?TIPO=5&amp;NOTXT=1&amp;KEY=01LX0000170640ART1" TargetMode="External"/><Relationship Id="rId45" Type="http://schemas.openxmlformats.org/officeDocument/2006/relationships/hyperlink" Target="http://bd01.leggiditalia.it/cgi-bin/FulShow?TIPO=5&amp;NOTXT=1&amp;KEY=01LX0000110082ART0" TargetMode="External"/><Relationship Id="rId46" Type="http://schemas.openxmlformats.org/officeDocument/2006/relationships/hyperlink" Target="https://www.normattiva.it/uri-res/N2Ls?urn:nir:stato:decreto.legislativo:1999-07-30;300" TargetMode="External"/><Relationship Id="rId47" Type="http://schemas.openxmlformats.org/officeDocument/2006/relationships/hyperlink" Target="https://www.normattiva.it/uri-res/N2Ls?urn:nir:stato:legge:1999-05-17;144~art1" TargetMode="External"/><Relationship Id="rId48" Type="http://schemas.openxmlformats.org/officeDocument/2006/relationships/hyperlink" Target="https://www.normattiva.it/uri-res/N2Ls?urn:nir:stato:decreto.legge:1997-03-25;67~art13" TargetMode="External"/><Relationship Id="rId49" Type="http://schemas.openxmlformats.org/officeDocument/2006/relationships/hyperlink" Target="https://www.normattiva.it/uri-res/N2Ls?urn:nir:stato:legge:1997-05-23;1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eader" Target="header2.xml"/><Relationship Id="rId31" Type="http://schemas.openxmlformats.org/officeDocument/2006/relationships/hyperlink" Target="https://www.normattiva.it/uri-res/N2Ls?urn:nir:stato:codice.civile:1942-03-16;262~art1669" TargetMode="External"/><Relationship Id="rId32" Type="http://schemas.openxmlformats.org/officeDocument/2006/relationships/header" Target="header3.xml"/><Relationship Id="rId33" Type="http://schemas.openxmlformats.org/officeDocument/2006/relationships/hyperlink" Target="https://entilocali.leggiditalia.it/" TargetMode="External"/><Relationship Id="rId34" Type="http://schemas.openxmlformats.org/officeDocument/2006/relationships/hyperlink" Target="https://www.bosettiegatti.eu/info/norme/statali/2000_0445.htm" TargetMode="External"/><Relationship Id="rId35" Type="http://schemas.openxmlformats.org/officeDocument/2006/relationships/hyperlink" Target="https://pa.leggiditalia.it/" TargetMode="External"/><Relationship Id="rId36" Type="http://schemas.openxmlformats.org/officeDocument/2006/relationships/footer" Target="footer2.xml"/><Relationship Id="rId37" Type="http://schemas.openxmlformats.org/officeDocument/2006/relationships/hyperlink" Target="https://entilocali.leggiditalia.it/" TargetMode="External"/><Relationship Id="rId38" Type="http://schemas.openxmlformats.org/officeDocument/2006/relationships/hyperlink" Target="https://docs.google.com/document/d/1lnnCqCJj1fm4LIPb8IdaZ9D26xMSivT5/edit" TargetMode="External"/><Relationship Id="rId39" Type="http://schemas.openxmlformats.org/officeDocument/2006/relationships/hyperlink" Target="http://www.normattiva.it/uri-res/N2Ls?urn%253Anir%253Astato%253Adecreto.legge%253A2019-04-18%253B32~art4" TargetMode="External"/><Relationship Id="rId20" Type="http://schemas.openxmlformats.org/officeDocument/2006/relationships/hyperlink" Target="https://pa.leggiditalia.it/" TargetMode="External"/><Relationship Id="rId21" Type="http://schemas.openxmlformats.org/officeDocument/2006/relationships/hyperlink" Target="https://pa.leggiditalia.it/" TargetMode="External"/><Relationship Id="rId22" Type="http://schemas.openxmlformats.org/officeDocument/2006/relationships/hyperlink" Target="https://pa.leggiditalia.it/" TargetMode="External"/><Relationship Id="rId23" Type="http://schemas.openxmlformats.org/officeDocument/2006/relationships/hyperlink" Target="https://pa.leggiditalia.it/" TargetMode="External"/><Relationship Id="rId24" Type="http://schemas.openxmlformats.org/officeDocument/2006/relationships/hyperlink" Target="https://www.bosettiegatti.eu/info/norme/statali/codicepenale.htm" TargetMode="External"/><Relationship Id="rId25" Type="http://schemas.openxmlformats.org/officeDocument/2006/relationships/hyperlink" Target="https://www.bosettiegatti.eu/info/norme/statali/codicepenale.htm" TargetMode="External"/><Relationship Id="rId26" Type="http://schemas.openxmlformats.org/officeDocument/2006/relationships/hyperlink" Target="https://dejure.it/" TargetMode="External"/><Relationship Id="rId27" Type="http://schemas.openxmlformats.org/officeDocument/2006/relationships/hyperlink" Target="https://pa.leggiditalia.it/" TargetMode="External"/><Relationship Id="rId28" Type="http://schemas.openxmlformats.org/officeDocument/2006/relationships/hyperlink" Target="https://pa.leggiditalia.it/" TargetMode="External"/><Relationship Id="rId29" Type="http://schemas.openxmlformats.org/officeDocument/2006/relationships/hyperlink" Target="https://pa.leggiditalia.it/" TargetMode="External"/><Relationship Id="rId10" Type="http://schemas.openxmlformats.org/officeDocument/2006/relationships/footer" Target="footer1.xml"/><Relationship Id="rId11" Type="http://schemas.openxmlformats.org/officeDocument/2006/relationships/hyperlink" Target="https://pa.leggiditalia.it/" TargetMode="External"/><Relationship Id="rId12" Type="http://schemas.openxmlformats.org/officeDocument/2006/relationships/hyperlink" Target="https://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3AB21-CCB7-2D45-96DE-BB9067EE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106862</Words>
  <Characters>624080</Characters>
  <Application>Microsoft Macintosh Word</Application>
  <DocSecurity>0</DocSecurity>
  <Lines>9044</Lines>
  <Paragraphs>3729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727213</CharactersWithSpaces>
  <SharedDoc>false</SharedDoc>
  <HyperlinkBase/>
  <HLinks>
    <vt:vector size="294" baseType="variant">
      <vt:variant>
        <vt:i4>1704013</vt:i4>
      </vt:variant>
      <vt:variant>
        <vt:i4>144</vt:i4>
      </vt:variant>
      <vt:variant>
        <vt:i4>0</vt:i4>
      </vt:variant>
      <vt:variant>
        <vt:i4>5</vt:i4>
      </vt:variant>
      <vt:variant>
        <vt:lpwstr>https://www.normattiva.it/uri-res/N2Ls?urn:nir:stato:legge:1997-05-23;135</vt:lpwstr>
      </vt:variant>
      <vt:variant>
        <vt:lpwstr/>
      </vt:variant>
      <vt:variant>
        <vt:i4>3342396</vt:i4>
      </vt:variant>
      <vt:variant>
        <vt:i4>141</vt:i4>
      </vt:variant>
      <vt:variant>
        <vt:i4>0</vt:i4>
      </vt:variant>
      <vt:variant>
        <vt:i4>5</vt:i4>
      </vt:variant>
      <vt:variant>
        <vt:lpwstr>https://www.normattiva.it/uri-res/N2Ls?urn:nir:stato:decreto.legge:1997-03-25;67~art13</vt:lpwstr>
      </vt:variant>
      <vt:variant>
        <vt:lpwstr/>
      </vt:variant>
      <vt:variant>
        <vt:i4>3604589</vt:i4>
      </vt:variant>
      <vt:variant>
        <vt:i4>138</vt:i4>
      </vt:variant>
      <vt:variant>
        <vt:i4>0</vt:i4>
      </vt:variant>
      <vt:variant>
        <vt:i4>5</vt:i4>
      </vt:variant>
      <vt:variant>
        <vt:lpwstr>https://www.normattiva.it/uri-res/N2Ls?urn:nir:stato:legge:1999;144</vt:lpwstr>
      </vt:variant>
      <vt:variant>
        <vt:lpwstr/>
      </vt:variant>
      <vt:variant>
        <vt:i4>1310739</vt:i4>
      </vt:variant>
      <vt:variant>
        <vt:i4>135</vt:i4>
      </vt:variant>
      <vt:variant>
        <vt:i4>0</vt:i4>
      </vt:variant>
      <vt:variant>
        <vt:i4>5</vt:i4>
      </vt:variant>
      <vt:variant>
        <vt:lpwstr>https://www.normattiva.it/uri-res/N2Ls?urn:nir:stato:legge:2004-12-30;311~art1-com238</vt:lpwstr>
      </vt:variant>
      <vt:variant>
        <vt:lpwstr/>
      </vt:variant>
      <vt:variant>
        <vt:i4>5242954</vt:i4>
      </vt:variant>
      <vt:variant>
        <vt:i4>132</vt:i4>
      </vt:variant>
      <vt:variant>
        <vt:i4>0</vt:i4>
      </vt:variant>
      <vt:variant>
        <vt:i4>5</vt:i4>
      </vt:variant>
      <vt:variant>
        <vt:lpwstr>https://www.normattiva.it/uri-res/N2Ls?urn:nir:stato:decreto.legislativo:2011-12-29;228~art7</vt:lpwstr>
      </vt:variant>
      <vt:variant>
        <vt:lpwstr/>
      </vt:variant>
      <vt:variant>
        <vt:i4>2293862</vt:i4>
      </vt:variant>
      <vt:variant>
        <vt:i4>129</vt:i4>
      </vt:variant>
      <vt:variant>
        <vt:i4>0</vt:i4>
      </vt:variant>
      <vt:variant>
        <vt:i4>5</vt:i4>
      </vt:variant>
      <vt:variant>
        <vt:lpwstr>https://www.normattiva.it/uri-res/N2Ls?urn:nir:stato:legge:1999-05-17;144~art1</vt:lpwstr>
      </vt:variant>
      <vt:variant>
        <vt:lpwstr/>
      </vt:variant>
      <vt:variant>
        <vt:i4>6684783</vt:i4>
      </vt:variant>
      <vt:variant>
        <vt:i4>126</vt:i4>
      </vt:variant>
      <vt:variant>
        <vt:i4>0</vt:i4>
      </vt:variant>
      <vt:variant>
        <vt:i4>5</vt:i4>
      </vt:variant>
      <vt:variant>
        <vt:lpwstr>https://www.normattiva.it/uri-res/N2Ls?urn:nir:stato:decreto.legislativo:1999-07-30;300</vt:lpwstr>
      </vt:variant>
      <vt:variant>
        <vt:lpwstr/>
      </vt:variant>
      <vt:variant>
        <vt:i4>5898325</vt:i4>
      </vt:variant>
      <vt:variant>
        <vt:i4>123</vt:i4>
      </vt:variant>
      <vt:variant>
        <vt:i4>0</vt:i4>
      </vt:variant>
      <vt:variant>
        <vt:i4>5</vt:i4>
      </vt:variant>
      <vt:variant>
        <vt:lpwstr>http://bd01.leggiditalia.it/cgi-bin/FulShow?TIPO=5&amp;NOTXT=1&amp;KEY=01LX0000110082ART0</vt:lpwstr>
      </vt:variant>
      <vt:variant>
        <vt:lpwstr/>
      </vt:variant>
      <vt:variant>
        <vt:i4>5636183</vt:i4>
      </vt:variant>
      <vt:variant>
        <vt:i4>120</vt:i4>
      </vt:variant>
      <vt:variant>
        <vt:i4>0</vt:i4>
      </vt:variant>
      <vt:variant>
        <vt:i4>5</vt:i4>
      </vt:variant>
      <vt:variant>
        <vt:lpwstr>http://bd01.leggiditalia.it/cgi-bin/FulShow?TIPO=5&amp;NOTXT=1&amp;KEY=01LX0000170640ART1</vt:lpwstr>
      </vt:variant>
      <vt:variant>
        <vt:lpwstr/>
      </vt:variant>
      <vt:variant>
        <vt:i4>5505105</vt:i4>
      </vt:variant>
      <vt:variant>
        <vt:i4>117</vt:i4>
      </vt:variant>
      <vt:variant>
        <vt:i4>0</vt:i4>
      </vt:variant>
      <vt:variant>
        <vt:i4>5</vt:i4>
      </vt:variant>
      <vt:variant>
        <vt:lpwstr>http://bd01.leggiditalia.it/cgi-bin/FulShow?TIPO=5&amp;NOTXT=1&amp;KEY=01LX0000766766ART0</vt:lpwstr>
      </vt:variant>
      <vt:variant>
        <vt:lpwstr/>
      </vt:variant>
      <vt:variant>
        <vt:i4>5701717</vt:i4>
      </vt:variant>
      <vt:variant>
        <vt:i4>114</vt:i4>
      </vt:variant>
      <vt:variant>
        <vt:i4>0</vt:i4>
      </vt:variant>
      <vt:variant>
        <vt:i4>5</vt:i4>
      </vt:variant>
      <vt:variant>
        <vt:lpwstr>http://bd01.leggiditalia.it/cgi-bin/FulShow?TIPO=5&amp;NOTXT=1&amp;KEY=01LX0000763702ART0</vt:lpwstr>
      </vt:variant>
      <vt:variant>
        <vt:lpwstr/>
      </vt:variant>
      <vt:variant>
        <vt:i4>7209060</vt:i4>
      </vt:variant>
      <vt:variant>
        <vt:i4>111</vt:i4>
      </vt:variant>
      <vt:variant>
        <vt:i4>0</vt:i4>
      </vt:variant>
      <vt:variant>
        <vt:i4>5</vt:i4>
      </vt:variant>
      <vt:variant>
        <vt:lpwstr>http://bd01.leggiditalia.it/cgi-bin/FulShow?TIPO=5&amp;NOTXT=1&amp;KEY=01LX0000763702ART192</vt:lpwstr>
      </vt:variant>
      <vt:variant>
        <vt:lpwstr/>
      </vt:variant>
      <vt:variant>
        <vt:i4>5439581</vt:i4>
      </vt:variant>
      <vt:variant>
        <vt:i4>108</vt:i4>
      </vt:variant>
      <vt:variant>
        <vt:i4>0</vt:i4>
      </vt:variant>
      <vt:variant>
        <vt:i4>5</vt:i4>
      </vt:variant>
      <vt:variant>
        <vt:lpwstr>http://bd01.leggiditalia.it/cgi-bin/FulShow?TIPO=5&amp;NOTXT=1&amp;KEY=01LX0000776418ART0</vt:lpwstr>
      </vt:variant>
      <vt:variant>
        <vt:lpwstr/>
      </vt:variant>
      <vt:variant>
        <vt:i4>6291564</vt:i4>
      </vt:variant>
      <vt:variant>
        <vt:i4>105</vt:i4>
      </vt:variant>
      <vt:variant>
        <vt:i4>0</vt:i4>
      </vt:variant>
      <vt:variant>
        <vt:i4>5</vt:i4>
      </vt:variant>
      <vt:variant>
        <vt:lpwstr>http://bd01.leggiditalia.it/cgi-bin/FulShow?TIPO=5&amp;NOTXT=1&amp;KEY=01LX0000776418ART13</vt:lpwstr>
      </vt:variant>
      <vt:variant>
        <vt:lpwstr/>
      </vt:variant>
      <vt:variant>
        <vt:i4>6226005</vt:i4>
      </vt:variant>
      <vt:variant>
        <vt:i4>102</vt:i4>
      </vt:variant>
      <vt:variant>
        <vt:i4>0</vt:i4>
      </vt:variant>
      <vt:variant>
        <vt:i4>5</vt:i4>
      </vt:variant>
      <vt:variant>
        <vt:lpwstr>http://bd01.leggiditalia.it/cgi-bin/FulShow?TIPO=5&amp;NOTXT=1&amp;KEY=01LX0000824001ART0</vt:lpwstr>
      </vt:variant>
      <vt:variant>
        <vt:lpwstr/>
      </vt:variant>
      <vt:variant>
        <vt:i4>2293875</vt:i4>
      </vt:variant>
      <vt:variant>
        <vt:i4>99</vt:i4>
      </vt:variant>
      <vt:variant>
        <vt:i4>0</vt:i4>
      </vt:variant>
      <vt:variant>
        <vt:i4>5</vt:i4>
      </vt:variant>
      <vt:variant>
        <vt:lpwstr>http://www.normattiva.it/uri-res/N2Ls?urn%253Anir%253Astato%253Alegge%253A2019-06-14%253B55</vt:lpwstr>
      </vt:variant>
      <vt:variant>
        <vt:lpwstr/>
      </vt:variant>
      <vt:variant>
        <vt:i4>2293875</vt:i4>
      </vt:variant>
      <vt:variant>
        <vt:i4>96</vt:i4>
      </vt:variant>
      <vt:variant>
        <vt:i4>0</vt:i4>
      </vt:variant>
      <vt:variant>
        <vt:i4>5</vt:i4>
      </vt:variant>
      <vt:variant>
        <vt:lpwstr>http://www.normattiva.it/uri-res/N2Ls?urn%253Anir%253Astato%253Alegge%253A2019-06-14%253B55</vt:lpwstr>
      </vt:variant>
      <vt:variant>
        <vt:lpwstr/>
      </vt:variant>
      <vt:variant>
        <vt:i4>6029403</vt:i4>
      </vt:variant>
      <vt:variant>
        <vt:i4>93</vt:i4>
      </vt:variant>
      <vt:variant>
        <vt:i4>0</vt:i4>
      </vt:variant>
      <vt:variant>
        <vt:i4>5</vt:i4>
      </vt:variant>
      <vt:variant>
        <vt:lpwstr>http://www.normattiva.it/uri-res/N2Ls?urn%253Anir%253Astato%253Adecreto.legge%253A2019-04-18%253B32~art4</vt:lpwstr>
      </vt:variant>
      <vt:variant>
        <vt:lpwstr/>
      </vt:variant>
      <vt:variant>
        <vt:i4>6422625</vt:i4>
      </vt:variant>
      <vt:variant>
        <vt:i4>90</vt:i4>
      </vt:variant>
      <vt:variant>
        <vt:i4>0</vt:i4>
      </vt:variant>
      <vt:variant>
        <vt:i4>5</vt:i4>
      </vt:variant>
      <vt:variant>
        <vt:lpwstr>https://docs.google.com/document/d/1lnnCqCJj1fm4LIPb8IdaZ9D26xMSivT5/edit</vt:lpwstr>
      </vt:variant>
      <vt:variant>
        <vt:lpwstr>bookmark=id.2jxsxqh</vt:lpwstr>
      </vt:variant>
      <vt:variant>
        <vt:i4>3473462</vt:i4>
      </vt:variant>
      <vt:variant>
        <vt:i4>87</vt:i4>
      </vt:variant>
      <vt:variant>
        <vt:i4>0</vt:i4>
      </vt:variant>
      <vt:variant>
        <vt:i4>5</vt:i4>
      </vt:variant>
      <vt:variant>
        <vt:lpwstr>https://entilocali.leggiditalia.it/</vt:lpwstr>
      </vt:variant>
      <vt:variant>
        <vt:lpwstr>id=10LX0000401301ART12,__m=document</vt:lpwstr>
      </vt:variant>
      <vt:variant>
        <vt:i4>8323129</vt:i4>
      </vt:variant>
      <vt:variant>
        <vt:i4>84</vt:i4>
      </vt:variant>
      <vt:variant>
        <vt:i4>0</vt:i4>
      </vt:variant>
      <vt:variant>
        <vt:i4>5</vt:i4>
      </vt:variant>
      <vt:variant>
        <vt:lpwstr>https://pa.leggiditalia.it/</vt:lpwstr>
      </vt:variant>
      <vt:variant>
        <vt:lpwstr>id=10LX0000790383ART0,__m=document</vt:lpwstr>
      </vt:variant>
      <vt:variant>
        <vt:i4>852010</vt:i4>
      </vt:variant>
      <vt:variant>
        <vt:i4>81</vt:i4>
      </vt:variant>
      <vt:variant>
        <vt:i4>0</vt:i4>
      </vt:variant>
      <vt:variant>
        <vt:i4>5</vt:i4>
      </vt:variant>
      <vt:variant>
        <vt:lpwstr>https://www.bosettiegatti.eu/info/norme/statali/2000_0445.htm</vt:lpwstr>
      </vt:variant>
      <vt:variant>
        <vt:lpwstr/>
      </vt:variant>
      <vt:variant>
        <vt:i4>3538975</vt:i4>
      </vt:variant>
      <vt:variant>
        <vt:i4>78</vt:i4>
      </vt:variant>
      <vt:variant>
        <vt:i4>0</vt:i4>
      </vt:variant>
      <vt:variant>
        <vt:i4>5</vt:i4>
      </vt:variant>
      <vt:variant>
        <vt:lpwstr>https://www.bosettiegatti.eu/info/norme/statali/2000_0267.htm</vt:lpwstr>
      </vt:variant>
      <vt:variant>
        <vt:lpwstr>191</vt:lpwstr>
      </vt:variant>
      <vt:variant>
        <vt:i4>3276853</vt:i4>
      </vt:variant>
      <vt:variant>
        <vt:i4>75</vt:i4>
      </vt:variant>
      <vt:variant>
        <vt:i4>0</vt:i4>
      </vt:variant>
      <vt:variant>
        <vt:i4>5</vt:i4>
      </vt:variant>
      <vt:variant>
        <vt:lpwstr>https://pa.leggiditalia.it/</vt:lpwstr>
      </vt:variant>
      <vt:variant>
        <vt:lpwstr>id=10LX0000856593ART16,__m=document</vt:lpwstr>
      </vt:variant>
      <vt:variant>
        <vt:i4>6094919</vt:i4>
      </vt:variant>
      <vt:variant>
        <vt:i4>72</vt:i4>
      </vt:variant>
      <vt:variant>
        <vt:i4>0</vt:i4>
      </vt:variant>
      <vt:variant>
        <vt:i4>5</vt:i4>
      </vt:variant>
      <vt:variant>
        <vt:lpwstr>https://www.normattiva.it/uri-res/N2Ls?urn:nir:stato:codice.civile:1942-03-16;262~art1669</vt:lpwstr>
      </vt:variant>
      <vt:variant>
        <vt:lpwstr/>
      </vt:variant>
      <vt:variant>
        <vt:i4>5898334</vt:i4>
      </vt:variant>
      <vt:variant>
        <vt:i4>69</vt:i4>
      </vt:variant>
      <vt:variant>
        <vt:i4>0</vt:i4>
      </vt:variant>
      <vt:variant>
        <vt:i4>5</vt:i4>
      </vt:variant>
      <vt:variant>
        <vt:lpwstr>https://pa.leggiditalia.it/</vt:lpwstr>
      </vt:variant>
      <vt:variant>
        <vt:lpwstr>id=05AC00006052,__m=document</vt:lpwstr>
      </vt:variant>
      <vt:variant>
        <vt:i4>5898334</vt:i4>
      </vt:variant>
      <vt:variant>
        <vt:i4>66</vt:i4>
      </vt:variant>
      <vt:variant>
        <vt:i4>0</vt:i4>
      </vt:variant>
      <vt:variant>
        <vt:i4>5</vt:i4>
      </vt:variant>
      <vt:variant>
        <vt:lpwstr>https://pa.leggiditalia.it/</vt:lpwstr>
      </vt:variant>
      <vt:variant>
        <vt:lpwstr>id=05AC00006052,__m=document</vt:lpwstr>
      </vt:variant>
      <vt:variant>
        <vt:i4>5898334</vt:i4>
      </vt:variant>
      <vt:variant>
        <vt:i4>63</vt:i4>
      </vt:variant>
      <vt:variant>
        <vt:i4>0</vt:i4>
      </vt:variant>
      <vt:variant>
        <vt:i4>5</vt:i4>
      </vt:variant>
      <vt:variant>
        <vt:lpwstr>https://pa.leggiditalia.it/</vt:lpwstr>
      </vt:variant>
      <vt:variant>
        <vt:lpwstr>id=05AC00006052,__m=document</vt:lpwstr>
      </vt:variant>
      <vt:variant>
        <vt:i4>4849768</vt:i4>
      </vt:variant>
      <vt:variant>
        <vt:i4>60</vt:i4>
      </vt:variant>
      <vt:variant>
        <vt:i4>0</vt:i4>
      </vt:variant>
      <vt:variant>
        <vt:i4>5</vt:i4>
      </vt:variant>
      <vt:variant>
        <vt:lpwstr>https://dejure.it/</vt:lpwstr>
      </vt:variant>
      <vt:variant>
        <vt:lpwstr>/ricerca/fonti_documento?idDatabank=7&amp;idDocMaster=2106394&amp;idUnitaDoc=6406351&amp;nVigUnitaDoc=1&amp;docIdx=1&amp;isCorrelazioniSearch=true&amp;correlatoA=Normativa</vt:lpwstr>
      </vt:variant>
      <vt:variant>
        <vt:i4>6488163</vt:i4>
      </vt:variant>
      <vt:variant>
        <vt:i4>57</vt:i4>
      </vt:variant>
      <vt:variant>
        <vt:i4>0</vt:i4>
      </vt:variant>
      <vt:variant>
        <vt:i4>5</vt:i4>
      </vt:variant>
      <vt:variant>
        <vt:lpwstr>https://www.bosettiegatti.eu/info/norme/statali/codicepenale.htm</vt:lpwstr>
      </vt:variant>
      <vt:variant>
        <vt:lpwstr>179</vt:lpwstr>
      </vt:variant>
      <vt:variant>
        <vt:i4>6488163</vt:i4>
      </vt:variant>
      <vt:variant>
        <vt:i4>54</vt:i4>
      </vt:variant>
      <vt:variant>
        <vt:i4>0</vt:i4>
      </vt:variant>
      <vt:variant>
        <vt:i4>5</vt:i4>
      </vt:variant>
      <vt:variant>
        <vt:lpwstr>https://www.bosettiegatti.eu/info/norme/statali/codicepenale.htm</vt:lpwstr>
      </vt:variant>
      <vt:variant>
        <vt:lpwstr>179</vt:lpwstr>
      </vt:variant>
      <vt:variant>
        <vt:i4>3276853</vt:i4>
      </vt:variant>
      <vt:variant>
        <vt:i4>51</vt:i4>
      </vt:variant>
      <vt:variant>
        <vt:i4>0</vt:i4>
      </vt:variant>
      <vt:variant>
        <vt:i4>5</vt:i4>
      </vt:variant>
      <vt:variant>
        <vt:lpwstr>https://pa.leggiditalia.it/</vt:lpwstr>
      </vt:variant>
      <vt:variant>
        <vt:lpwstr>id=10LX0000856593ART16,__m=document</vt:lpwstr>
      </vt:variant>
      <vt:variant>
        <vt:i4>7471158</vt:i4>
      </vt:variant>
      <vt:variant>
        <vt:i4>48</vt:i4>
      </vt:variant>
      <vt:variant>
        <vt:i4>0</vt:i4>
      </vt:variant>
      <vt:variant>
        <vt:i4>5</vt:i4>
      </vt:variant>
      <vt:variant>
        <vt:lpwstr>https://pa.leggiditalia.it/</vt:lpwstr>
      </vt:variant>
      <vt:variant>
        <vt:lpwstr>id=10LX0000123602ART0,__m=document</vt:lpwstr>
      </vt:variant>
      <vt:variant>
        <vt:i4>3538992</vt:i4>
      </vt:variant>
      <vt:variant>
        <vt:i4>45</vt:i4>
      </vt:variant>
      <vt:variant>
        <vt:i4>0</vt:i4>
      </vt:variant>
      <vt:variant>
        <vt:i4>5</vt:i4>
      </vt:variant>
      <vt:variant>
        <vt:lpwstr>https://pa.leggiditalia.it/</vt:lpwstr>
      </vt:variant>
      <vt:variant>
        <vt:lpwstr>id=10LX0000123602ART17,__m=document</vt:lpwstr>
      </vt:variant>
      <vt:variant>
        <vt:i4>7602233</vt:i4>
      </vt:variant>
      <vt:variant>
        <vt:i4>42</vt:i4>
      </vt:variant>
      <vt:variant>
        <vt:i4>0</vt:i4>
      </vt:variant>
      <vt:variant>
        <vt:i4>5</vt:i4>
      </vt:variant>
      <vt:variant>
        <vt:lpwstr>https://pa.leggiditalia.it/</vt:lpwstr>
      </vt:variant>
      <vt:variant>
        <vt:lpwstr>id=10LX0000604861ART0,__m=document</vt:lpwstr>
      </vt:variant>
      <vt:variant>
        <vt:i4>3276861</vt:i4>
      </vt:variant>
      <vt:variant>
        <vt:i4>39</vt:i4>
      </vt:variant>
      <vt:variant>
        <vt:i4>0</vt:i4>
      </vt:variant>
      <vt:variant>
        <vt:i4>5</vt:i4>
      </vt:variant>
      <vt:variant>
        <vt:lpwstr>https://pa.leggiditalia.it/</vt:lpwstr>
      </vt:variant>
      <vt:variant>
        <vt:lpwstr>id=10LX0000604861ART35,__m=document</vt:lpwstr>
      </vt:variant>
      <vt:variant>
        <vt:i4>7798835</vt:i4>
      </vt:variant>
      <vt:variant>
        <vt:i4>36</vt:i4>
      </vt:variant>
      <vt:variant>
        <vt:i4>0</vt:i4>
      </vt:variant>
      <vt:variant>
        <vt:i4>5</vt:i4>
      </vt:variant>
      <vt:variant>
        <vt:lpwstr>https://pa.leggiditalia.it/</vt:lpwstr>
      </vt:variant>
      <vt:variant>
        <vt:lpwstr>id=10LX0000146502ART0,__m=document</vt:lpwstr>
      </vt:variant>
      <vt:variant>
        <vt:i4>3407925</vt:i4>
      </vt:variant>
      <vt:variant>
        <vt:i4>33</vt:i4>
      </vt:variant>
      <vt:variant>
        <vt:i4>0</vt:i4>
      </vt:variant>
      <vt:variant>
        <vt:i4>5</vt:i4>
      </vt:variant>
      <vt:variant>
        <vt:lpwstr>https://pa.leggiditalia.it/</vt:lpwstr>
      </vt:variant>
      <vt:variant>
        <vt:lpwstr>id=10LX0000146502ART10,__m=document</vt:lpwstr>
      </vt:variant>
      <vt:variant>
        <vt:i4>5898334</vt:i4>
      </vt:variant>
      <vt:variant>
        <vt:i4>30</vt:i4>
      </vt:variant>
      <vt:variant>
        <vt:i4>0</vt:i4>
      </vt:variant>
      <vt:variant>
        <vt:i4>5</vt:i4>
      </vt:variant>
      <vt:variant>
        <vt:lpwstr>https://pa.leggiditalia.it/</vt:lpwstr>
      </vt:variant>
      <vt:variant>
        <vt:lpwstr>id=05AC00006052,__m=document</vt:lpwstr>
      </vt:variant>
      <vt:variant>
        <vt:i4>7667819</vt:i4>
      </vt:variant>
      <vt:variant>
        <vt:i4>27</vt:i4>
      </vt:variant>
      <vt:variant>
        <vt:i4>0</vt:i4>
      </vt:variant>
      <vt:variant>
        <vt:i4>5</vt:i4>
      </vt:variant>
      <vt:variant>
        <vt:lpwstr>https://www.bosettiegatti.eu/info/norme/statali/2016_0050.htm</vt:lpwstr>
      </vt:variant>
      <vt:variant>
        <vt:lpwstr>Allegato_XV</vt:lpwstr>
      </vt:variant>
      <vt:variant>
        <vt:i4>7995448</vt:i4>
      </vt:variant>
      <vt:variant>
        <vt:i4>24</vt:i4>
      </vt:variant>
      <vt:variant>
        <vt:i4>0</vt:i4>
      </vt:variant>
      <vt:variant>
        <vt:i4>5</vt:i4>
      </vt:variant>
      <vt:variant>
        <vt:lpwstr>https://pa.leggiditalia.it/</vt:lpwstr>
      </vt:variant>
      <vt:variant>
        <vt:lpwstr>id=10LX0000800921ART0,__m=document</vt:lpwstr>
      </vt:variant>
      <vt:variant>
        <vt:i4>8192058</vt:i4>
      </vt:variant>
      <vt:variant>
        <vt:i4>21</vt:i4>
      </vt:variant>
      <vt:variant>
        <vt:i4>0</vt:i4>
      </vt:variant>
      <vt:variant>
        <vt:i4>5</vt:i4>
      </vt:variant>
      <vt:variant>
        <vt:lpwstr>https://pa.leggiditalia.it/</vt:lpwstr>
      </vt:variant>
      <vt:variant>
        <vt:lpwstr>id=10LX0000798625ART0,__m=document</vt:lpwstr>
      </vt:variant>
      <vt:variant>
        <vt:i4>3604542</vt:i4>
      </vt:variant>
      <vt:variant>
        <vt:i4>18</vt:i4>
      </vt:variant>
      <vt:variant>
        <vt:i4>0</vt:i4>
      </vt:variant>
      <vt:variant>
        <vt:i4>5</vt:i4>
      </vt:variant>
      <vt:variant>
        <vt:lpwstr>https://pa.leggiditalia.it/</vt:lpwstr>
      </vt:variant>
      <vt:variant>
        <vt:lpwstr>id=10LX0000798625ART39,__m=document</vt:lpwstr>
      </vt:variant>
      <vt:variant>
        <vt:i4>3735578</vt:i4>
      </vt:variant>
      <vt:variant>
        <vt:i4>15</vt:i4>
      </vt:variant>
      <vt:variant>
        <vt:i4>0</vt:i4>
      </vt:variant>
      <vt:variant>
        <vt:i4>5</vt:i4>
      </vt:variant>
      <vt:variant>
        <vt:lpwstr>https://www.bosettiegatti.eu/info/norme/statali/2016_0050.htm</vt:lpwstr>
      </vt:variant>
      <vt:variant>
        <vt:lpwstr>037</vt:lpwstr>
      </vt:variant>
      <vt:variant>
        <vt:i4>5832798</vt:i4>
      </vt:variant>
      <vt:variant>
        <vt:i4>12</vt:i4>
      </vt:variant>
      <vt:variant>
        <vt:i4>0</vt:i4>
      </vt:variant>
      <vt:variant>
        <vt:i4>5</vt:i4>
      </vt:variant>
      <vt:variant>
        <vt:lpwstr>http://bd01.leggiditalia.it/cgi-bin/FulShow?TIPO=5&amp;NOTXT=1&amp;KEY=01LX0000800921ART0</vt:lpwstr>
      </vt:variant>
      <vt:variant>
        <vt:lpwstr/>
      </vt:variant>
      <vt:variant>
        <vt:i4>6160476</vt:i4>
      </vt:variant>
      <vt:variant>
        <vt:i4>9</vt:i4>
      </vt:variant>
      <vt:variant>
        <vt:i4>0</vt:i4>
      </vt:variant>
      <vt:variant>
        <vt:i4>5</vt:i4>
      </vt:variant>
      <vt:variant>
        <vt:lpwstr>http://bd01.leggiditalia.it/cgi-bin/FulShow?TIPO=5&amp;NOTXT=1&amp;KEY=01LX0000798625ART0</vt:lpwstr>
      </vt:variant>
      <vt:variant>
        <vt:lpwstr/>
      </vt:variant>
      <vt:variant>
        <vt:i4>5963871</vt:i4>
      </vt:variant>
      <vt:variant>
        <vt:i4>6</vt:i4>
      </vt:variant>
      <vt:variant>
        <vt:i4>0</vt:i4>
      </vt:variant>
      <vt:variant>
        <vt:i4>5</vt:i4>
      </vt:variant>
      <vt:variant>
        <vt:lpwstr>https://pa.leggiditalia.it/</vt:lpwstr>
      </vt:variant>
      <vt:variant>
        <vt:lpwstr>id=05AC00004063,__m=document</vt:lpwstr>
      </vt:variant>
      <vt:variant>
        <vt:i4>3997722</vt:i4>
      </vt:variant>
      <vt:variant>
        <vt:i4>3</vt:i4>
      </vt:variant>
      <vt:variant>
        <vt:i4>0</vt:i4>
      </vt:variant>
      <vt:variant>
        <vt:i4>5</vt:i4>
      </vt:variant>
      <vt:variant>
        <vt:lpwstr>https://www.bosettiegatti.eu/info/norme/statali/2016_0050.htm</vt:lpwstr>
      </vt:variant>
      <vt:variant>
        <vt:lpwstr>073</vt:lpwstr>
      </vt:variant>
      <vt:variant>
        <vt:i4>7929907</vt:i4>
      </vt:variant>
      <vt:variant>
        <vt:i4>0</vt:i4>
      </vt:variant>
      <vt:variant>
        <vt:i4>0</vt:i4>
      </vt:variant>
      <vt:variant>
        <vt:i4>5</vt:i4>
      </vt:variant>
      <vt:variant>
        <vt:lpwstr>https://pa.leggiditalia.it/</vt:lpwstr>
      </vt:variant>
      <vt:variant>
        <vt:lpwstr>id=10LX0000110183ART0,__m=document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Beatrice Elia</cp:lastModifiedBy>
  <cp:revision>4</cp:revision>
  <cp:lastPrinted>2023-03-24T15:32:00Z</cp:lastPrinted>
  <dcterms:created xsi:type="dcterms:W3CDTF">2023-03-27T17:33:00Z</dcterms:created>
  <dcterms:modified xsi:type="dcterms:W3CDTF">2023-03-28T07:04:00Z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2022-12-21T14:02:07Z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590d51d8-068a-46fe-b695-3e9cf2ece817</vt:lpwstr>
  </property>
  <property fmtid="{D5CDD505-2E9C-101B-9397-08002B2CF9AE}" pid="8" name="MSIP_Label_5097a60d-5525-435b-8989-8eb48ac0c8cd_ContentBits">
    <vt:lpwstr>0</vt:lpwstr>
  </property>
</Properties>
</file>