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C691" w14:textId="022CD2FC" w:rsidR="00D529A5" w:rsidRPr="00BD2EDB" w:rsidRDefault="00D529A5">
      <w:pPr>
        <w:spacing w:line="240" w:lineRule="auto"/>
        <w:jc w:val="center"/>
        <w:rPr>
          <w:rFonts w:ascii="Times New Roman" w:hAnsi="Times New Roman"/>
          <w:b/>
          <w:bCs/>
          <w:sz w:val="24"/>
          <w:szCs w:val="24"/>
        </w:rPr>
      </w:pPr>
      <w:r w:rsidRPr="00BD2EDB">
        <w:rPr>
          <w:rFonts w:ascii="Times New Roman" w:hAnsi="Times New Roman"/>
          <w:b/>
          <w:bCs/>
          <w:sz w:val="24"/>
          <w:szCs w:val="24"/>
        </w:rPr>
        <w:t xml:space="preserve">DISEGNO DI LEGGE ANNUALE PER IL MERCATO E LA CONCORRENZA </w:t>
      </w:r>
      <w:r w:rsidR="004F4521">
        <w:rPr>
          <w:rFonts w:ascii="Times New Roman" w:hAnsi="Times New Roman"/>
          <w:b/>
          <w:bCs/>
          <w:sz w:val="24"/>
          <w:szCs w:val="24"/>
        </w:rPr>
        <w:t>per il 2025</w:t>
      </w:r>
    </w:p>
    <w:p w14:paraId="3D0612AC" w14:textId="77777777" w:rsidR="00ED065C" w:rsidRPr="00BD2EDB" w:rsidRDefault="00ED065C">
      <w:pPr>
        <w:spacing w:line="240" w:lineRule="auto"/>
        <w:jc w:val="both"/>
        <w:rPr>
          <w:rFonts w:ascii="Times New Roman" w:hAnsi="Times New Roman"/>
          <w:sz w:val="24"/>
          <w:szCs w:val="24"/>
        </w:rPr>
      </w:pPr>
    </w:p>
    <w:p w14:paraId="2D07308B" w14:textId="610FD686" w:rsidR="00ED065C" w:rsidRPr="00BD2EDB" w:rsidRDefault="001D42F1" w:rsidP="00206D97">
      <w:pPr>
        <w:spacing w:line="240" w:lineRule="auto"/>
        <w:jc w:val="center"/>
        <w:rPr>
          <w:rFonts w:ascii="Times New Roman" w:hAnsi="Times New Roman"/>
          <w:b/>
          <w:bCs/>
          <w:sz w:val="24"/>
          <w:szCs w:val="24"/>
        </w:rPr>
      </w:pPr>
      <w:bookmarkStart w:id="0" w:name="_Hlk193113270"/>
      <w:r w:rsidRPr="00BD2EDB">
        <w:rPr>
          <w:rFonts w:ascii="Times New Roman" w:hAnsi="Times New Roman"/>
          <w:b/>
          <w:bCs/>
          <w:sz w:val="24"/>
          <w:szCs w:val="24"/>
        </w:rPr>
        <w:t xml:space="preserve">CAPO I - Disposizioni in materia di servizi pubblici locali </w:t>
      </w:r>
    </w:p>
    <w:bookmarkEnd w:id="0"/>
    <w:p w14:paraId="07DE1918" w14:textId="77777777" w:rsidR="00ED065C" w:rsidRPr="00BD2EDB" w:rsidRDefault="00ED065C">
      <w:pPr>
        <w:spacing w:line="240" w:lineRule="auto"/>
        <w:jc w:val="both"/>
        <w:rPr>
          <w:rFonts w:ascii="Times New Roman" w:hAnsi="Times New Roman"/>
          <w:b/>
          <w:bCs/>
          <w:sz w:val="24"/>
          <w:szCs w:val="24"/>
        </w:rPr>
      </w:pPr>
    </w:p>
    <w:p w14:paraId="1234D96A" w14:textId="62F0BF25" w:rsidR="00B57A3C" w:rsidRPr="00BD2EDB" w:rsidRDefault="00B57A3C" w:rsidP="00B57A3C">
      <w:pPr>
        <w:jc w:val="center"/>
        <w:rPr>
          <w:rFonts w:ascii="Times New Roman" w:hAnsi="Times New Roman"/>
          <w:b/>
          <w:bCs/>
          <w:sz w:val="24"/>
          <w:szCs w:val="24"/>
        </w:rPr>
      </w:pPr>
      <w:r w:rsidRPr="00BD2EDB">
        <w:rPr>
          <w:rFonts w:ascii="Times New Roman" w:hAnsi="Times New Roman"/>
          <w:b/>
          <w:bCs/>
          <w:sz w:val="24"/>
          <w:szCs w:val="24"/>
        </w:rPr>
        <w:t xml:space="preserve">Art. </w:t>
      </w:r>
      <w:r w:rsidR="00B52231" w:rsidRPr="00BD2EDB">
        <w:rPr>
          <w:rFonts w:ascii="Times New Roman" w:hAnsi="Times New Roman"/>
          <w:b/>
          <w:bCs/>
          <w:sz w:val="24"/>
          <w:szCs w:val="24"/>
        </w:rPr>
        <w:t>1</w:t>
      </w:r>
    </w:p>
    <w:p w14:paraId="10858104" w14:textId="611A9EC1" w:rsidR="00B57A3C" w:rsidRPr="00BD2EDB" w:rsidRDefault="00206D97" w:rsidP="00206D97">
      <w:pPr>
        <w:jc w:val="both"/>
        <w:rPr>
          <w:rFonts w:ascii="Times New Roman" w:hAnsi="Times New Roman"/>
          <w:b/>
          <w:bCs/>
          <w:sz w:val="24"/>
          <w:szCs w:val="24"/>
        </w:rPr>
      </w:pPr>
      <w:r w:rsidRPr="00BD2EDB">
        <w:rPr>
          <w:rFonts w:ascii="Times New Roman" w:hAnsi="Times New Roman"/>
          <w:b/>
          <w:bCs/>
          <w:i/>
          <w:iCs/>
          <w:sz w:val="24"/>
          <w:szCs w:val="24"/>
        </w:rPr>
        <w:t>(</w:t>
      </w:r>
      <w:r w:rsidR="00B57A3C" w:rsidRPr="00BD2EDB">
        <w:rPr>
          <w:rFonts w:ascii="Times New Roman" w:hAnsi="Times New Roman"/>
          <w:b/>
          <w:bCs/>
          <w:i/>
          <w:iCs/>
          <w:sz w:val="24"/>
          <w:szCs w:val="24"/>
        </w:rPr>
        <w:t>Misure per il rafforzamento delle attività di verific</w:t>
      </w:r>
      <w:r w:rsidR="005164F8" w:rsidRPr="00BD2EDB">
        <w:rPr>
          <w:rFonts w:ascii="Times New Roman" w:hAnsi="Times New Roman"/>
          <w:b/>
          <w:bCs/>
          <w:i/>
          <w:iCs/>
          <w:sz w:val="24"/>
          <w:szCs w:val="24"/>
        </w:rPr>
        <w:t>a</w:t>
      </w:r>
      <w:r w:rsidR="00B57A3C" w:rsidRPr="00BD2EDB">
        <w:rPr>
          <w:rFonts w:ascii="Times New Roman" w:hAnsi="Times New Roman"/>
          <w:b/>
          <w:bCs/>
          <w:i/>
          <w:iCs/>
          <w:sz w:val="24"/>
          <w:szCs w:val="24"/>
        </w:rPr>
        <w:t xml:space="preserve"> sulla situazione gestionale dei servizi pubblici locali</w:t>
      </w:r>
      <w:r w:rsidRPr="00BD2EDB">
        <w:rPr>
          <w:rFonts w:ascii="Times New Roman" w:hAnsi="Times New Roman"/>
          <w:b/>
          <w:bCs/>
          <w:sz w:val="24"/>
          <w:szCs w:val="24"/>
        </w:rPr>
        <w:t>)</w:t>
      </w:r>
    </w:p>
    <w:p w14:paraId="2BB54E36" w14:textId="42F023D3" w:rsidR="00B57A3C" w:rsidRPr="00BD2EDB" w:rsidRDefault="00B57A3C" w:rsidP="00DA6AAD">
      <w:pPr>
        <w:jc w:val="both"/>
        <w:rPr>
          <w:rFonts w:ascii="Times New Roman" w:hAnsi="Times New Roman"/>
          <w:sz w:val="24"/>
          <w:szCs w:val="24"/>
        </w:rPr>
      </w:pPr>
      <w:r w:rsidRPr="00BD2EDB">
        <w:rPr>
          <w:rFonts w:ascii="Times New Roman" w:hAnsi="Times New Roman"/>
          <w:sz w:val="24"/>
          <w:szCs w:val="24"/>
        </w:rPr>
        <w:t>1.</w:t>
      </w:r>
      <w:r w:rsidRPr="00BD2EDB">
        <w:rPr>
          <w:rFonts w:ascii="Times New Roman" w:hAnsi="Times New Roman"/>
          <w:sz w:val="24"/>
          <w:szCs w:val="24"/>
        </w:rPr>
        <w:tab/>
        <w:t>Al fine di rafforzare la vigilanza e i controlli degli enti locali</w:t>
      </w:r>
      <w:r w:rsidR="00DA6AAD" w:rsidRPr="00BD2EDB">
        <w:rPr>
          <w:rFonts w:ascii="Times New Roman" w:hAnsi="Times New Roman"/>
          <w:sz w:val="24"/>
          <w:szCs w:val="24"/>
        </w:rPr>
        <w:t xml:space="preserve">, all’articolo 30 del </w:t>
      </w:r>
      <w:r w:rsidRPr="00BD2EDB">
        <w:rPr>
          <w:rFonts w:ascii="Times New Roman" w:hAnsi="Times New Roman"/>
          <w:sz w:val="24"/>
          <w:szCs w:val="24"/>
        </w:rPr>
        <w:t>decreto legislativo 23 dicembre 2022, n. 201</w:t>
      </w:r>
      <w:r w:rsidR="00DA6AAD" w:rsidRPr="00BD2EDB">
        <w:rPr>
          <w:rFonts w:ascii="Times New Roman" w:hAnsi="Times New Roman"/>
          <w:sz w:val="24"/>
          <w:szCs w:val="24"/>
        </w:rPr>
        <w:t xml:space="preserve">, </w:t>
      </w:r>
      <w:r w:rsidRPr="00BD2EDB">
        <w:rPr>
          <w:rFonts w:ascii="Times New Roman" w:hAnsi="Times New Roman"/>
          <w:sz w:val="24"/>
          <w:szCs w:val="24"/>
        </w:rPr>
        <w:t>dopo il comma 1</w:t>
      </w:r>
      <w:r w:rsidR="0043367A" w:rsidRPr="00BD2EDB">
        <w:rPr>
          <w:rFonts w:ascii="Times New Roman" w:hAnsi="Times New Roman"/>
          <w:sz w:val="24"/>
          <w:szCs w:val="24"/>
        </w:rPr>
        <w:t>,</w:t>
      </w:r>
      <w:r w:rsidRPr="00BD2EDB">
        <w:rPr>
          <w:rFonts w:ascii="Times New Roman" w:hAnsi="Times New Roman"/>
          <w:sz w:val="24"/>
          <w:szCs w:val="24"/>
        </w:rPr>
        <w:t xml:space="preserve"> </w:t>
      </w:r>
      <w:r w:rsidR="00DA6AAD" w:rsidRPr="00BD2EDB">
        <w:rPr>
          <w:rFonts w:ascii="Times New Roman" w:hAnsi="Times New Roman"/>
          <w:sz w:val="24"/>
          <w:szCs w:val="24"/>
        </w:rPr>
        <w:t>sono</w:t>
      </w:r>
      <w:r w:rsidRPr="00BD2EDB">
        <w:rPr>
          <w:rFonts w:ascii="Times New Roman" w:hAnsi="Times New Roman"/>
          <w:sz w:val="24"/>
          <w:szCs w:val="24"/>
        </w:rPr>
        <w:t xml:space="preserve"> </w:t>
      </w:r>
      <w:r w:rsidR="00206D97" w:rsidRPr="00BD2EDB">
        <w:rPr>
          <w:rFonts w:ascii="Times New Roman" w:hAnsi="Times New Roman"/>
          <w:sz w:val="24"/>
          <w:szCs w:val="24"/>
        </w:rPr>
        <w:t>inseriti</w:t>
      </w:r>
      <w:r w:rsidRPr="00BD2EDB">
        <w:rPr>
          <w:rFonts w:ascii="Times New Roman" w:hAnsi="Times New Roman"/>
          <w:sz w:val="24"/>
          <w:szCs w:val="24"/>
        </w:rPr>
        <w:t xml:space="preserve"> i seguent</w:t>
      </w:r>
      <w:r w:rsidR="00DA6AAD" w:rsidRPr="00BD2EDB">
        <w:rPr>
          <w:rFonts w:ascii="Times New Roman" w:hAnsi="Times New Roman"/>
          <w:sz w:val="24"/>
          <w:szCs w:val="24"/>
        </w:rPr>
        <w:t>i</w:t>
      </w:r>
      <w:r w:rsidRPr="00BD2EDB">
        <w:rPr>
          <w:rFonts w:ascii="Times New Roman" w:hAnsi="Times New Roman"/>
          <w:sz w:val="24"/>
          <w:szCs w:val="24"/>
        </w:rPr>
        <w:t>:</w:t>
      </w:r>
    </w:p>
    <w:p w14:paraId="1B9CAEA8" w14:textId="123F934F" w:rsidR="00922303" w:rsidRPr="00BD2EDB" w:rsidRDefault="00206D97" w:rsidP="00922303">
      <w:pPr>
        <w:spacing w:line="240" w:lineRule="auto"/>
        <w:jc w:val="both"/>
        <w:rPr>
          <w:rFonts w:ascii="Times New Roman" w:hAnsi="Times New Roman"/>
          <w:color w:val="FF0000"/>
          <w:sz w:val="24"/>
          <w:szCs w:val="24"/>
        </w:rPr>
      </w:pPr>
      <w:r w:rsidRPr="00BD2EDB">
        <w:rPr>
          <w:rFonts w:ascii="Times New Roman" w:hAnsi="Times New Roman"/>
          <w:sz w:val="24"/>
          <w:szCs w:val="24"/>
        </w:rPr>
        <w:t>«</w:t>
      </w:r>
      <w:r w:rsidR="00B57A3C" w:rsidRPr="00BD2EDB">
        <w:rPr>
          <w:rFonts w:ascii="Times New Roman" w:hAnsi="Times New Roman"/>
          <w:sz w:val="24"/>
          <w:szCs w:val="24"/>
        </w:rPr>
        <w:t>1-</w:t>
      </w:r>
      <w:r w:rsidR="00B57A3C" w:rsidRPr="00BD2EDB">
        <w:rPr>
          <w:rFonts w:ascii="Times New Roman" w:hAnsi="Times New Roman"/>
          <w:i/>
          <w:iCs/>
          <w:sz w:val="24"/>
          <w:szCs w:val="24"/>
        </w:rPr>
        <w:t>bis</w:t>
      </w:r>
      <w:r w:rsidR="00BD7527" w:rsidRPr="00BD2EDB">
        <w:rPr>
          <w:rFonts w:ascii="Times New Roman" w:hAnsi="Times New Roman"/>
          <w:sz w:val="24"/>
          <w:szCs w:val="24"/>
        </w:rPr>
        <w:t>.</w:t>
      </w:r>
      <w:r w:rsidR="00B57A3C" w:rsidRPr="00BD2EDB">
        <w:rPr>
          <w:rFonts w:ascii="Times New Roman" w:hAnsi="Times New Roman"/>
          <w:sz w:val="24"/>
          <w:szCs w:val="24"/>
        </w:rPr>
        <w:t xml:space="preserve"> Nella ricognizione di cui al comma 1 l’ente, tenendo conto delle valutazioni conclusive sull’andamento della gestione di ciascun servizio affidato, individua le possibili cause dell’eventuale andamento negativo. Se da tali valutazioni emerge un andamento gestionale insoddisfacente per cause dipendenti dall’attività del gestore, l’ente adotta un atto di indirizzo, allegato alla ricognizione, con cui impone al gestore di elaborare, entro </w:t>
      </w:r>
      <w:r w:rsidRPr="00BD2EDB">
        <w:rPr>
          <w:rFonts w:ascii="Times New Roman" w:hAnsi="Times New Roman"/>
          <w:sz w:val="24"/>
          <w:szCs w:val="24"/>
        </w:rPr>
        <w:t>il</w:t>
      </w:r>
      <w:r w:rsidR="00B57A3C" w:rsidRPr="00BD2EDB">
        <w:rPr>
          <w:rFonts w:ascii="Times New Roman" w:hAnsi="Times New Roman"/>
          <w:sz w:val="24"/>
          <w:szCs w:val="24"/>
        </w:rPr>
        <w:t xml:space="preserve"> termine massimo di tre mesi, un piano per intraprendere le necessarie misure correttive</w:t>
      </w:r>
      <w:r w:rsidR="009314FB" w:rsidRPr="00BD2EDB">
        <w:rPr>
          <w:rFonts w:ascii="Times New Roman" w:hAnsi="Times New Roman"/>
          <w:sz w:val="24"/>
          <w:szCs w:val="24"/>
        </w:rPr>
        <w:t xml:space="preserve"> che includ</w:t>
      </w:r>
      <w:r w:rsidR="00C26085" w:rsidRPr="00BD2EDB">
        <w:rPr>
          <w:rFonts w:ascii="Times New Roman" w:hAnsi="Times New Roman"/>
          <w:sz w:val="24"/>
          <w:szCs w:val="24"/>
        </w:rPr>
        <w:t>e</w:t>
      </w:r>
      <w:r w:rsidR="00B03FBA" w:rsidRPr="00BD2EDB">
        <w:rPr>
          <w:rFonts w:ascii="Times New Roman" w:hAnsi="Times New Roman"/>
          <w:i/>
          <w:iCs/>
          <w:sz w:val="24"/>
          <w:szCs w:val="24"/>
        </w:rPr>
        <w:t xml:space="preserve"> </w:t>
      </w:r>
      <w:r w:rsidR="00B03FBA" w:rsidRPr="00BD2EDB">
        <w:rPr>
          <w:rFonts w:ascii="Times New Roman" w:hAnsi="Times New Roman"/>
          <w:sz w:val="24"/>
          <w:szCs w:val="24"/>
        </w:rPr>
        <w:t>un cronoprogramma di</w:t>
      </w:r>
      <w:r w:rsidR="00B03FBA" w:rsidRPr="00BD2EDB">
        <w:rPr>
          <w:rFonts w:ascii="Times New Roman" w:hAnsi="Times New Roman"/>
          <w:i/>
          <w:iCs/>
          <w:sz w:val="24"/>
          <w:szCs w:val="24"/>
        </w:rPr>
        <w:t xml:space="preserve"> </w:t>
      </w:r>
      <w:r w:rsidR="009314FB" w:rsidRPr="00BD2EDB">
        <w:rPr>
          <w:rFonts w:ascii="Times New Roman" w:hAnsi="Times New Roman"/>
          <w:sz w:val="24"/>
          <w:szCs w:val="24"/>
        </w:rPr>
        <w:t>azioni per il ripristino e il miglioramento della qualità de</w:t>
      </w:r>
      <w:r w:rsidR="00DA6AAD" w:rsidRPr="00BD2EDB">
        <w:rPr>
          <w:rFonts w:ascii="Times New Roman" w:hAnsi="Times New Roman"/>
          <w:sz w:val="24"/>
          <w:szCs w:val="24"/>
        </w:rPr>
        <w:t>l</w:t>
      </w:r>
      <w:r w:rsidR="009314FB" w:rsidRPr="00BD2EDB">
        <w:rPr>
          <w:rFonts w:ascii="Times New Roman" w:hAnsi="Times New Roman"/>
          <w:sz w:val="24"/>
          <w:szCs w:val="24"/>
        </w:rPr>
        <w:t xml:space="preserve"> servizio per efficientare i costi e ripianare le eventuali perdite.</w:t>
      </w:r>
      <w:r w:rsidR="0059173C" w:rsidRPr="00BD2EDB">
        <w:rPr>
          <w:rFonts w:ascii="Times New Roman" w:hAnsi="Times New Roman"/>
          <w:sz w:val="24"/>
          <w:szCs w:val="24"/>
        </w:rPr>
        <w:t xml:space="preserve"> L’atto di indirizzo e il piano sono trasme</w:t>
      </w:r>
      <w:r w:rsidR="00A5669E" w:rsidRPr="00BD2EDB">
        <w:rPr>
          <w:rFonts w:ascii="Times New Roman" w:hAnsi="Times New Roman"/>
          <w:sz w:val="24"/>
          <w:szCs w:val="24"/>
        </w:rPr>
        <w:t>ssi</w:t>
      </w:r>
      <w:r w:rsidR="0059173C" w:rsidRPr="00BD2EDB">
        <w:rPr>
          <w:rFonts w:ascii="Times New Roman" w:hAnsi="Times New Roman"/>
          <w:sz w:val="24"/>
          <w:szCs w:val="24"/>
        </w:rPr>
        <w:t xml:space="preserve"> all’ANAC</w:t>
      </w:r>
      <w:r w:rsidR="001F0397" w:rsidRPr="00BD2EDB">
        <w:rPr>
          <w:rFonts w:ascii="Times New Roman" w:hAnsi="Times New Roman"/>
          <w:sz w:val="24"/>
          <w:szCs w:val="24"/>
        </w:rPr>
        <w:t xml:space="preserve"> </w:t>
      </w:r>
      <w:r w:rsidR="001F0397" w:rsidRPr="009565BF">
        <w:rPr>
          <w:rFonts w:ascii="Times New Roman" w:hAnsi="Times New Roman"/>
          <w:sz w:val="24"/>
          <w:szCs w:val="24"/>
        </w:rPr>
        <w:t>che provvede a pubblicarli sul portale telematico di cui all’articolo 31</w:t>
      </w:r>
      <w:r w:rsidR="00693EFF" w:rsidRPr="009565BF">
        <w:rPr>
          <w:rFonts w:ascii="Times New Roman" w:hAnsi="Times New Roman"/>
          <w:sz w:val="24"/>
          <w:szCs w:val="24"/>
        </w:rPr>
        <w:t>,</w:t>
      </w:r>
      <w:r w:rsidR="001F0397" w:rsidRPr="009565BF">
        <w:rPr>
          <w:rFonts w:ascii="Times New Roman" w:hAnsi="Times New Roman"/>
          <w:sz w:val="24"/>
          <w:szCs w:val="24"/>
        </w:rPr>
        <w:t xml:space="preserve"> comma 2</w:t>
      </w:r>
      <w:r w:rsidR="00922303" w:rsidRPr="009565BF">
        <w:rPr>
          <w:rFonts w:ascii="Times New Roman" w:hAnsi="Times New Roman"/>
          <w:sz w:val="24"/>
          <w:szCs w:val="24"/>
        </w:rPr>
        <w:t xml:space="preserve">. L’Autorità </w:t>
      </w:r>
      <w:r w:rsidR="00AA3270">
        <w:rPr>
          <w:rFonts w:ascii="Times New Roman" w:hAnsi="Times New Roman"/>
          <w:sz w:val="24"/>
          <w:szCs w:val="24"/>
        </w:rPr>
        <w:t>g</w:t>
      </w:r>
      <w:r w:rsidR="00922303" w:rsidRPr="009565BF">
        <w:rPr>
          <w:rFonts w:ascii="Times New Roman" w:hAnsi="Times New Roman"/>
          <w:sz w:val="24"/>
          <w:szCs w:val="24"/>
        </w:rPr>
        <w:t xml:space="preserve">arante della </w:t>
      </w:r>
      <w:r w:rsidR="00AA3270">
        <w:rPr>
          <w:rFonts w:ascii="Times New Roman" w:hAnsi="Times New Roman"/>
          <w:sz w:val="24"/>
          <w:szCs w:val="24"/>
        </w:rPr>
        <w:t>c</w:t>
      </w:r>
      <w:r w:rsidR="00922303" w:rsidRPr="009565BF">
        <w:rPr>
          <w:rFonts w:ascii="Times New Roman" w:hAnsi="Times New Roman"/>
          <w:sz w:val="24"/>
          <w:szCs w:val="24"/>
        </w:rPr>
        <w:t xml:space="preserve">oncorrenza e del </w:t>
      </w:r>
      <w:r w:rsidR="00AA3270">
        <w:rPr>
          <w:rFonts w:ascii="Times New Roman" w:hAnsi="Times New Roman"/>
          <w:sz w:val="24"/>
          <w:szCs w:val="24"/>
        </w:rPr>
        <w:t>m</w:t>
      </w:r>
      <w:r w:rsidR="00922303" w:rsidRPr="009565BF">
        <w:rPr>
          <w:rFonts w:ascii="Times New Roman" w:hAnsi="Times New Roman"/>
          <w:sz w:val="24"/>
          <w:szCs w:val="24"/>
        </w:rPr>
        <w:t xml:space="preserve">ercato effettua un’attività </w:t>
      </w:r>
      <w:r w:rsidR="007719F3">
        <w:rPr>
          <w:rFonts w:ascii="Times New Roman" w:hAnsi="Times New Roman"/>
          <w:sz w:val="24"/>
          <w:szCs w:val="24"/>
        </w:rPr>
        <w:t xml:space="preserve">di </w:t>
      </w:r>
      <w:r w:rsidR="00922303" w:rsidRPr="009565BF">
        <w:rPr>
          <w:rFonts w:ascii="Times New Roman" w:hAnsi="Times New Roman"/>
          <w:sz w:val="24"/>
          <w:szCs w:val="24"/>
        </w:rPr>
        <w:t>monitoraggio sugli atti di indirizzo e sull</w:t>
      </w:r>
      <w:r w:rsidR="00471A60">
        <w:rPr>
          <w:rFonts w:ascii="Times New Roman" w:hAnsi="Times New Roman"/>
          <w:sz w:val="24"/>
          <w:szCs w:val="24"/>
        </w:rPr>
        <w:t>’</w:t>
      </w:r>
      <w:r w:rsidR="00922303" w:rsidRPr="009565BF">
        <w:rPr>
          <w:rFonts w:ascii="Times New Roman" w:hAnsi="Times New Roman"/>
          <w:sz w:val="24"/>
          <w:szCs w:val="24"/>
        </w:rPr>
        <w:t>efficacia delle misure correttive previste e predispone annualmente una relazione al Governo e al Parlamento</w:t>
      </w:r>
      <w:r w:rsidR="00A219CA" w:rsidRPr="009565BF">
        <w:rPr>
          <w:rFonts w:ascii="Times New Roman" w:hAnsi="Times New Roman"/>
          <w:sz w:val="24"/>
          <w:szCs w:val="24"/>
        </w:rPr>
        <w:t>.</w:t>
      </w:r>
    </w:p>
    <w:p w14:paraId="028ACF94" w14:textId="6D2F44BB" w:rsidR="00DA6AAD" w:rsidRPr="00BD2EDB" w:rsidRDefault="00DA6AAD" w:rsidP="00DA6AAD">
      <w:pPr>
        <w:spacing w:line="240" w:lineRule="auto"/>
        <w:jc w:val="both"/>
        <w:rPr>
          <w:rFonts w:ascii="Times New Roman" w:hAnsi="Times New Roman"/>
          <w:sz w:val="24"/>
          <w:szCs w:val="24"/>
        </w:rPr>
      </w:pPr>
      <w:r w:rsidRPr="00BD2EDB">
        <w:rPr>
          <w:rFonts w:ascii="Times New Roman" w:hAnsi="Times New Roman"/>
          <w:sz w:val="24"/>
          <w:szCs w:val="24"/>
        </w:rPr>
        <w:t>1-</w:t>
      </w:r>
      <w:r w:rsidRPr="00BD2EDB">
        <w:rPr>
          <w:rFonts w:ascii="Times New Roman" w:hAnsi="Times New Roman"/>
          <w:i/>
          <w:iCs/>
          <w:sz w:val="24"/>
          <w:szCs w:val="24"/>
        </w:rPr>
        <w:t>ter</w:t>
      </w:r>
      <w:r w:rsidR="00BD7527" w:rsidRPr="00BD2EDB">
        <w:rPr>
          <w:rFonts w:ascii="Times New Roman" w:hAnsi="Times New Roman"/>
          <w:sz w:val="24"/>
          <w:szCs w:val="24"/>
        </w:rPr>
        <w:t>.</w:t>
      </w:r>
      <w:r w:rsidRPr="00BD2EDB">
        <w:rPr>
          <w:rFonts w:ascii="Times New Roman" w:hAnsi="Times New Roman"/>
          <w:sz w:val="24"/>
          <w:szCs w:val="24"/>
        </w:rPr>
        <w:t xml:space="preserve"> L’andamento </w:t>
      </w:r>
      <w:r w:rsidR="005A639F" w:rsidRPr="00BD2EDB">
        <w:rPr>
          <w:rFonts w:ascii="Times New Roman" w:hAnsi="Times New Roman"/>
          <w:sz w:val="24"/>
          <w:szCs w:val="24"/>
        </w:rPr>
        <w:t>s</w:t>
      </w:r>
      <w:r w:rsidRPr="00BD2EDB">
        <w:rPr>
          <w:rFonts w:ascii="Times New Roman" w:hAnsi="Times New Roman"/>
          <w:sz w:val="24"/>
          <w:szCs w:val="24"/>
        </w:rPr>
        <w:t>i considera insoddisfacente ai sensi del comma 1-</w:t>
      </w:r>
      <w:r w:rsidRPr="00BD2EDB">
        <w:rPr>
          <w:rFonts w:ascii="Times New Roman" w:hAnsi="Times New Roman"/>
          <w:i/>
          <w:iCs/>
          <w:sz w:val="24"/>
          <w:szCs w:val="24"/>
        </w:rPr>
        <w:t>bis</w:t>
      </w:r>
      <w:r w:rsidRPr="00BD2EDB">
        <w:rPr>
          <w:rFonts w:ascii="Times New Roman" w:hAnsi="Times New Roman"/>
          <w:sz w:val="24"/>
          <w:szCs w:val="24"/>
        </w:rPr>
        <w:t xml:space="preserve"> quando: </w:t>
      </w:r>
    </w:p>
    <w:p w14:paraId="224A2148" w14:textId="77777777" w:rsidR="00DA6AAD" w:rsidRPr="00BD2EDB" w:rsidRDefault="00DA6AAD" w:rsidP="00DA6AAD">
      <w:pPr>
        <w:spacing w:line="240" w:lineRule="auto"/>
        <w:jc w:val="both"/>
        <w:rPr>
          <w:rFonts w:ascii="Times New Roman" w:hAnsi="Times New Roman"/>
          <w:sz w:val="24"/>
          <w:szCs w:val="24"/>
        </w:rPr>
      </w:pPr>
      <w:r w:rsidRPr="00BD2EDB">
        <w:rPr>
          <w:rFonts w:ascii="Times New Roman" w:hAnsi="Times New Roman"/>
          <w:i/>
          <w:iCs/>
          <w:sz w:val="24"/>
          <w:szCs w:val="24"/>
        </w:rPr>
        <w:t>a)</w:t>
      </w:r>
      <w:r w:rsidRPr="00BD2EDB">
        <w:rPr>
          <w:rFonts w:ascii="Times New Roman" w:hAnsi="Times New Roman"/>
          <w:sz w:val="24"/>
          <w:szCs w:val="24"/>
        </w:rPr>
        <w:t xml:space="preserve"> il gestore ha registrato perdite significative negli ultimi due esercizi tali da compromettere le condizioni di equilibrio economico-finanziario; </w:t>
      </w:r>
    </w:p>
    <w:p w14:paraId="10EB89B3" w14:textId="77777777" w:rsidR="00DA6AAD" w:rsidRPr="00BD2EDB" w:rsidRDefault="00DA6AAD" w:rsidP="00DA6AAD">
      <w:pPr>
        <w:spacing w:line="240" w:lineRule="auto"/>
        <w:jc w:val="both"/>
        <w:rPr>
          <w:rFonts w:ascii="Times New Roman" w:hAnsi="Times New Roman"/>
          <w:sz w:val="24"/>
          <w:szCs w:val="24"/>
        </w:rPr>
      </w:pPr>
      <w:r w:rsidRPr="00BD2EDB">
        <w:rPr>
          <w:rFonts w:ascii="Times New Roman" w:hAnsi="Times New Roman"/>
          <w:i/>
          <w:iCs/>
          <w:sz w:val="24"/>
          <w:szCs w:val="24"/>
        </w:rPr>
        <w:t>b)</w:t>
      </w:r>
      <w:r w:rsidRPr="00BD2EDB">
        <w:rPr>
          <w:rFonts w:ascii="Times New Roman" w:hAnsi="Times New Roman"/>
          <w:sz w:val="24"/>
          <w:szCs w:val="24"/>
        </w:rPr>
        <w:t xml:space="preserve"> i risultati gestionali risultano significativamente insufficienti rispetto agli obiettivi contrattuali prefissati;</w:t>
      </w:r>
    </w:p>
    <w:p w14:paraId="370E4788" w14:textId="080D9B79" w:rsidR="00DA6AAD" w:rsidRPr="00BD2EDB" w:rsidRDefault="00DA6AAD" w:rsidP="00DA6AAD">
      <w:pPr>
        <w:spacing w:line="240" w:lineRule="auto"/>
        <w:jc w:val="both"/>
        <w:rPr>
          <w:rFonts w:ascii="Times New Roman" w:hAnsi="Times New Roman"/>
          <w:sz w:val="24"/>
          <w:szCs w:val="24"/>
        </w:rPr>
      </w:pPr>
      <w:r w:rsidRPr="00BD2EDB">
        <w:rPr>
          <w:rFonts w:ascii="Times New Roman" w:hAnsi="Times New Roman"/>
          <w:i/>
          <w:iCs/>
          <w:sz w:val="24"/>
          <w:szCs w:val="24"/>
        </w:rPr>
        <w:t>c)</w:t>
      </w:r>
      <w:r w:rsidRPr="00BD2EDB">
        <w:rPr>
          <w:rFonts w:ascii="Times New Roman" w:hAnsi="Times New Roman"/>
          <w:sz w:val="24"/>
          <w:szCs w:val="24"/>
        </w:rPr>
        <w:t xml:space="preserve"> almeno due indicatori di qualità del servizio erogato risultano significativamente inferiori </w:t>
      </w:r>
      <w:r w:rsidR="00206D97" w:rsidRPr="00BD2EDB">
        <w:rPr>
          <w:rFonts w:ascii="Times New Roman" w:hAnsi="Times New Roman"/>
          <w:sz w:val="24"/>
          <w:szCs w:val="24"/>
        </w:rPr>
        <w:t>agli indicatori e livelli minimi di qualità dei servizi</w:t>
      </w:r>
      <w:r w:rsidR="00206D97" w:rsidRPr="00BD2EDB">
        <w:rPr>
          <w:rFonts w:ascii="Times New Roman" w:hAnsi="Times New Roman"/>
          <w:b/>
          <w:bCs/>
          <w:sz w:val="24"/>
          <w:szCs w:val="24"/>
        </w:rPr>
        <w:t xml:space="preserve"> </w:t>
      </w:r>
      <w:r w:rsidRPr="00BD2EDB">
        <w:rPr>
          <w:rFonts w:ascii="Times New Roman" w:hAnsi="Times New Roman"/>
          <w:sz w:val="24"/>
          <w:szCs w:val="24"/>
        </w:rPr>
        <w:t>individuati ai sensi degli articoli 7 e 8</w:t>
      </w:r>
      <w:r w:rsidR="0024212E" w:rsidRPr="00BD2EDB">
        <w:rPr>
          <w:rFonts w:ascii="Times New Roman" w:hAnsi="Times New Roman"/>
          <w:sz w:val="24"/>
          <w:szCs w:val="24"/>
        </w:rPr>
        <w:t>.</w:t>
      </w:r>
    </w:p>
    <w:p w14:paraId="53C47E3E" w14:textId="4AEC0E83" w:rsidR="0024212E" w:rsidRPr="00962FFC" w:rsidRDefault="00677E6D" w:rsidP="00DA6AAD">
      <w:pPr>
        <w:spacing w:line="240" w:lineRule="auto"/>
        <w:jc w:val="both"/>
        <w:rPr>
          <w:rFonts w:ascii="Times New Roman" w:hAnsi="Times New Roman"/>
          <w:sz w:val="24"/>
          <w:szCs w:val="24"/>
        </w:rPr>
      </w:pPr>
      <w:r w:rsidRPr="00962FFC">
        <w:rPr>
          <w:rFonts w:ascii="Times New Roman" w:hAnsi="Times New Roman"/>
          <w:sz w:val="24"/>
          <w:szCs w:val="24"/>
        </w:rPr>
        <w:t>1-</w:t>
      </w:r>
      <w:r w:rsidRPr="00962FFC">
        <w:rPr>
          <w:rFonts w:ascii="Times New Roman" w:hAnsi="Times New Roman"/>
          <w:i/>
          <w:iCs/>
          <w:sz w:val="24"/>
          <w:szCs w:val="24"/>
        </w:rPr>
        <w:t>quater</w:t>
      </w:r>
      <w:r w:rsidRPr="00962FFC">
        <w:rPr>
          <w:rFonts w:ascii="Times New Roman" w:hAnsi="Times New Roman"/>
          <w:sz w:val="24"/>
          <w:szCs w:val="24"/>
        </w:rPr>
        <w:t>. In caso di grave inadempimento da parte del gestore nell’attuazione del piano di cui al comma 1-bis, si applica l’articolo 27, comma 3.</w:t>
      </w:r>
      <w:r w:rsidR="00962FFC" w:rsidRPr="00962FFC">
        <w:rPr>
          <w:rFonts w:ascii="Times New Roman" w:hAnsi="Times New Roman"/>
          <w:sz w:val="24"/>
          <w:szCs w:val="24"/>
        </w:rPr>
        <w:t>».</w:t>
      </w:r>
    </w:p>
    <w:p w14:paraId="13FDD1C3" w14:textId="77777777" w:rsidR="00962FFC" w:rsidRPr="00724C56" w:rsidRDefault="00962FFC" w:rsidP="00DA6AAD">
      <w:pPr>
        <w:spacing w:line="240" w:lineRule="auto"/>
        <w:jc w:val="both"/>
        <w:rPr>
          <w:rFonts w:ascii="Times New Roman" w:hAnsi="Times New Roman"/>
          <w:b/>
          <w:bCs/>
          <w:sz w:val="24"/>
          <w:szCs w:val="24"/>
        </w:rPr>
      </w:pPr>
    </w:p>
    <w:p w14:paraId="73817B86" w14:textId="27E705E4" w:rsidR="00962FFC" w:rsidRDefault="00962FFC" w:rsidP="00962FFC">
      <w:pPr>
        <w:spacing w:line="240" w:lineRule="auto"/>
        <w:jc w:val="center"/>
        <w:rPr>
          <w:rFonts w:ascii="Times New Roman" w:hAnsi="Times New Roman"/>
          <w:b/>
          <w:bCs/>
          <w:sz w:val="24"/>
          <w:szCs w:val="24"/>
        </w:rPr>
      </w:pPr>
      <w:r w:rsidRPr="00962FFC">
        <w:rPr>
          <w:rFonts w:ascii="Times New Roman" w:hAnsi="Times New Roman"/>
          <w:b/>
          <w:bCs/>
          <w:sz w:val="24"/>
          <w:szCs w:val="24"/>
        </w:rPr>
        <w:t>Art. 2</w:t>
      </w:r>
    </w:p>
    <w:p w14:paraId="582ACE9D" w14:textId="77777777" w:rsidR="00F17AFA" w:rsidRPr="002A14E3" w:rsidRDefault="00F17AFA" w:rsidP="00F17AFA">
      <w:pPr>
        <w:spacing w:line="240" w:lineRule="auto"/>
        <w:jc w:val="center"/>
        <w:rPr>
          <w:rFonts w:ascii="Times New Roman" w:hAnsi="Times New Roman"/>
          <w:b/>
          <w:bCs/>
          <w:i/>
          <w:iCs/>
        </w:rPr>
      </w:pPr>
      <w:r w:rsidRPr="002A14E3">
        <w:rPr>
          <w:rFonts w:ascii="Times New Roman" w:hAnsi="Times New Roman"/>
          <w:b/>
          <w:bCs/>
          <w:i/>
          <w:iCs/>
        </w:rPr>
        <w:t xml:space="preserve">(Sanzioni in materia di servizi pubblici locali) </w:t>
      </w:r>
    </w:p>
    <w:p w14:paraId="2EF8F9B0" w14:textId="1D371903" w:rsidR="00545DDF" w:rsidRPr="00545DDF" w:rsidRDefault="00545DDF" w:rsidP="00545DDF">
      <w:pPr>
        <w:pStyle w:val="Paragrafoelenco"/>
        <w:numPr>
          <w:ilvl w:val="0"/>
          <w:numId w:val="32"/>
        </w:numPr>
        <w:spacing w:line="240" w:lineRule="auto"/>
        <w:ind w:left="426"/>
        <w:rPr>
          <w:rFonts w:ascii="Times New Roman" w:hAnsi="Times New Roman"/>
          <w:sz w:val="24"/>
          <w:szCs w:val="24"/>
        </w:rPr>
      </w:pPr>
      <w:r>
        <w:rPr>
          <w:rFonts w:ascii="Times New Roman" w:hAnsi="Times New Roman"/>
          <w:sz w:val="24"/>
          <w:szCs w:val="24"/>
        </w:rPr>
        <w:t>Al decreto legislativo 23 dicembre 2022, n. 201, dopo l’articolo 31 è inserito il seguente:</w:t>
      </w:r>
    </w:p>
    <w:p w14:paraId="799C31A0" w14:textId="7ADDEDCE" w:rsidR="00550245" w:rsidRPr="00BD2EDB" w:rsidRDefault="00550245" w:rsidP="00550245">
      <w:pPr>
        <w:spacing w:line="240" w:lineRule="auto"/>
        <w:rPr>
          <w:rFonts w:ascii="Times New Roman" w:hAnsi="Times New Roman"/>
          <w:sz w:val="24"/>
          <w:szCs w:val="24"/>
        </w:rPr>
      </w:pPr>
      <w:r w:rsidRPr="00BD2EDB">
        <w:rPr>
          <w:rFonts w:ascii="Times New Roman" w:hAnsi="Times New Roman"/>
          <w:sz w:val="24"/>
          <w:szCs w:val="24"/>
        </w:rPr>
        <w:t>«Art. 31-</w:t>
      </w:r>
      <w:r w:rsidRPr="00BD2EDB">
        <w:rPr>
          <w:rFonts w:ascii="Times New Roman" w:hAnsi="Times New Roman"/>
          <w:i/>
          <w:iCs/>
          <w:sz w:val="24"/>
          <w:szCs w:val="24"/>
        </w:rPr>
        <w:t>bis</w:t>
      </w:r>
    </w:p>
    <w:p w14:paraId="7828C454" w14:textId="77777777" w:rsidR="00550245" w:rsidRPr="00BD2EDB" w:rsidRDefault="00550245" w:rsidP="00550245">
      <w:pPr>
        <w:spacing w:line="240" w:lineRule="auto"/>
        <w:rPr>
          <w:rFonts w:ascii="Times New Roman" w:hAnsi="Times New Roman"/>
          <w:i/>
          <w:iCs/>
          <w:sz w:val="24"/>
          <w:szCs w:val="24"/>
        </w:rPr>
      </w:pPr>
      <w:r w:rsidRPr="00BD2EDB">
        <w:rPr>
          <w:rFonts w:ascii="Times New Roman" w:hAnsi="Times New Roman"/>
          <w:i/>
          <w:iCs/>
          <w:sz w:val="24"/>
          <w:szCs w:val="24"/>
        </w:rPr>
        <w:t>(Sanzioni)</w:t>
      </w:r>
    </w:p>
    <w:p w14:paraId="4F00B86F" w14:textId="2E3BDA5D" w:rsidR="00550245" w:rsidRPr="009565BF" w:rsidRDefault="00550245" w:rsidP="00550245">
      <w:pPr>
        <w:jc w:val="both"/>
        <w:rPr>
          <w:rFonts w:ascii="Times New Roman" w:hAnsi="Times New Roman"/>
          <w:sz w:val="24"/>
          <w:szCs w:val="24"/>
        </w:rPr>
      </w:pPr>
      <w:r w:rsidRPr="009565BF">
        <w:rPr>
          <w:rFonts w:ascii="Times New Roman" w:hAnsi="Times New Roman"/>
          <w:sz w:val="24"/>
          <w:szCs w:val="24"/>
        </w:rPr>
        <w:t xml:space="preserve">1. L’ANAC applica la sanzione amministrativa pecuniaria di cui all’articolo 20, comma 7, del testo unico in materia di società a partecipazione pubblica, di cui al decreto legislativo 19 agosto 2016, n. 175, in caso di: </w:t>
      </w:r>
    </w:p>
    <w:p w14:paraId="69B06625" w14:textId="77777777" w:rsidR="00550245" w:rsidRPr="009565BF" w:rsidRDefault="00550245" w:rsidP="00550245">
      <w:pPr>
        <w:jc w:val="both"/>
        <w:rPr>
          <w:rFonts w:ascii="Times New Roman" w:hAnsi="Times New Roman"/>
          <w:sz w:val="24"/>
          <w:szCs w:val="24"/>
        </w:rPr>
      </w:pPr>
      <w:r w:rsidRPr="009565BF">
        <w:rPr>
          <w:rFonts w:ascii="Times New Roman" w:hAnsi="Times New Roman"/>
          <w:i/>
          <w:iCs/>
          <w:sz w:val="24"/>
          <w:szCs w:val="24"/>
        </w:rPr>
        <w:t>a)</w:t>
      </w:r>
      <w:r w:rsidRPr="009565BF">
        <w:rPr>
          <w:rFonts w:ascii="Times New Roman" w:hAnsi="Times New Roman"/>
          <w:sz w:val="24"/>
          <w:szCs w:val="24"/>
        </w:rPr>
        <w:t xml:space="preserve"> mancata adozione da parte dell’ente locale della relazione di cui all’articolo 30, comma 2; </w:t>
      </w:r>
    </w:p>
    <w:p w14:paraId="2F4B81E5" w14:textId="77777777" w:rsidR="00550245" w:rsidRPr="009565BF" w:rsidRDefault="00550245" w:rsidP="00550245">
      <w:pPr>
        <w:jc w:val="both"/>
        <w:rPr>
          <w:rFonts w:ascii="Times New Roman" w:hAnsi="Times New Roman"/>
          <w:sz w:val="24"/>
          <w:szCs w:val="24"/>
        </w:rPr>
      </w:pPr>
      <w:r w:rsidRPr="009565BF">
        <w:rPr>
          <w:rFonts w:ascii="Times New Roman" w:hAnsi="Times New Roman"/>
          <w:i/>
          <w:iCs/>
          <w:sz w:val="24"/>
          <w:szCs w:val="24"/>
        </w:rPr>
        <w:lastRenderedPageBreak/>
        <w:t>b)</w:t>
      </w:r>
      <w:r w:rsidRPr="009565BF">
        <w:rPr>
          <w:rFonts w:ascii="Times New Roman" w:hAnsi="Times New Roman"/>
          <w:sz w:val="24"/>
          <w:szCs w:val="24"/>
        </w:rPr>
        <w:t xml:space="preserve"> mancata pubblicazione della relazione di cui all’articolo 30, comma 2 nel sito internet istituzionale dell’ente affidante ai sensi dell’articolo 31, comma 2;</w:t>
      </w:r>
    </w:p>
    <w:p w14:paraId="7EC2E99B" w14:textId="77777777" w:rsidR="00550245" w:rsidRPr="009565BF" w:rsidRDefault="00550245" w:rsidP="00550245">
      <w:pPr>
        <w:jc w:val="both"/>
        <w:rPr>
          <w:rFonts w:ascii="Times New Roman" w:hAnsi="Times New Roman"/>
          <w:sz w:val="24"/>
          <w:szCs w:val="24"/>
        </w:rPr>
      </w:pPr>
      <w:r w:rsidRPr="009565BF">
        <w:rPr>
          <w:rFonts w:ascii="Times New Roman" w:hAnsi="Times New Roman"/>
          <w:i/>
          <w:iCs/>
          <w:sz w:val="24"/>
          <w:szCs w:val="24"/>
        </w:rPr>
        <w:t>c)</w:t>
      </w:r>
      <w:r w:rsidRPr="009565BF">
        <w:rPr>
          <w:rFonts w:ascii="Times New Roman" w:hAnsi="Times New Roman"/>
          <w:sz w:val="24"/>
          <w:szCs w:val="24"/>
        </w:rPr>
        <w:t xml:space="preserve"> mancata adozione da parte dell’ente locale dell’atto di indirizzo ai sensi dell’articolo 30, comma 1-</w:t>
      </w:r>
      <w:r w:rsidRPr="009565BF">
        <w:rPr>
          <w:rFonts w:ascii="Times New Roman" w:hAnsi="Times New Roman"/>
          <w:i/>
          <w:iCs/>
          <w:sz w:val="24"/>
          <w:szCs w:val="24"/>
        </w:rPr>
        <w:t>bis</w:t>
      </w:r>
      <w:r w:rsidRPr="009565BF">
        <w:rPr>
          <w:rFonts w:ascii="Times New Roman" w:hAnsi="Times New Roman"/>
          <w:sz w:val="24"/>
          <w:szCs w:val="24"/>
        </w:rPr>
        <w:t xml:space="preserve">. </w:t>
      </w:r>
    </w:p>
    <w:p w14:paraId="1688E116" w14:textId="0D1218E6" w:rsidR="00550245" w:rsidRPr="009565BF" w:rsidRDefault="00550245" w:rsidP="00550245">
      <w:pPr>
        <w:jc w:val="both"/>
        <w:rPr>
          <w:rFonts w:ascii="Times New Roman" w:hAnsi="Times New Roman"/>
          <w:sz w:val="24"/>
          <w:szCs w:val="24"/>
        </w:rPr>
      </w:pPr>
      <w:r w:rsidRPr="009565BF">
        <w:rPr>
          <w:rFonts w:ascii="Times New Roman" w:hAnsi="Times New Roman"/>
          <w:sz w:val="24"/>
          <w:szCs w:val="24"/>
        </w:rPr>
        <w:t>2. In caso di incompletezza della relazione di cui all’articolo 30, comma 2 tale da non consentirne una compiuta valutazione, l’ANAC comunica all’ente locale interessato il termine perentorio, non superiore a trenta giorni, per le integrazioni ritenute necessarie. Decorso il termine di cui al primo periodo, l’ANAC applica la sanzione amministrativa pecuniaria di cui al comma 1</w:t>
      </w:r>
      <w:r w:rsidR="00AA3270">
        <w:rPr>
          <w:rFonts w:ascii="Times New Roman" w:hAnsi="Times New Roman"/>
          <w:sz w:val="24"/>
          <w:szCs w:val="24"/>
        </w:rPr>
        <w:t>.</w:t>
      </w:r>
      <w:r w:rsidRPr="009565BF">
        <w:rPr>
          <w:rFonts w:ascii="Times New Roman" w:hAnsi="Times New Roman"/>
          <w:sz w:val="24"/>
          <w:szCs w:val="24"/>
        </w:rPr>
        <w:t>».</w:t>
      </w:r>
    </w:p>
    <w:p w14:paraId="77F6B662" w14:textId="77777777" w:rsidR="00471A60" w:rsidRDefault="00471A60" w:rsidP="00D7008B">
      <w:pPr>
        <w:spacing w:line="240" w:lineRule="auto"/>
        <w:jc w:val="center"/>
        <w:rPr>
          <w:rFonts w:ascii="Times New Roman" w:hAnsi="Times New Roman"/>
          <w:b/>
          <w:bCs/>
          <w:sz w:val="24"/>
          <w:szCs w:val="24"/>
        </w:rPr>
      </w:pPr>
    </w:p>
    <w:p w14:paraId="2D398E76" w14:textId="0A6FA417" w:rsidR="00D7008B" w:rsidRPr="00BD2EDB" w:rsidRDefault="00D7008B" w:rsidP="00D7008B">
      <w:pPr>
        <w:spacing w:line="240" w:lineRule="auto"/>
        <w:jc w:val="center"/>
        <w:rPr>
          <w:rFonts w:ascii="Times New Roman" w:hAnsi="Times New Roman"/>
          <w:b/>
          <w:bCs/>
          <w:sz w:val="24"/>
          <w:szCs w:val="24"/>
        </w:rPr>
      </w:pPr>
      <w:r w:rsidRPr="00BD2EDB">
        <w:rPr>
          <w:rFonts w:ascii="Times New Roman" w:hAnsi="Times New Roman"/>
          <w:b/>
          <w:bCs/>
          <w:sz w:val="24"/>
          <w:szCs w:val="24"/>
        </w:rPr>
        <w:t xml:space="preserve">Art. </w:t>
      </w:r>
      <w:r>
        <w:rPr>
          <w:rFonts w:ascii="Times New Roman" w:hAnsi="Times New Roman"/>
          <w:b/>
          <w:bCs/>
          <w:sz w:val="24"/>
          <w:szCs w:val="24"/>
        </w:rPr>
        <w:t>3</w:t>
      </w:r>
    </w:p>
    <w:p w14:paraId="141B06E2" w14:textId="2F46F506" w:rsidR="00D7008B" w:rsidRPr="00BD2EDB" w:rsidRDefault="00D7008B" w:rsidP="00D7008B">
      <w:pPr>
        <w:spacing w:line="240" w:lineRule="auto"/>
        <w:jc w:val="center"/>
        <w:rPr>
          <w:rFonts w:ascii="Times New Roman" w:hAnsi="Times New Roman"/>
          <w:b/>
          <w:bCs/>
          <w:i/>
          <w:iCs/>
          <w:sz w:val="24"/>
          <w:szCs w:val="24"/>
        </w:rPr>
      </w:pPr>
      <w:r w:rsidRPr="00BD2EDB">
        <w:rPr>
          <w:rFonts w:ascii="Times New Roman" w:hAnsi="Times New Roman"/>
          <w:b/>
          <w:bCs/>
          <w:i/>
          <w:iCs/>
          <w:sz w:val="24"/>
          <w:szCs w:val="24"/>
        </w:rPr>
        <w:t>(Disposizioni in mater</w:t>
      </w:r>
      <w:r w:rsidR="00471A60">
        <w:rPr>
          <w:rFonts w:ascii="Times New Roman" w:hAnsi="Times New Roman"/>
          <w:b/>
          <w:bCs/>
          <w:i/>
          <w:iCs/>
          <w:sz w:val="24"/>
          <w:szCs w:val="24"/>
        </w:rPr>
        <w:t>ia di</w:t>
      </w:r>
      <w:r w:rsidRPr="00BD2EDB">
        <w:rPr>
          <w:rFonts w:ascii="Times New Roman" w:hAnsi="Times New Roman"/>
          <w:b/>
          <w:bCs/>
          <w:i/>
          <w:iCs/>
          <w:sz w:val="24"/>
          <w:szCs w:val="24"/>
        </w:rPr>
        <w:t xml:space="preserve"> </w:t>
      </w:r>
      <w:r w:rsidR="00F17AFA">
        <w:rPr>
          <w:rFonts w:ascii="Times New Roman" w:hAnsi="Times New Roman"/>
          <w:b/>
          <w:bCs/>
          <w:i/>
          <w:iCs/>
          <w:sz w:val="24"/>
          <w:szCs w:val="24"/>
        </w:rPr>
        <w:t>stazioni di ricarica elettrica</w:t>
      </w:r>
      <w:r w:rsidRPr="00BD2EDB">
        <w:rPr>
          <w:rFonts w:ascii="Times New Roman" w:hAnsi="Times New Roman"/>
          <w:b/>
          <w:bCs/>
          <w:i/>
          <w:iCs/>
          <w:sz w:val="24"/>
          <w:szCs w:val="24"/>
        </w:rPr>
        <w:t>)</w:t>
      </w:r>
    </w:p>
    <w:p w14:paraId="6BE3C08D" w14:textId="3DBBEEAC" w:rsidR="00D7008B" w:rsidRPr="00BD2EDB" w:rsidRDefault="00D7008B" w:rsidP="00D7008B">
      <w:pPr>
        <w:spacing w:line="240" w:lineRule="auto"/>
        <w:jc w:val="both"/>
        <w:rPr>
          <w:rFonts w:ascii="Times New Roman" w:hAnsi="Times New Roman"/>
          <w:sz w:val="24"/>
          <w:szCs w:val="24"/>
        </w:rPr>
      </w:pPr>
      <w:r w:rsidRPr="00BD2EDB">
        <w:rPr>
          <w:rFonts w:ascii="Times New Roman" w:hAnsi="Times New Roman"/>
          <w:sz w:val="24"/>
          <w:szCs w:val="24"/>
        </w:rPr>
        <w:t>1. Per garantire uno sviluppo efficiente del mercato della mobilità elettrica e assicurare agli utenti condizioni concorrenziali nell’ambito dei servizi offerti dalle infrastrutture di ricarica in modo da incoraggiare la pluralità degli operatori, all’articolo 57, comma 8, del decreto-legge 16 luglio 2020, n. 76, convertito con modificazioni, dalla legge 11 settembre 2020, n. 120 sono apportate le seguenti modificazioni:</w:t>
      </w:r>
    </w:p>
    <w:p w14:paraId="1B5EC0C2" w14:textId="77777777" w:rsidR="00D7008B" w:rsidRPr="00BD2EDB" w:rsidRDefault="00D7008B" w:rsidP="00D7008B">
      <w:pPr>
        <w:spacing w:line="240" w:lineRule="auto"/>
        <w:jc w:val="both"/>
        <w:rPr>
          <w:rFonts w:ascii="Times New Roman" w:hAnsi="Times New Roman"/>
          <w:sz w:val="24"/>
          <w:szCs w:val="24"/>
        </w:rPr>
      </w:pPr>
      <w:r w:rsidRPr="00BD2EDB">
        <w:rPr>
          <w:rFonts w:ascii="Times New Roman" w:hAnsi="Times New Roman"/>
          <w:i/>
          <w:iCs/>
          <w:sz w:val="24"/>
          <w:szCs w:val="24"/>
        </w:rPr>
        <w:t>a)</w:t>
      </w:r>
      <w:r w:rsidRPr="00BD2EDB">
        <w:rPr>
          <w:rFonts w:ascii="Times New Roman" w:hAnsi="Times New Roman"/>
          <w:sz w:val="24"/>
          <w:szCs w:val="24"/>
        </w:rPr>
        <w:tab/>
        <w:t xml:space="preserve">dopo il primo periodo, è inserito il seguente: </w:t>
      </w:r>
      <w:bookmarkStart w:id="1" w:name="_Hlk198289552"/>
      <w:r w:rsidRPr="00BD2EDB">
        <w:rPr>
          <w:rFonts w:ascii="Times New Roman" w:hAnsi="Times New Roman"/>
          <w:sz w:val="24"/>
          <w:szCs w:val="24"/>
        </w:rPr>
        <w:t>«</w:t>
      </w:r>
      <w:bookmarkEnd w:id="1"/>
      <w:r w:rsidRPr="00BD2EDB">
        <w:rPr>
          <w:rFonts w:ascii="Times New Roman" w:hAnsi="Times New Roman"/>
          <w:sz w:val="24"/>
          <w:szCs w:val="24"/>
        </w:rPr>
        <w:t>Tali procedure sono strutturate in modo da favorire, a parità di altre condizioni, la presenza di una pluralità di soggetti attivi nella gestione delle infrastrutture di ricarica nel territorio comunale.»;</w:t>
      </w:r>
    </w:p>
    <w:p w14:paraId="1D159CBC" w14:textId="333F5021" w:rsidR="00D7008B" w:rsidRPr="00BD2EDB" w:rsidRDefault="00D7008B" w:rsidP="00D7008B">
      <w:pPr>
        <w:spacing w:line="240" w:lineRule="auto"/>
        <w:jc w:val="both"/>
        <w:rPr>
          <w:rFonts w:ascii="Times New Roman" w:hAnsi="Times New Roman"/>
          <w:sz w:val="24"/>
          <w:szCs w:val="24"/>
        </w:rPr>
      </w:pPr>
      <w:r w:rsidRPr="00BD2EDB">
        <w:rPr>
          <w:rFonts w:ascii="Times New Roman" w:hAnsi="Times New Roman"/>
          <w:i/>
          <w:iCs/>
          <w:sz w:val="24"/>
          <w:szCs w:val="24"/>
        </w:rPr>
        <w:t>b)</w:t>
      </w:r>
      <w:r w:rsidRPr="00BD2EDB">
        <w:rPr>
          <w:rFonts w:ascii="Times New Roman" w:hAnsi="Times New Roman"/>
          <w:sz w:val="24"/>
          <w:szCs w:val="24"/>
        </w:rPr>
        <w:tab/>
        <w:t>è aggiunto</w:t>
      </w:r>
      <w:r w:rsidR="00AA3270">
        <w:rPr>
          <w:rFonts w:ascii="Times New Roman" w:hAnsi="Times New Roman"/>
          <w:sz w:val="24"/>
          <w:szCs w:val="24"/>
        </w:rPr>
        <w:t>, in fine,</w:t>
      </w:r>
      <w:r w:rsidRPr="00BD2EDB">
        <w:rPr>
          <w:rFonts w:ascii="Times New Roman" w:hAnsi="Times New Roman"/>
          <w:sz w:val="24"/>
          <w:szCs w:val="24"/>
        </w:rPr>
        <w:t xml:space="preserve"> il seguente</w:t>
      </w:r>
      <w:r w:rsidR="00AA3270">
        <w:rPr>
          <w:rFonts w:ascii="Times New Roman" w:hAnsi="Times New Roman"/>
          <w:sz w:val="24"/>
          <w:szCs w:val="24"/>
        </w:rPr>
        <w:t xml:space="preserve"> periodo</w:t>
      </w:r>
      <w:r w:rsidRPr="00BD2EDB">
        <w:rPr>
          <w:rFonts w:ascii="Times New Roman" w:hAnsi="Times New Roman"/>
          <w:sz w:val="24"/>
          <w:szCs w:val="24"/>
        </w:rPr>
        <w:t>: «A fronte di richieste di autorizzazione con caratteristiche comparabili, il comune dà priorità alle istanze provenienti da soggetti che detengono meno del 40 per cento del totale delle infrastrutture di ricarica installate o già autorizzate all’installazione nel territorio comunale.».</w:t>
      </w:r>
    </w:p>
    <w:p w14:paraId="3B5993D2" w14:textId="77777777" w:rsidR="00D7008B" w:rsidRPr="00F4399A" w:rsidRDefault="00D7008B" w:rsidP="00F42AB8">
      <w:pPr>
        <w:jc w:val="both"/>
        <w:rPr>
          <w:rFonts w:ascii="Times New Roman" w:hAnsi="Times New Roman"/>
          <w:strike/>
          <w:sz w:val="24"/>
          <w:szCs w:val="24"/>
        </w:rPr>
      </w:pPr>
    </w:p>
    <w:p w14:paraId="0DFAD508" w14:textId="77777777" w:rsidR="00D7008B" w:rsidRPr="00BD2EDB" w:rsidRDefault="00D7008B" w:rsidP="00D7008B">
      <w:pPr>
        <w:spacing w:line="240" w:lineRule="auto"/>
        <w:jc w:val="center"/>
        <w:rPr>
          <w:rFonts w:ascii="Times New Roman" w:hAnsi="Times New Roman"/>
          <w:b/>
          <w:bCs/>
          <w:sz w:val="24"/>
          <w:szCs w:val="24"/>
        </w:rPr>
      </w:pPr>
      <w:r w:rsidRPr="00BD2EDB">
        <w:rPr>
          <w:rFonts w:ascii="Times New Roman" w:hAnsi="Times New Roman"/>
          <w:b/>
          <w:bCs/>
          <w:sz w:val="24"/>
          <w:szCs w:val="24"/>
        </w:rPr>
        <w:t xml:space="preserve">CAPO II </w:t>
      </w:r>
    </w:p>
    <w:p w14:paraId="6ACB4894" w14:textId="77777777" w:rsidR="00D7008B" w:rsidRPr="00BD2EDB" w:rsidRDefault="00D7008B" w:rsidP="00D7008B">
      <w:pPr>
        <w:spacing w:line="240" w:lineRule="auto"/>
        <w:jc w:val="center"/>
        <w:rPr>
          <w:rFonts w:ascii="Times New Roman" w:hAnsi="Times New Roman"/>
          <w:b/>
          <w:bCs/>
          <w:sz w:val="24"/>
          <w:szCs w:val="24"/>
        </w:rPr>
      </w:pPr>
      <w:r w:rsidRPr="00BD2EDB">
        <w:rPr>
          <w:rFonts w:ascii="Times New Roman" w:hAnsi="Times New Roman"/>
          <w:b/>
          <w:bCs/>
          <w:sz w:val="24"/>
          <w:szCs w:val="24"/>
        </w:rPr>
        <w:t>Disposizioni in materia di servizi di trasporto pubblico regionale e di trasporto aereo</w:t>
      </w:r>
    </w:p>
    <w:p w14:paraId="57659A9A" w14:textId="77777777" w:rsidR="00550245" w:rsidRPr="009565BF" w:rsidRDefault="00550245" w:rsidP="00550245">
      <w:pPr>
        <w:spacing w:line="240" w:lineRule="auto"/>
        <w:jc w:val="center"/>
        <w:rPr>
          <w:rFonts w:ascii="Times New Roman" w:hAnsi="Times New Roman"/>
          <w:b/>
          <w:bCs/>
          <w:sz w:val="24"/>
          <w:szCs w:val="24"/>
        </w:rPr>
      </w:pPr>
      <w:r w:rsidRPr="009565BF">
        <w:rPr>
          <w:rFonts w:ascii="Times New Roman" w:hAnsi="Times New Roman"/>
          <w:b/>
          <w:bCs/>
          <w:sz w:val="24"/>
          <w:szCs w:val="24"/>
        </w:rPr>
        <w:t>Art. 4</w:t>
      </w:r>
    </w:p>
    <w:p w14:paraId="6FE8F104" w14:textId="77777777" w:rsidR="00550245" w:rsidRPr="00BD2EDB" w:rsidRDefault="00550245" w:rsidP="00550245">
      <w:pPr>
        <w:spacing w:line="240" w:lineRule="auto"/>
        <w:jc w:val="center"/>
        <w:rPr>
          <w:rFonts w:ascii="Times New Roman" w:hAnsi="Times New Roman"/>
          <w:b/>
          <w:bCs/>
          <w:i/>
          <w:iCs/>
          <w:sz w:val="24"/>
          <w:szCs w:val="24"/>
        </w:rPr>
      </w:pPr>
      <w:r w:rsidRPr="00BD2EDB">
        <w:rPr>
          <w:rFonts w:ascii="Times New Roman" w:hAnsi="Times New Roman"/>
          <w:b/>
          <w:bCs/>
          <w:i/>
          <w:iCs/>
          <w:sz w:val="24"/>
          <w:szCs w:val="24"/>
        </w:rPr>
        <w:t>(Misure per la promozione della concorrenza nei servizi di trasporto pubblico regionale)</w:t>
      </w:r>
    </w:p>
    <w:p w14:paraId="567315F2" w14:textId="1EF1D217" w:rsidR="00550245" w:rsidRPr="00BD2EDB" w:rsidRDefault="00550245" w:rsidP="00550245">
      <w:pPr>
        <w:spacing w:line="240" w:lineRule="auto"/>
        <w:jc w:val="both"/>
        <w:rPr>
          <w:rFonts w:ascii="Times New Roman" w:hAnsi="Times New Roman"/>
          <w:sz w:val="24"/>
          <w:szCs w:val="24"/>
        </w:rPr>
      </w:pPr>
      <w:r w:rsidRPr="00BD2EDB">
        <w:rPr>
          <w:rFonts w:ascii="Times New Roman" w:hAnsi="Times New Roman"/>
          <w:sz w:val="24"/>
          <w:szCs w:val="24"/>
        </w:rPr>
        <w:t>1. Al fine di rafforzare l’efficienza del servizio pubblico di trasporto ferroviario e su gomma di competenza regionale e rendere trasparenti le modalità di gestione dello stesso, all’articolo 48 del decreto-legge 24 aprile 2017, n. 50, convertito, con modificazioni, dalla legge 21 giugno 2017, n. 96, dopo il comma 4, è inserito il seguente:</w:t>
      </w:r>
    </w:p>
    <w:p w14:paraId="181DC98C" w14:textId="7D30BF4E" w:rsidR="00550245" w:rsidRPr="00BD2EDB" w:rsidRDefault="00550245" w:rsidP="00550245">
      <w:pPr>
        <w:spacing w:line="240" w:lineRule="auto"/>
        <w:jc w:val="both"/>
        <w:rPr>
          <w:rFonts w:ascii="Times New Roman" w:hAnsi="Times New Roman"/>
          <w:sz w:val="24"/>
          <w:szCs w:val="24"/>
        </w:rPr>
      </w:pPr>
      <w:r w:rsidRPr="00BD2EDB">
        <w:rPr>
          <w:rFonts w:ascii="Times New Roman" w:hAnsi="Times New Roman"/>
          <w:sz w:val="24"/>
          <w:szCs w:val="24"/>
        </w:rPr>
        <w:t>«4-</w:t>
      </w:r>
      <w:r w:rsidRPr="00BD2EDB">
        <w:rPr>
          <w:rFonts w:ascii="Times New Roman" w:hAnsi="Times New Roman"/>
          <w:i/>
          <w:iCs/>
          <w:sz w:val="24"/>
          <w:szCs w:val="24"/>
        </w:rPr>
        <w:t>bis</w:t>
      </w:r>
      <w:r w:rsidRPr="00BD2EDB">
        <w:rPr>
          <w:rFonts w:ascii="Times New Roman" w:hAnsi="Times New Roman"/>
          <w:sz w:val="24"/>
          <w:szCs w:val="24"/>
        </w:rPr>
        <w:t>. Agli affidamenti dei servizi di trasporto pubblico regionale si applicano le disposizioni di cui agli articoli 14, commi 2 e 3, 17, 30, 31 e 31</w:t>
      </w:r>
      <w:r w:rsidR="00545DDF">
        <w:rPr>
          <w:rFonts w:ascii="Times New Roman" w:hAnsi="Times New Roman"/>
          <w:sz w:val="24"/>
          <w:szCs w:val="24"/>
        </w:rPr>
        <w:t>-</w:t>
      </w:r>
      <w:r w:rsidRPr="00BD2EDB">
        <w:rPr>
          <w:rFonts w:ascii="Times New Roman" w:hAnsi="Times New Roman"/>
          <w:i/>
          <w:iCs/>
          <w:sz w:val="24"/>
          <w:szCs w:val="24"/>
        </w:rPr>
        <w:t>bis</w:t>
      </w:r>
      <w:r w:rsidRPr="00BD2EDB">
        <w:rPr>
          <w:rFonts w:ascii="Times New Roman" w:hAnsi="Times New Roman"/>
          <w:sz w:val="24"/>
          <w:szCs w:val="24"/>
        </w:rPr>
        <w:t xml:space="preserve"> del decreto legislativo 23 dicembre 2022, n. 201.</w:t>
      </w:r>
      <w:bookmarkStart w:id="2" w:name="_Hlk198733656"/>
      <w:r w:rsidRPr="00BD2EDB">
        <w:rPr>
          <w:rFonts w:ascii="Times New Roman" w:hAnsi="Times New Roman"/>
          <w:sz w:val="24"/>
          <w:szCs w:val="24"/>
        </w:rPr>
        <w:t>».</w:t>
      </w:r>
      <w:bookmarkEnd w:id="2"/>
    </w:p>
    <w:p w14:paraId="49C9B129" w14:textId="229B6D39" w:rsidR="00550245" w:rsidRPr="009565BF" w:rsidRDefault="00550245" w:rsidP="00550245">
      <w:pPr>
        <w:jc w:val="both"/>
        <w:rPr>
          <w:sz w:val="24"/>
          <w:szCs w:val="24"/>
        </w:rPr>
      </w:pPr>
      <w:r w:rsidRPr="009565BF">
        <w:rPr>
          <w:rFonts w:ascii="Times New Roman" w:hAnsi="Times New Roman"/>
          <w:sz w:val="24"/>
          <w:szCs w:val="24"/>
        </w:rPr>
        <w:t xml:space="preserve">2. Al fine di garantire massima trasparenza sull’affidamento dei servizi di trasporto </w:t>
      </w:r>
      <w:r w:rsidR="009565BF" w:rsidRPr="009565BF">
        <w:rPr>
          <w:rFonts w:ascii="Times New Roman" w:hAnsi="Times New Roman"/>
          <w:sz w:val="24"/>
          <w:szCs w:val="24"/>
        </w:rPr>
        <w:t>pubblico ferroviario</w:t>
      </w:r>
      <w:r w:rsidRPr="009565BF">
        <w:rPr>
          <w:rFonts w:ascii="Times New Roman" w:hAnsi="Times New Roman"/>
          <w:sz w:val="24"/>
          <w:szCs w:val="24"/>
        </w:rPr>
        <w:t xml:space="preserve"> regionale mediante procedure ad evidenza pubblica, all’articolo 9 della legge 5 agosto 2022, n. 118, sono apportate le seguenti modificazioni:</w:t>
      </w:r>
    </w:p>
    <w:p w14:paraId="599E5FAA" w14:textId="77777777" w:rsidR="00550245" w:rsidRPr="00BD2EDB" w:rsidRDefault="00550245" w:rsidP="00550245">
      <w:pPr>
        <w:jc w:val="both"/>
        <w:rPr>
          <w:sz w:val="24"/>
          <w:szCs w:val="24"/>
        </w:rPr>
      </w:pPr>
      <w:r w:rsidRPr="00BD2EDB">
        <w:rPr>
          <w:rFonts w:ascii="Times New Roman" w:hAnsi="Times New Roman"/>
          <w:i/>
          <w:iCs/>
          <w:sz w:val="24"/>
          <w:szCs w:val="24"/>
        </w:rPr>
        <w:t>a)</w:t>
      </w:r>
      <w:r w:rsidRPr="00BD2EDB">
        <w:rPr>
          <w:rFonts w:ascii="Times New Roman" w:hAnsi="Times New Roman"/>
          <w:sz w:val="24"/>
          <w:szCs w:val="24"/>
        </w:rPr>
        <w:t xml:space="preserve"> dopo il comma 1, è inserito il seguente:</w:t>
      </w:r>
    </w:p>
    <w:p w14:paraId="2BC8DA92" w14:textId="7C201B46" w:rsidR="00550245" w:rsidRPr="00DA3C86" w:rsidRDefault="00550245" w:rsidP="00550245">
      <w:pPr>
        <w:jc w:val="both"/>
        <w:rPr>
          <w:rFonts w:ascii="Times New Roman" w:hAnsi="Times New Roman"/>
          <w:b/>
          <w:bCs/>
          <w:color w:val="00B050"/>
          <w:sz w:val="24"/>
          <w:szCs w:val="24"/>
        </w:rPr>
      </w:pPr>
      <w:r w:rsidRPr="00BD2EDB">
        <w:rPr>
          <w:rFonts w:ascii="Times New Roman" w:hAnsi="Times New Roman"/>
          <w:sz w:val="24"/>
          <w:szCs w:val="24"/>
        </w:rPr>
        <w:t>«1-</w:t>
      </w:r>
      <w:r w:rsidRPr="00BD2EDB">
        <w:rPr>
          <w:rFonts w:ascii="Times New Roman" w:hAnsi="Times New Roman"/>
          <w:i/>
          <w:iCs/>
          <w:sz w:val="24"/>
          <w:szCs w:val="24"/>
        </w:rPr>
        <w:t>bis</w:t>
      </w:r>
      <w:r w:rsidRPr="00BD2EDB">
        <w:rPr>
          <w:rFonts w:ascii="Times New Roman" w:hAnsi="Times New Roman"/>
          <w:sz w:val="24"/>
          <w:szCs w:val="24"/>
        </w:rPr>
        <w:t xml:space="preserve">. </w:t>
      </w:r>
      <w:r w:rsidRPr="009565BF">
        <w:rPr>
          <w:rFonts w:ascii="Times New Roman" w:hAnsi="Times New Roman"/>
          <w:sz w:val="24"/>
          <w:szCs w:val="24"/>
        </w:rPr>
        <w:t>Le regioni a statuto ordinario, le regioni a statuto speciale e le province autonome di Trento e di Bolzano trasmettono all’Osservatorio di cui all'articolo 1, comma 300, della legge 24 dicembre 2007, n. 244</w:t>
      </w:r>
      <w:r w:rsidR="00545DDF">
        <w:rPr>
          <w:rFonts w:ascii="Times New Roman" w:hAnsi="Times New Roman"/>
          <w:sz w:val="24"/>
          <w:szCs w:val="24"/>
        </w:rPr>
        <w:t>,</w:t>
      </w:r>
      <w:r w:rsidRPr="009565BF">
        <w:rPr>
          <w:rFonts w:ascii="Times New Roman" w:hAnsi="Times New Roman"/>
          <w:sz w:val="24"/>
          <w:szCs w:val="24"/>
        </w:rPr>
        <w:t xml:space="preserve"> i calendari delle procedure di evidenza pubblica programmate per i servizi di trasporto ferroviario regionale sul proprio territorio relativi ai contratti in scadenza, secondo il modello definito con decreto direttoriale del Ministero delle infrastrutture e dei trasporti. I calendari di cui al primo periodo, trasmessi entro il 31 maggio di ciascun anno contestualmente alle attestazioni di cui al comma 1, sono pubblicati </w:t>
      </w:r>
      <w:r w:rsidR="00AA3270">
        <w:rPr>
          <w:rFonts w:ascii="Times New Roman" w:hAnsi="Times New Roman"/>
          <w:sz w:val="24"/>
          <w:szCs w:val="24"/>
        </w:rPr>
        <w:t>nel</w:t>
      </w:r>
      <w:r w:rsidRPr="009565BF">
        <w:rPr>
          <w:rFonts w:ascii="Times New Roman" w:hAnsi="Times New Roman"/>
          <w:sz w:val="24"/>
          <w:szCs w:val="24"/>
        </w:rPr>
        <w:t xml:space="preserve"> sito </w:t>
      </w:r>
      <w:r w:rsidRPr="009565BF">
        <w:rPr>
          <w:rFonts w:ascii="Times New Roman" w:hAnsi="Times New Roman"/>
          <w:i/>
          <w:iCs/>
          <w:sz w:val="24"/>
          <w:szCs w:val="24"/>
        </w:rPr>
        <w:t>internet</w:t>
      </w:r>
      <w:r w:rsidRPr="009565BF">
        <w:rPr>
          <w:rFonts w:ascii="Times New Roman" w:hAnsi="Times New Roman"/>
          <w:sz w:val="24"/>
          <w:szCs w:val="24"/>
        </w:rPr>
        <w:t xml:space="preserve"> istituzionale del Ministero delle infrastrutture e dei trasporti entro i successivi due mesi. In sede di prima applicazione della presente disposizione, i calendari recano evidenza dell’elenco degli affidamenti programmati fino al 2033; all’aggiornamento dei predetti calendari si provvede con le comunicazioni annuali di cui al primo periodo. A</w:t>
      </w:r>
      <w:r w:rsidR="00C96D92">
        <w:rPr>
          <w:rFonts w:ascii="Times New Roman" w:hAnsi="Times New Roman"/>
          <w:sz w:val="24"/>
          <w:szCs w:val="24"/>
        </w:rPr>
        <w:t xml:space="preserve">ll’attuazione </w:t>
      </w:r>
      <w:r w:rsidRPr="009565BF">
        <w:rPr>
          <w:rFonts w:ascii="Times New Roman" w:hAnsi="Times New Roman"/>
          <w:sz w:val="24"/>
          <w:szCs w:val="24"/>
        </w:rPr>
        <w:t>d</w:t>
      </w:r>
      <w:r w:rsidR="00C96D92">
        <w:rPr>
          <w:rFonts w:ascii="Times New Roman" w:hAnsi="Times New Roman"/>
          <w:sz w:val="24"/>
          <w:szCs w:val="24"/>
        </w:rPr>
        <w:t>e</w:t>
      </w:r>
      <w:r w:rsidRPr="009565BF">
        <w:rPr>
          <w:rFonts w:ascii="Times New Roman" w:hAnsi="Times New Roman"/>
          <w:sz w:val="24"/>
          <w:szCs w:val="24"/>
        </w:rPr>
        <w:t>l presente comma si provvede nell'ambito delle risorse umane, strumentali e finanziarie previste a legislazione vigente e, comunque, senza nuovi o maggiori oneri per la finanza pubblica.»;</w:t>
      </w:r>
    </w:p>
    <w:p w14:paraId="5375D666" w14:textId="3FB9EBA3" w:rsidR="00550245" w:rsidRPr="009565BF" w:rsidRDefault="00550245" w:rsidP="00550245">
      <w:pPr>
        <w:jc w:val="both"/>
        <w:rPr>
          <w:rFonts w:ascii="Times New Roman" w:hAnsi="Times New Roman"/>
          <w:sz w:val="24"/>
          <w:szCs w:val="24"/>
        </w:rPr>
      </w:pPr>
      <w:r w:rsidRPr="004073A6">
        <w:rPr>
          <w:rFonts w:ascii="Times New Roman" w:hAnsi="Times New Roman"/>
          <w:i/>
          <w:iCs/>
          <w:sz w:val="24"/>
          <w:szCs w:val="24"/>
        </w:rPr>
        <w:t>b)</w:t>
      </w:r>
      <w:r w:rsidRPr="004073A6">
        <w:rPr>
          <w:rFonts w:ascii="Times New Roman" w:hAnsi="Times New Roman"/>
          <w:sz w:val="24"/>
          <w:szCs w:val="24"/>
        </w:rPr>
        <w:t xml:space="preserve"> al comma 2, è aggiunto</w:t>
      </w:r>
      <w:r w:rsidRPr="009565BF">
        <w:rPr>
          <w:rFonts w:ascii="Times New Roman" w:hAnsi="Times New Roman"/>
          <w:sz w:val="24"/>
          <w:szCs w:val="24"/>
        </w:rPr>
        <w:t>, in fine, il seguente periodo: «Le medesime disposizioni si applicano nel caso di omessa o ritardata trasmissione dei calendari di cui al comma 1-</w:t>
      </w:r>
      <w:r w:rsidRPr="009565BF">
        <w:rPr>
          <w:rFonts w:ascii="Times New Roman" w:hAnsi="Times New Roman"/>
          <w:i/>
          <w:iCs/>
          <w:sz w:val="24"/>
          <w:szCs w:val="24"/>
        </w:rPr>
        <w:t>bis</w:t>
      </w:r>
      <w:r w:rsidRPr="009565BF">
        <w:rPr>
          <w:rFonts w:ascii="Times New Roman" w:hAnsi="Times New Roman"/>
          <w:sz w:val="24"/>
          <w:szCs w:val="24"/>
        </w:rPr>
        <w:t xml:space="preserve"> nonché nel caso di incompletezza del loro contenuto.».</w:t>
      </w:r>
    </w:p>
    <w:p w14:paraId="6AAEEC35" w14:textId="343AB564" w:rsidR="00550245" w:rsidRPr="009565BF" w:rsidRDefault="00550245" w:rsidP="00550245">
      <w:pPr>
        <w:spacing w:line="240" w:lineRule="auto"/>
        <w:jc w:val="both"/>
        <w:rPr>
          <w:rFonts w:ascii="Times New Roman" w:hAnsi="Times New Roman"/>
          <w:sz w:val="24"/>
          <w:szCs w:val="24"/>
        </w:rPr>
      </w:pPr>
      <w:r w:rsidRPr="009565BF">
        <w:rPr>
          <w:rFonts w:ascii="Times New Roman" w:hAnsi="Times New Roman"/>
          <w:sz w:val="24"/>
          <w:szCs w:val="24"/>
        </w:rPr>
        <w:t xml:space="preserve">3. Entro il 31 dicembre 2026, l’Autorità di regolazione dei trasporti adotta, ai sensi dell’articolo 37, comma 2, lettere a) e f), </w:t>
      </w:r>
      <w:r w:rsidR="00AA3270">
        <w:rPr>
          <w:rFonts w:ascii="Times New Roman" w:hAnsi="Times New Roman"/>
          <w:sz w:val="24"/>
          <w:szCs w:val="24"/>
        </w:rPr>
        <w:t xml:space="preserve">del </w:t>
      </w:r>
      <w:r w:rsidRPr="009565BF">
        <w:rPr>
          <w:rFonts w:ascii="Times New Roman" w:hAnsi="Times New Roman"/>
          <w:sz w:val="24"/>
          <w:szCs w:val="24"/>
        </w:rPr>
        <w:t>decreto-legge 6 dicembre 2011, n. 201, convertito, con modificazioni dalla legge 22 dicembre 2011, n. 214, specifiche linee guida nel settore dei servizi di trasporto pubblico regionale, volte a migliorare la qualità dell’affidamento, redatte nel rispetto del regolamento (UE) n. 1370/2007 del Parlamento europeo e del Consiglio, del 23 ottobre 2007. Per le finalità di cui al primo periodo, l’Autorità di regolazione dei trasporti avvia entro il 30 giugno 2026 una consultazione pubblica.</w:t>
      </w:r>
    </w:p>
    <w:p w14:paraId="363B85AD" w14:textId="76C34031" w:rsidR="00F4399A" w:rsidRPr="00BD2EDB" w:rsidRDefault="00550245" w:rsidP="00550245">
      <w:pPr>
        <w:spacing w:line="240" w:lineRule="auto"/>
        <w:jc w:val="both"/>
        <w:rPr>
          <w:rFonts w:ascii="Times New Roman" w:hAnsi="Times New Roman"/>
          <w:b/>
          <w:bCs/>
          <w:sz w:val="24"/>
          <w:szCs w:val="24"/>
        </w:rPr>
      </w:pPr>
      <w:r w:rsidRPr="009565BF">
        <w:rPr>
          <w:rFonts w:ascii="Times New Roman" w:hAnsi="Times New Roman"/>
          <w:sz w:val="24"/>
          <w:szCs w:val="24"/>
        </w:rPr>
        <w:t>4. A</w:t>
      </w:r>
      <w:r w:rsidR="00C96D92">
        <w:rPr>
          <w:rFonts w:ascii="Times New Roman" w:hAnsi="Times New Roman"/>
          <w:sz w:val="24"/>
          <w:szCs w:val="24"/>
        </w:rPr>
        <w:t>ll’attuazione</w:t>
      </w:r>
      <w:r w:rsidRPr="009565BF">
        <w:rPr>
          <w:rFonts w:ascii="Times New Roman" w:hAnsi="Times New Roman"/>
          <w:sz w:val="24"/>
          <w:szCs w:val="24"/>
        </w:rPr>
        <w:t xml:space="preserve"> d</w:t>
      </w:r>
      <w:r w:rsidR="00C96D92">
        <w:rPr>
          <w:rFonts w:ascii="Times New Roman" w:hAnsi="Times New Roman"/>
          <w:sz w:val="24"/>
          <w:szCs w:val="24"/>
        </w:rPr>
        <w:t>e</w:t>
      </w:r>
      <w:r w:rsidRPr="009565BF">
        <w:rPr>
          <w:rFonts w:ascii="Times New Roman" w:hAnsi="Times New Roman"/>
          <w:sz w:val="24"/>
          <w:szCs w:val="24"/>
        </w:rPr>
        <w:t xml:space="preserve">l presente articolo si provvede nell’ambito delle risorse umane, strumentali e finanziare disponibili a legislazione vigente </w:t>
      </w:r>
      <w:r w:rsidRPr="00BD2EDB">
        <w:rPr>
          <w:rFonts w:ascii="Times New Roman" w:hAnsi="Times New Roman"/>
          <w:sz w:val="24"/>
          <w:szCs w:val="24"/>
        </w:rPr>
        <w:t>e, comunque, senza nuovi o maggiori oneri a carico della finanza pubblica</w:t>
      </w:r>
      <w:r w:rsidR="00C96D92">
        <w:rPr>
          <w:rFonts w:ascii="Times New Roman" w:hAnsi="Times New Roman"/>
          <w:sz w:val="24"/>
          <w:szCs w:val="24"/>
        </w:rPr>
        <w:t>.</w:t>
      </w:r>
    </w:p>
    <w:p w14:paraId="43A1F4A5" w14:textId="77777777" w:rsidR="005C6BDE" w:rsidRDefault="005C6BDE" w:rsidP="00F225AE">
      <w:pPr>
        <w:spacing w:line="240" w:lineRule="auto"/>
        <w:jc w:val="center"/>
        <w:rPr>
          <w:rFonts w:ascii="Times New Roman" w:hAnsi="Times New Roman"/>
          <w:b/>
          <w:bCs/>
          <w:sz w:val="24"/>
          <w:szCs w:val="24"/>
        </w:rPr>
      </w:pPr>
    </w:p>
    <w:p w14:paraId="1D19F66A" w14:textId="748C40E1" w:rsidR="00B75ADD" w:rsidRPr="00BD2EDB" w:rsidRDefault="00F225AE" w:rsidP="00F225AE">
      <w:pPr>
        <w:spacing w:line="240" w:lineRule="auto"/>
        <w:jc w:val="center"/>
        <w:rPr>
          <w:rFonts w:ascii="Times New Roman" w:hAnsi="Times New Roman"/>
          <w:b/>
          <w:bCs/>
          <w:sz w:val="24"/>
          <w:szCs w:val="24"/>
        </w:rPr>
      </w:pPr>
      <w:r w:rsidRPr="00BD2EDB">
        <w:rPr>
          <w:rFonts w:ascii="Times New Roman" w:hAnsi="Times New Roman"/>
          <w:b/>
          <w:bCs/>
          <w:sz w:val="24"/>
          <w:szCs w:val="24"/>
        </w:rPr>
        <w:t xml:space="preserve">Art. </w:t>
      </w:r>
      <w:r w:rsidR="00D7008B">
        <w:rPr>
          <w:rFonts w:ascii="Times New Roman" w:hAnsi="Times New Roman"/>
          <w:b/>
          <w:bCs/>
          <w:sz w:val="24"/>
          <w:szCs w:val="24"/>
        </w:rPr>
        <w:t>5</w:t>
      </w:r>
    </w:p>
    <w:p w14:paraId="25FEF226" w14:textId="25E670CA" w:rsidR="00F225AE" w:rsidRPr="00BD2EDB" w:rsidRDefault="007E2FFD" w:rsidP="00F225AE">
      <w:pPr>
        <w:spacing w:line="240" w:lineRule="auto"/>
        <w:jc w:val="center"/>
        <w:rPr>
          <w:rFonts w:ascii="Times New Roman" w:hAnsi="Times New Roman"/>
          <w:b/>
          <w:bCs/>
          <w:i/>
          <w:iCs/>
          <w:sz w:val="24"/>
          <w:szCs w:val="24"/>
        </w:rPr>
      </w:pPr>
      <w:r w:rsidRPr="00BD2EDB">
        <w:rPr>
          <w:rFonts w:ascii="Times New Roman" w:hAnsi="Times New Roman"/>
          <w:b/>
          <w:bCs/>
          <w:i/>
          <w:iCs/>
          <w:sz w:val="24"/>
          <w:szCs w:val="24"/>
        </w:rPr>
        <w:t>(</w:t>
      </w:r>
      <w:r w:rsidR="00F225AE" w:rsidRPr="00BD2EDB">
        <w:rPr>
          <w:rFonts w:ascii="Times New Roman" w:hAnsi="Times New Roman"/>
          <w:b/>
          <w:bCs/>
          <w:i/>
          <w:iCs/>
          <w:sz w:val="24"/>
          <w:szCs w:val="24"/>
        </w:rPr>
        <w:t>Misure</w:t>
      </w:r>
      <w:r w:rsidR="00B75ADD" w:rsidRPr="00BD2EDB">
        <w:rPr>
          <w:rFonts w:ascii="Times New Roman" w:hAnsi="Times New Roman"/>
          <w:b/>
          <w:bCs/>
          <w:i/>
          <w:iCs/>
          <w:sz w:val="24"/>
          <w:szCs w:val="24"/>
        </w:rPr>
        <w:t xml:space="preserve"> di semplificazione </w:t>
      </w:r>
      <w:r w:rsidR="001E6474" w:rsidRPr="00BD2EDB">
        <w:rPr>
          <w:rFonts w:ascii="Times New Roman" w:hAnsi="Times New Roman"/>
          <w:b/>
          <w:bCs/>
          <w:i/>
          <w:iCs/>
          <w:sz w:val="24"/>
          <w:szCs w:val="24"/>
        </w:rPr>
        <w:t>per la determinazione dei diritti aereoportuali</w:t>
      </w:r>
      <w:r w:rsidRPr="00BD2EDB">
        <w:rPr>
          <w:rFonts w:ascii="Times New Roman" w:hAnsi="Times New Roman"/>
          <w:b/>
          <w:bCs/>
          <w:i/>
          <w:iCs/>
          <w:sz w:val="24"/>
          <w:szCs w:val="24"/>
        </w:rPr>
        <w:t>)</w:t>
      </w:r>
    </w:p>
    <w:p w14:paraId="616DEF3D" w14:textId="3DBA2028" w:rsidR="00F225AE" w:rsidRPr="00BD2EDB" w:rsidRDefault="00CF1827" w:rsidP="00CF1827">
      <w:pPr>
        <w:spacing w:line="240" w:lineRule="auto"/>
        <w:jc w:val="both"/>
        <w:rPr>
          <w:rFonts w:ascii="Times New Roman" w:hAnsi="Times New Roman"/>
          <w:sz w:val="24"/>
          <w:szCs w:val="24"/>
        </w:rPr>
      </w:pPr>
      <w:r w:rsidRPr="00BD2EDB">
        <w:rPr>
          <w:rFonts w:ascii="Times New Roman" w:hAnsi="Times New Roman"/>
          <w:sz w:val="24"/>
          <w:szCs w:val="24"/>
        </w:rPr>
        <w:t>1. A</w:t>
      </w:r>
      <w:r w:rsidR="00F225AE" w:rsidRPr="00BD2EDB">
        <w:rPr>
          <w:rFonts w:ascii="Times New Roman" w:hAnsi="Times New Roman"/>
          <w:sz w:val="24"/>
          <w:szCs w:val="24"/>
        </w:rPr>
        <w:t xml:space="preserve">l fine semplificare gli oneri amministravi per </w:t>
      </w:r>
      <w:r w:rsidR="00B75ADD" w:rsidRPr="00BD2EDB">
        <w:rPr>
          <w:rFonts w:ascii="Times New Roman" w:hAnsi="Times New Roman"/>
          <w:sz w:val="24"/>
          <w:szCs w:val="24"/>
        </w:rPr>
        <w:t xml:space="preserve">i </w:t>
      </w:r>
      <w:r w:rsidR="00F225AE" w:rsidRPr="00BD2EDB">
        <w:rPr>
          <w:rFonts w:ascii="Times New Roman" w:hAnsi="Times New Roman"/>
          <w:sz w:val="24"/>
          <w:szCs w:val="24"/>
        </w:rPr>
        <w:t xml:space="preserve">gestori </w:t>
      </w:r>
      <w:r w:rsidR="00B75ADD" w:rsidRPr="00BD2EDB">
        <w:rPr>
          <w:rFonts w:ascii="Times New Roman" w:hAnsi="Times New Roman"/>
          <w:sz w:val="24"/>
          <w:szCs w:val="24"/>
        </w:rPr>
        <w:t xml:space="preserve">di </w:t>
      </w:r>
      <w:r w:rsidR="00F225AE" w:rsidRPr="00BD2EDB">
        <w:rPr>
          <w:rFonts w:ascii="Times New Roman" w:hAnsi="Times New Roman"/>
          <w:sz w:val="24"/>
          <w:szCs w:val="24"/>
        </w:rPr>
        <w:t>aeroporti minori</w:t>
      </w:r>
      <w:r w:rsidR="00B75ADD" w:rsidRPr="00BD2EDB">
        <w:rPr>
          <w:rFonts w:ascii="Times New Roman" w:hAnsi="Times New Roman"/>
          <w:sz w:val="24"/>
          <w:szCs w:val="24"/>
        </w:rPr>
        <w:t>,</w:t>
      </w:r>
      <w:r w:rsidR="00F225AE" w:rsidRPr="00BD2EDB">
        <w:rPr>
          <w:rFonts w:ascii="Times New Roman" w:hAnsi="Times New Roman"/>
          <w:sz w:val="24"/>
          <w:szCs w:val="24"/>
        </w:rPr>
        <w:t xml:space="preserve"> all’articolo 76, comma 6, del decreto-legge 24 gennaio 2012, n. 1</w:t>
      </w:r>
      <w:r w:rsidR="007E2FFD" w:rsidRPr="00BD2EDB">
        <w:rPr>
          <w:rFonts w:ascii="Times New Roman" w:hAnsi="Times New Roman"/>
          <w:sz w:val="24"/>
          <w:szCs w:val="24"/>
        </w:rPr>
        <w:t>,</w:t>
      </w:r>
      <w:r w:rsidR="00F225AE" w:rsidRPr="00BD2EDB">
        <w:rPr>
          <w:rFonts w:ascii="Times New Roman" w:hAnsi="Times New Roman"/>
          <w:sz w:val="24"/>
          <w:szCs w:val="24"/>
        </w:rPr>
        <w:t xml:space="preserve"> </w:t>
      </w:r>
      <w:r w:rsidR="001E6474" w:rsidRPr="00BD2EDB">
        <w:rPr>
          <w:rFonts w:ascii="Times New Roman" w:hAnsi="Times New Roman"/>
          <w:sz w:val="24"/>
          <w:szCs w:val="24"/>
        </w:rPr>
        <w:t>convertito</w:t>
      </w:r>
      <w:r w:rsidR="007E2FFD" w:rsidRPr="00BD2EDB">
        <w:rPr>
          <w:rFonts w:ascii="Times New Roman" w:hAnsi="Times New Roman"/>
          <w:sz w:val="24"/>
          <w:szCs w:val="24"/>
        </w:rPr>
        <w:t>,</w:t>
      </w:r>
      <w:r w:rsidR="001E6474" w:rsidRPr="00BD2EDB">
        <w:rPr>
          <w:rFonts w:ascii="Times New Roman" w:hAnsi="Times New Roman"/>
          <w:sz w:val="24"/>
          <w:szCs w:val="24"/>
        </w:rPr>
        <w:t xml:space="preserve"> con modificazioni</w:t>
      </w:r>
      <w:r w:rsidR="007E2FFD" w:rsidRPr="00BD2EDB">
        <w:rPr>
          <w:rFonts w:ascii="Times New Roman" w:hAnsi="Times New Roman"/>
          <w:sz w:val="24"/>
          <w:szCs w:val="24"/>
        </w:rPr>
        <w:t>,</w:t>
      </w:r>
      <w:r w:rsidR="001E6474" w:rsidRPr="00BD2EDB">
        <w:rPr>
          <w:rFonts w:ascii="Times New Roman" w:hAnsi="Times New Roman"/>
          <w:sz w:val="24"/>
          <w:szCs w:val="24"/>
        </w:rPr>
        <w:t xml:space="preserve"> dalla legge 24 marzo 2012, n. 27</w:t>
      </w:r>
      <w:r w:rsidR="007E2FFD" w:rsidRPr="00BD2EDB">
        <w:rPr>
          <w:rFonts w:ascii="Times New Roman" w:hAnsi="Times New Roman"/>
          <w:sz w:val="24"/>
          <w:szCs w:val="24"/>
        </w:rPr>
        <w:t>,</w:t>
      </w:r>
      <w:r w:rsidR="001E6474" w:rsidRPr="00BD2EDB">
        <w:rPr>
          <w:rFonts w:ascii="Times New Roman" w:hAnsi="Times New Roman"/>
          <w:sz w:val="24"/>
          <w:szCs w:val="24"/>
        </w:rPr>
        <w:t xml:space="preserve"> </w:t>
      </w:r>
      <w:r w:rsidR="00F225AE" w:rsidRPr="00BD2EDB">
        <w:rPr>
          <w:rFonts w:ascii="Times New Roman" w:hAnsi="Times New Roman"/>
          <w:sz w:val="24"/>
          <w:szCs w:val="24"/>
        </w:rPr>
        <w:t xml:space="preserve">le parole: </w:t>
      </w:r>
      <w:r w:rsidR="007E2FFD" w:rsidRPr="00BD2EDB">
        <w:rPr>
          <w:rFonts w:ascii="Times New Roman" w:hAnsi="Times New Roman"/>
          <w:sz w:val="24"/>
          <w:szCs w:val="24"/>
        </w:rPr>
        <w:t>«</w:t>
      </w:r>
      <w:r w:rsidR="00F225AE" w:rsidRPr="00BD2EDB">
        <w:rPr>
          <w:rFonts w:ascii="Times New Roman" w:hAnsi="Times New Roman"/>
          <w:sz w:val="24"/>
          <w:szCs w:val="24"/>
        </w:rPr>
        <w:t>pari o inferiore al milione</w:t>
      </w:r>
      <w:r w:rsidR="007E2FFD" w:rsidRPr="00BD2EDB">
        <w:rPr>
          <w:rFonts w:ascii="Times New Roman" w:hAnsi="Times New Roman"/>
          <w:sz w:val="24"/>
          <w:szCs w:val="24"/>
        </w:rPr>
        <w:t>»</w:t>
      </w:r>
      <w:r w:rsidR="00F225AE" w:rsidRPr="00BD2EDB">
        <w:rPr>
          <w:rFonts w:ascii="Times New Roman" w:hAnsi="Times New Roman"/>
          <w:sz w:val="24"/>
          <w:szCs w:val="24"/>
        </w:rPr>
        <w:t xml:space="preserve"> sono sostituite dalle seguenti</w:t>
      </w:r>
      <w:r w:rsidRPr="00BD2EDB">
        <w:rPr>
          <w:rFonts w:ascii="Times New Roman" w:hAnsi="Times New Roman"/>
          <w:sz w:val="24"/>
          <w:szCs w:val="24"/>
        </w:rPr>
        <w:t>:</w:t>
      </w:r>
      <w:r w:rsidR="00F225AE" w:rsidRPr="00BD2EDB">
        <w:rPr>
          <w:rFonts w:ascii="Times New Roman" w:hAnsi="Times New Roman"/>
          <w:sz w:val="24"/>
          <w:szCs w:val="24"/>
        </w:rPr>
        <w:t xml:space="preserve"> </w:t>
      </w:r>
      <w:r w:rsidR="007E2FFD" w:rsidRPr="00BD2EDB">
        <w:rPr>
          <w:rFonts w:ascii="Times New Roman" w:hAnsi="Times New Roman"/>
          <w:sz w:val="24"/>
          <w:szCs w:val="24"/>
        </w:rPr>
        <w:t>«</w:t>
      </w:r>
      <w:r w:rsidR="00F225AE" w:rsidRPr="00BD2EDB">
        <w:rPr>
          <w:rFonts w:ascii="Times New Roman" w:hAnsi="Times New Roman"/>
          <w:sz w:val="24"/>
          <w:szCs w:val="24"/>
        </w:rPr>
        <w:t xml:space="preserve">inferiore ai </w:t>
      </w:r>
      <w:r w:rsidR="00466EBF" w:rsidRPr="00BD2EDB">
        <w:rPr>
          <w:rFonts w:ascii="Times New Roman" w:hAnsi="Times New Roman"/>
          <w:sz w:val="24"/>
          <w:szCs w:val="24"/>
        </w:rPr>
        <w:t>5</w:t>
      </w:r>
      <w:r w:rsidR="00F225AE" w:rsidRPr="00BD2EDB">
        <w:rPr>
          <w:rFonts w:ascii="Times New Roman" w:hAnsi="Times New Roman"/>
          <w:sz w:val="24"/>
          <w:szCs w:val="24"/>
        </w:rPr>
        <w:t xml:space="preserve"> milioni</w:t>
      </w:r>
      <w:r w:rsidR="007E2FFD" w:rsidRPr="00BD2EDB">
        <w:rPr>
          <w:rFonts w:ascii="Times New Roman" w:hAnsi="Times New Roman"/>
          <w:sz w:val="24"/>
          <w:szCs w:val="24"/>
        </w:rPr>
        <w:t>»</w:t>
      </w:r>
      <w:r w:rsidR="001E6474" w:rsidRPr="00BD2EDB">
        <w:rPr>
          <w:rFonts w:ascii="Times New Roman" w:hAnsi="Times New Roman"/>
          <w:sz w:val="24"/>
          <w:szCs w:val="24"/>
        </w:rPr>
        <w:t>.</w:t>
      </w:r>
    </w:p>
    <w:p w14:paraId="1EB08DF6" w14:textId="77777777" w:rsidR="00C51A53" w:rsidRPr="00BD2EDB" w:rsidRDefault="00C51A53" w:rsidP="006D67DA">
      <w:pPr>
        <w:spacing w:line="240" w:lineRule="auto"/>
        <w:jc w:val="center"/>
        <w:rPr>
          <w:rFonts w:ascii="Times New Roman" w:hAnsi="Times New Roman"/>
          <w:b/>
          <w:bCs/>
          <w:sz w:val="24"/>
          <w:szCs w:val="24"/>
        </w:rPr>
      </w:pPr>
    </w:p>
    <w:p w14:paraId="4625011D" w14:textId="14A89526" w:rsidR="006D67DA" w:rsidRPr="00BD2EDB" w:rsidRDefault="001D42F1" w:rsidP="006D67DA">
      <w:pPr>
        <w:spacing w:line="240" w:lineRule="auto"/>
        <w:jc w:val="center"/>
        <w:rPr>
          <w:rFonts w:ascii="Times New Roman" w:hAnsi="Times New Roman"/>
          <w:b/>
          <w:bCs/>
          <w:sz w:val="24"/>
          <w:szCs w:val="24"/>
        </w:rPr>
      </w:pPr>
      <w:r w:rsidRPr="00BD2EDB">
        <w:rPr>
          <w:rFonts w:ascii="Times New Roman" w:hAnsi="Times New Roman"/>
          <w:b/>
          <w:bCs/>
          <w:sz w:val="24"/>
          <w:szCs w:val="24"/>
        </w:rPr>
        <w:t xml:space="preserve">CAPO </w:t>
      </w:r>
      <w:bookmarkStart w:id="3" w:name="_Hlk191393355"/>
      <w:r w:rsidRPr="00BD2EDB">
        <w:rPr>
          <w:rFonts w:ascii="Times New Roman" w:hAnsi="Times New Roman"/>
          <w:b/>
          <w:bCs/>
          <w:sz w:val="24"/>
          <w:szCs w:val="24"/>
        </w:rPr>
        <w:t>III</w:t>
      </w:r>
    </w:p>
    <w:p w14:paraId="61E4E169" w14:textId="226E7D97" w:rsidR="00ED065C" w:rsidRPr="00BD2EDB" w:rsidRDefault="00B57A3C" w:rsidP="006D67DA">
      <w:pPr>
        <w:spacing w:line="240" w:lineRule="auto"/>
        <w:jc w:val="center"/>
        <w:rPr>
          <w:rFonts w:ascii="Times New Roman" w:hAnsi="Times New Roman"/>
          <w:b/>
          <w:bCs/>
          <w:sz w:val="24"/>
          <w:szCs w:val="24"/>
        </w:rPr>
      </w:pPr>
      <w:r w:rsidRPr="00BD2EDB">
        <w:rPr>
          <w:rFonts w:ascii="Times New Roman" w:hAnsi="Times New Roman"/>
          <w:b/>
          <w:bCs/>
          <w:sz w:val="24"/>
          <w:szCs w:val="24"/>
        </w:rPr>
        <w:t>Ulteriori disposizioni</w:t>
      </w:r>
    </w:p>
    <w:p w14:paraId="01BE9FCE" w14:textId="2DDC4D64" w:rsidR="002D0808" w:rsidRPr="00BD2EDB" w:rsidRDefault="002D0808" w:rsidP="002D0808">
      <w:pPr>
        <w:autoSpaceDE w:val="0"/>
        <w:spacing w:before="100" w:beforeAutospacing="1" w:after="100" w:afterAutospacing="1" w:line="240" w:lineRule="auto"/>
        <w:jc w:val="center"/>
        <w:rPr>
          <w:rFonts w:ascii="Times New Roman" w:hAnsi="Times New Roman"/>
          <w:b/>
          <w:bCs/>
          <w:sz w:val="24"/>
          <w:szCs w:val="24"/>
        </w:rPr>
      </w:pPr>
      <w:r w:rsidRPr="00BD2EDB">
        <w:rPr>
          <w:rFonts w:ascii="Times New Roman" w:hAnsi="Times New Roman"/>
          <w:b/>
          <w:bCs/>
          <w:sz w:val="24"/>
          <w:szCs w:val="24"/>
        </w:rPr>
        <w:t>A</w:t>
      </w:r>
      <w:r w:rsidR="009A681B" w:rsidRPr="00BD2EDB">
        <w:rPr>
          <w:rFonts w:ascii="Times New Roman" w:hAnsi="Times New Roman"/>
          <w:b/>
          <w:bCs/>
          <w:sz w:val="24"/>
          <w:szCs w:val="24"/>
        </w:rPr>
        <w:t>rt</w:t>
      </w:r>
      <w:r w:rsidRPr="00BD2EDB">
        <w:rPr>
          <w:rFonts w:ascii="Times New Roman" w:hAnsi="Times New Roman"/>
          <w:b/>
          <w:bCs/>
          <w:sz w:val="24"/>
          <w:szCs w:val="24"/>
        </w:rPr>
        <w:t xml:space="preserve">. </w:t>
      </w:r>
      <w:r w:rsidR="00D7008B">
        <w:rPr>
          <w:rFonts w:ascii="Times New Roman" w:hAnsi="Times New Roman"/>
          <w:b/>
          <w:bCs/>
          <w:sz w:val="24"/>
          <w:szCs w:val="24"/>
        </w:rPr>
        <w:t>6</w:t>
      </w:r>
    </w:p>
    <w:p w14:paraId="5B80BB7F" w14:textId="33B9935C" w:rsidR="002D0808" w:rsidRPr="00BD2EDB" w:rsidRDefault="006D67DA" w:rsidP="002D0808">
      <w:pPr>
        <w:autoSpaceDE w:val="0"/>
        <w:spacing w:before="100" w:beforeAutospacing="1" w:after="100" w:afterAutospacing="1" w:line="240" w:lineRule="auto"/>
        <w:jc w:val="center"/>
        <w:rPr>
          <w:rFonts w:ascii="Times New Roman" w:hAnsi="Times New Roman"/>
          <w:b/>
          <w:bCs/>
          <w:i/>
          <w:iCs/>
          <w:sz w:val="24"/>
          <w:szCs w:val="24"/>
        </w:rPr>
      </w:pPr>
      <w:bookmarkStart w:id="4" w:name="_Hlk198908341"/>
      <w:r w:rsidRPr="00BD2EDB">
        <w:rPr>
          <w:rFonts w:ascii="Times New Roman" w:hAnsi="Times New Roman"/>
          <w:b/>
          <w:bCs/>
          <w:i/>
          <w:iCs/>
          <w:sz w:val="24"/>
          <w:szCs w:val="24"/>
        </w:rPr>
        <w:t>(</w:t>
      </w:r>
      <w:r w:rsidR="00EB27B9" w:rsidRPr="00BD2EDB">
        <w:rPr>
          <w:rFonts w:ascii="Times New Roman" w:hAnsi="Times New Roman"/>
          <w:b/>
          <w:bCs/>
          <w:i/>
          <w:iCs/>
          <w:sz w:val="24"/>
          <w:szCs w:val="24"/>
        </w:rPr>
        <w:t xml:space="preserve">Disposizioni </w:t>
      </w:r>
      <w:r w:rsidR="002D0808" w:rsidRPr="00BD2EDB">
        <w:rPr>
          <w:rFonts w:ascii="Times New Roman" w:hAnsi="Times New Roman"/>
          <w:b/>
          <w:bCs/>
          <w:i/>
          <w:iCs/>
          <w:sz w:val="24"/>
          <w:szCs w:val="24"/>
        </w:rPr>
        <w:t>a tutela dei consumatori e del mercato in ambito sanitario</w:t>
      </w:r>
      <w:r w:rsidRPr="00BD2EDB">
        <w:rPr>
          <w:rFonts w:ascii="Times New Roman" w:hAnsi="Times New Roman"/>
          <w:b/>
          <w:bCs/>
          <w:i/>
          <w:iCs/>
          <w:sz w:val="24"/>
          <w:szCs w:val="24"/>
        </w:rPr>
        <w:t>)</w:t>
      </w:r>
    </w:p>
    <w:bookmarkEnd w:id="4"/>
    <w:p w14:paraId="238BCA1A" w14:textId="18C01C0B" w:rsidR="006E588C" w:rsidRPr="00724C56" w:rsidRDefault="006E588C" w:rsidP="006E588C">
      <w:pPr>
        <w:autoSpaceDE w:val="0"/>
        <w:spacing w:before="100" w:beforeAutospacing="1" w:after="100" w:afterAutospacing="1" w:line="240" w:lineRule="auto"/>
        <w:jc w:val="both"/>
        <w:rPr>
          <w:rFonts w:ascii="Times New Roman" w:hAnsi="Times New Roman"/>
          <w:sz w:val="24"/>
          <w:szCs w:val="24"/>
        </w:rPr>
      </w:pPr>
      <w:r w:rsidRPr="00724C56">
        <w:rPr>
          <w:rFonts w:ascii="Times New Roman" w:hAnsi="Times New Roman"/>
          <w:sz w:val="24"/>
          <w:szCs w:val="24"/>
        </w:rPr>
        <w:t>1. Al decreto legislativo 4 dicembre 2015 n. 204</w:t>
      </w:r>
      <w:r w:rsidR="00CF1827" w:rsidRPr="00724C56">
        <w:rPr>
          <w:rFonts w:ascii="Times New Roman" w:hAnsi="Times New Roman"/>
          <w:sz w:val="24"/>
          <w:szCs w:val="24"/>
        </w:rPr>
        <w:t>,</w:t>
      </w:r>
      <w:r w:rsidRPr="00724C56">
        <w:rPr>
          <w:rFonts w:ascii="Times New Roman" w:hAnsi="Times New Roman"/>
          <w:sz w:val="24"/>
          <w:szCs w:val="24"/>
        </w:rPr>
        <w:t xml:space="preserve"> sono apportate le seguenti modific</w:t>
      </w:r>
      <w:r w:rsidR="00A5179C" w:rsidRPr="00724C56">
        <w:rPr>
          <w:rFonts w:ascii="Times New Roman" w:hAnsi="Times New Roman"/>
          <w:sz w:val="24"/>
          <w:szCs w:val="24"/>
        </w:rPr>
        <w:t>azioni</w:t>
      </w:r>
      <w:r w:rsidRPr="00724C56">
        <w:rPr>
          <w:rFonts w:ascii="Times New Roman" w:hAnsi="Times New Roman"/>
          <w:sz w:val="24"/>
          <w:szCs w:val="24"/>
        </w:rPr>
        <w:t>:</w:t>
      </w:r>
    </w:p>
    <w:p w14:paraId="62D73C72" w14:textId="77777777" w:rsidR="00A5179C" w:rsidRPr="00724C56" w:rsidRDefault="006E588C" w:rsidP="006E588C">
      <w:pPr>
        <w:autoSpaceDE w:val="0"/>
        <w:spacing w:before="100" w:beforeAutospacing="1" w:after="100" w:afterAutospacing="1" w:line="240" w:lineRule="auto"/>
        <w:jc w:val="both"/>
        <w:rPr>
          <w:rFonts w:ascii="Times New Roman" w:hAnsi="Times New Roman"/>
          <w:sz w:val="24"/>
          <w:szCs w:val="24"/>
        </w:rPr>
      </w:pPr>
      <w:r w:rsidRPr="00724C56">
        <w:rPr>
          <w:rFonts w:ascii="Times New Roman" w:hAnsi="Times New Roman"/>
          <w:i/>
          <w:iCs/>
          <w:sz w:val="24"/>
          <w:szCs w:val="24"/>
        </w:rPr>
        <w:t>a)</w:t>
      </w:r>
      <w:r w:rsidRPr="00724C56">
        <w:rPr>
          <w:rFonts w:ascii="Times New Roman" w:hAnsi="Times New Roman"/>
          <w:sz w:val="24"/>
          <w:szCs w:val="24"/>
        </w:rPr>
        <w:t xml:space="preserve"> all’articolo 3, dopo il comma 1, è </w:t>
      </w:r>
      <w:r w:rsidR="00A5179C" w:rsidRPr="00724C56">
        <w:rPr>
          <w:rFonts w:ascii="Times New Roman" w:hAnsi="Times New Roman"/>
          <w:sz w:val="24"/>
          <w:szCs w:val="24"/>
        </w:rPr>
        <w:t xml:space="preserve">inserito </w:t>
      </w:r>
      <w:r w:rsidRPr="00724C56">
        <w:rPr>
          <w:rFonts w:ascii="Times New Roman" w:hAnsi="Times New Roman"/>
          <w:sz w:val="24"/>
          <w:szCs w:val="24"/>
        </w:rPr>
        <w:t xml:space="preserve">il seguente: </w:t>
      </w:r>
    </w:p>
    <w:p w14:paraId="44D51299" w14:textId="102133A3" w:rsidR="006E588C" w:rsidRPr="00724C56" w:rsidRDefault="00A5272C" w:rsidP="006E588C">
      <w:pPr>
        <w:autoSpaceDE w:val="0"/>
        <w:spacing w:before="100" w:beforeAutospacing="1" w:after="100" w:afterAutospacing="1" w:line="240" w:lineRule="auto"/>
        <w:jc w:val="both"/>
        <w:rPr>
          <w:rFonts w:ascii="Times New Roman" w:hAnsi="Times New Roman"/>
          <w:sz w:val="24"/>
          <w:szCs w:val="24"/>
        </w:rPr>
      </w:pPr>
      <w:r w:rsidRPr="00724C56">
        <w:rPr>
          <w:rFonts w:ascii="Times New Roman" w:hAnsi="Times New Roman"/>
          <w:sz w:val="24"/>
          <w:szCs w:val="24"/>
        </w:rPr>
        <w:t>«</w:t>
      </w:r>
      <w:r w:rsidR="006E588C" w:rsidRPr="00724C56">
        <w:rPr>
          <w:rFonts w:ascii="Times New Roman" w:hAnsi="Times New Roman"/>
          <w:sz w:val="24"/>
          <w:szCs w:val="24"/>
        </w:rPr>
        <w:t>l</w:t>
      </w:r>
      <w:r w:rsidR="00A5179C" w:rsidRPr="00724C56">
        <w:rPr>
          <w:rFonts w:ascii="Times New Roman" w:hAnsi="Times New Roman"/>
          <w:sz w:val="24"/>
          <w:szCs w:val="24"/>
        </w:rPr>
        <w:t>-</w:t>
      </w:r>
      <w:r w:rsidR="006E588C" w:rsidRPr="00724C56">
        <w:rPr>
          <w:rFonts w:ascii="Times New Roman" w:hAnsi="Times New Roman"/>
          <w:i/>
          <w:iCs/>
          <w:sz w:val="24"/>
          <w:szCs w:val="24"/>
        </w:rPr>
        <w:t>bis</w:t>
      </w:r>
      <w:r w:rsidR="006E588C" w:rsidRPr="00724C56">
        <w:rPr>
          <w:rFonts w:ascii="Times New Roman" w:hAnsi="Times New Roman"/>
          <w:sz w:val="24"/>
          <w:szCs w:val="24"/>
        </w:rPr>
        <w:t xml:space="preserve">. Alla stessa pena </w:t>
      </w:r>
      <w:r w:rsidR="00A5179C" w:rsidRPr="00724C56">
        <w:rPr>
          <w:rFonts w:ascii="Times New Roman" w:hAnsi="Times New Roman"/>
          <w:sz w:val="24"/>
          <w:szCs w:val="24"/>
        </w:rPr>
        <w:t xml:space="preserve">di cui al comma 1 </w:t>
      </w:r>
      <w:r w:rsidR="006E588C" w:rsidRPr="00724C56">
        <w:rPr>
          <w:rFonts w:ascii="Times New Roman" w:hAnsi="Times New Roman"/>
          <w:sz w:val="24"/>
          <w:szCs w:val="24"/>
        </w:rPr>
        <w:t>soggiace chiunque fa un impiego professionale di un cosmetico con modalità difformi dalle indicazioni presenti nella relativa etichettatura, in modo che ne derivi un pericolo alla salute.</w:t>
      </w:r>
      <w:r w:rsidRPr="00724C56">
        <w:rPr>
          <w:rFonts w:ascii="Times New Roman" w:hAnsi="Times New Roman"/>
          <w:sz w:val="24"/>
          <w:szCs w:val="24"/>
        </w:rPr>
        <w:t>»</w:t>
      </w:r>
      <w:r w:rsidR="006E588C" w:rsidRPr="00724C56">
        <w:rPr>
          <w:rFonts w:ascii="Times New Roman" w:hAnsi="Times New Roman"/>
          <w:sz w:val="24"/>
          <w:szCs w:val="24"/>
        </w:rPr>
        <w:t>;</w:t>
      </w:r>
    </w:p>
    <w:p w14:paraId="3D37588A" w14:textId="79498E83" w:rsidR="006E588C" w:rsidRPr="00724C56" w:rsidRDefault="006E588C" w:rsidP="006E588C">
      <w:pPr>
        <w:autoSpaceDE w:val="0"/>
        <w:spacing w:after="0" w:line="240" w:lineRule="auto"/>
        <w:jc w:val="both"/>
        <w:rPr>
          <w:rFonts w:ascii="Times New Roman" w:hAnsi="Times New Roman"/>
          <w:sz w:val="24"/>
          <w:szCs w:val="24"/>
        </w:rPr>
      </w:pPr>
      <w:r w:rsidRPr="00724C56">
        <w:rPr>
          <w:rFonts w:ascii="Times New Roman" w:hAnsi="Times New Roman"/>
          <w:i/>
          <w:iCs/>
          <w:sz w:val="24"/>
          <w:szCs w:val="24"/>
        </w:rPr>
        <w:t>b)</w:t>
      </w:r>
      <w:r w:rsidRPr="00724C56">
        <w:rPr>
          <w:rFonts w:ascii="Times New Roman" w:hAnsi="Times New Roman"/>
          <w:sz w:val="24"/>
          <w:szCs w:val="24"/>
        </w:rPr>
        <w:t xml:space="preserve"> l’articolo 5</w:t>
      </w:r>
      <w:r w:rsidR="00A5272C" w:rsidRPr="00724C56">
        <w:rPr>
          <w:rFonts w:ascii="Times New Roman" w:hAnsi="Times New Roman"/>
          <w:sz w:val="24"/>
          <w:szCs w:val="24"/>
        </w:rPr>
        <w:t xml:space="preserve"> </w:t>
      </w:r>
      <w:r w:rsidRPr="00724C56">
        <w:rPr>
          <w:rFonts w:ascii="Times New Roman" w:hAnsi="Times New Roman"/>
          <w:sz w:val="24"/>
          <w:szCs w:val="24"/>
        </w:rPr>
        <w:t xml:space="preserve">è sostituito dal seguente: </w:t>
      </w:r>
    </w:p>
    <w:p w14:paraId="6FFA31F2" w14:textId="77777777" w:rsidR="00A5179C" w:rsidRPr="00724C56" w:rsidRDefault="00A5179C" w:rsidP="00A5179C">
      <w:pPr>
        <w:autoSpaceDE w:val="0"/>
        <w:spacing w:after="0" w:line="240" w:lineRule="auto"/>
        <w:rPr>
          <w:rFonts w:ascii="Times New Roman" w:hAnsi="Times New Roman"/>
          <w:sz w:val="24"/>
          <w:szCs w:val="24"/>
        </w:rPr>
      </w:pPr>
    </w:p>
    <w:p w14:paraId="0515824A" w14:textId="217D1524" w:rsidR="006E588C" w:rsidRPr="00724C56" w:rsidRDefault="006E588C" w:rsidP="00AA3270">
      <w:pPr>
        <w:autoSpaceDE w:val="0"/>
        <w:spacing w:after="0" w:line="240" w:lineRule="auto"/>
        <w:rPr>
          <w:rFonts w:ascii="Times New Roman" w:hAnsi="Times New Roman"/>
          <w:i/>
          <w:iCs/>
          <w:sz w:val="24"/>
          <w:szCs w:val="24"/>
        </w:rPr>
      </w:pPr>
      <w:r w:rsidRPr="00724C56">
        <w:rPr>
          <w:rFonts w:ascii="Times New Roman" w:hAnsi="Times New Roman"/>
          <w:sz w:val="24"/>
          <w:szCs w:val="24"/>
        </w:rPr>
        <w:t xml:space="preserve"> </w:t>
      </w:r>
      <w:r w:rsidR="00A5272C" w:rsidRPr="00724C56">
        <w:rPr>
          <w:rFonts w:ascii="Times New Roman" w:hAnsi="Times New Roman"/>
          <w:sz w:val="24"/>
          <w:szCs w:val="24"/>
        </w:rPr>
        <w:t>«</w:t>
      </w:r>
      <w:r w:rsidRPr="00724C56">
        <w:rPr>
          <w:rFonts w:ascii="Times New Roman" w:hAnsi="Times New Roman"/>
          <w:sz w:val="24"/>
          <w:szCs w:val="24"/>
        </w:rPr>
        <w:t>A</w:t>
      </w:r>
      <w:r w:rsidR="00AA3270">
        <w:rPr>
          <w:rFonts w:ascii="Times New Roman" w:hAnsi="Times New Roman"/>
          <w:sz w:val="24"/>
          <w:szCs w:val="24"/>
        </w:rPr>
        <w:t>RT</w:t>
      </w:r>
      <w:r w:rsidRPr="00724C56">
        <w:rPr>
          <w:rFonts w:ascii="Times New Roman" w:hAnsi="Times New Roman"/>
          <w:sz w:val="24"/>
          <w:szCs w:val="24"/>
        </w:rPr>
        <w:t>. 5</w:t>
      </w:r>
      <w:r w:rsidR="00AA3270">
        <w:rPr>
          <w:rFonts w:ascii="Times New Roman" w:hAnsi="Times New Roman"/>
          <w:sz w:val="24"/>
          <w:szCs w:val="24"/>
        </w:rPr>
        <w:t xml:space="preserve"> </w:t>
      </w:r>
      <w:r w:rsidRPr="00724C56">
        <w:rPr>
          <w:rFonts w:ascii="Times New Roman" w:hAnsi="Times New Roman"/>
          <w:i/>
          <w:iCs/>
          <w:sz w:val="24"/>
          <w:szCs w:val="24"/>
        </w:rPr>
        <w:t>(Violazione degli obblighi derivanti dall’articolo 6 del regolamento in materia di obblighi dei distributori e sanzioni in materia di impiego professionale di cosmetici)</w:t>
      </w:r>
    </w:p>
    <w:p w14:paraId="7D2DD7BF" w14:textId="77777777" w:rsidR="00A5179C" w:rsidRPr="00724C56" w:rsidRDefault="00A5179C" w:rsidP="00A5179C">
      <w:pPr>
        <w:autoSpaceDE w:val="0"/>
        <w:spacing w:after="0" w:line="240" w:lineRule="auto"/>
        <w:jc w:val="both"/>
        <w:rPr>
          <w:rFonts w:ascii="Times New Roman" w:hAnsi="Times New Roman"/>
          <w:i/>
          <w:iCs/>
          <w:sz w:val="24"/>
          <w:szCs w:val="24"/>
        </w:rPr>
      </w:pPr>
    </w:p>
    <w:p w14:paraId="2533F5F9" w14:textId="12A48AE1" w:rsidR="006E588C" w:rsidRPr="00724C56" w:rsidRDefault="006E588C" w:rsidP="006E588C">
      <w:pPr>
        <w:autoSpaceDE w:val="0"/>
        <w:spacing w:after="0" w:line="240" w:lineRule="auto"/>
        <w:jc w:val="both"/>
        <w:rPr>
          <w:rFonts w:ascii="Times New Roman" w:hAnsi="Times New Roman"/>
          <w:sz w:val="24"/>
          <w:szCs w:val="24"/>
        </w:rPr>
      </w:pPr>
      <w:r w:rsidRPr="00724C56">
        <w:rPr>
          <w:rFonts w:ascii="Times New Roman" w:hAnsi="Times New Roman"/>
          <w:sz w:val="24"/>
          <w:szCs w:val="24"/>
        </w:rPr>
        <w:t xml:space="preserve">1. Al distributore che non effettua le verifiche di cui all’articolo 6, paragrafo 2, del regolamento, si applica la sanzione amministrativa da euro 10.000 a euro 50.000. La stessa sanzione si applica al distributore che, essendo venuto a conoscenza di uno o più fatti specifici dai quali si desume il verificarsi di una delle circostanze indicate dall’articolo 6, paragrafo 3, primo comma, del regolamento, non ottempera agli obblighi ivi previsti, nonché </w:t>
      </w:r>
      <w:r w:rsidR="00CF1827" w:rsidRPr="00724C56">
        <w:rPr>
          <w:rFonts w:ascii="Times New Roman" w:hAnsi="Times New Roman"/>
          <w:sz w:val="24"/>
          <w:szCs w:val="24"/>
        </w:rPr>
        <w:t xml:space="preserve">al </w:t>
      </w:r>
      <w:r w:rsidRPr="00724C56">
        <w:rPr>
          <w:rFonts w:ascii="Times New Roman" w:hAnsi="Times New Roman"/>
          <w:sz w:val="24"/>
          <w:szCs w:val="24"/>
        </w:rPr>
        <w:t>distributore che non ottempera agli obblighi previsti dal paragrafo 3, secondo comma, e dai paragrafi 4 e 5 del medesimo articolo.</w:t>
      </w:r>
    </w:p>
    <w:p w14:paraId="557027EC" w14:textId="72D60122" w:rsidR="006E588C" w:rsidRPr="00724C56" w:rsidRDefault="006E588C" w:rsidP="006E588C">
      <w:pPr>
        <w:autoSpaceDE w:val="0"/>
        <w:spacing w:after="0" w:line="240" w:lineRule="auto"/>
        <w:jc w:val="both"/>
        <w:rPr>
          <w:rFonts w:ascii="Times New Roman" w:hAnsi="Times New Roman"/>
          <w:sz w:val="24"/>
          <w:szCs w:val="24"/>
        </w:rPr>
      </w:pPr>
      <w:r w:rsidRPr="00724C56">
        <w:rPr>
          <w:rFonts w:ascii="Times New Roman" w:hAnsi="Times New Roman"/>
          <w:sz w:val="24"/>
          <w:szCs w:val="24"/>
        </w:rPr>
        <w:t>2. La medesima sanzione amministrativa prevista dal comma 1 si applica a chiunque, al di fuori dei casi previsti dall'articolo 3, faccia un impiego professionale di un cosmetico con modalità difformi dalle indicazioni presenti nella relativa etichettatura.</w:t>
      </w:r>
      <w:r w:rsidR="00A5272C" w:rsidRPr="00724C56">
        <w:rPr>
          <w:rFonts w:ascii="Times New Roman" w:hAnsi="Times New Roman"/>
          <w:sz w:val="24"/>
          <w:szCs w:val="24"/>
        </w:rPr>
        <w:t>»</w:t>
      </w:r>
      <w:r w:rsidRPr="00724C56">
        <w:rPr>
          <w:rFonts w:ascii="Times New Roman" w:hAnsi="Times New Roman"/>
          <w:sz w:val="24"/>
          <w:szCs w:val="24"/>
        </w:rPr>
        <w:t>;</w:t>
      </w:r>
    </w:p>
    <w:p w14:paraId="4AB87A1A" w14:textId="0B863955" w:rsidR="006E588C" w:rsidRPr="00724C56" w:rsidRDefault="006E588C" w:rsidP="006E588C">
      <w:pPr>
        <w:autoSpaceDE w:val="0"/>
        <w:spacing w:before="100" w:beforeAutospacing="1" w:after="100" w:afterAutospacing="1" w:line="240" w:lineRule="auto"/>
        <w:ind w:hanging="352"/>
        <w:jc w:val="both"/>
        <w:rPr>
          <w:rFonts w:ascii="Times New Roman" w:hAnsi="Times New Roman"/>
          <w:sz w:val="24"/>
          <w:szCs w:val="24"/>
        </w:rPr>
      </w:pPr>
      <w:r w:rsidRPr="00724C56">
        <w:rPr>
          <w:rFonts w:ascii="Times New Roman" w:hAnsi="Times New Roman"/>
          <w:sz w:val="24"/>
          <w:szCs w:val="24"/>
        </w:rPr>
        <w:t xml:space="preserve">      </w:t>
      </w:r>
      <w:r w:rsidRPr="00724C56">
        <w:rPr>
          <w:rFonts w:ascii="Times New Roman" w:hAnsi="Times New Roman"/>
          <w:i/>
          <w:iCs/>
          <w:sz w:val="24"/>
          <w:szCs w:val="24"/>
        </w:rPr>
        <w:t>c)</w:t>
      </w:r>
      <w:r w:rsidRPr="00724C56">
        <w:rPr>
          <w:rFonts w:ascii="Times New Roman" w:hAnsi="Times New Roman"/>
          <w:sz w:val="24"/>
          <w:szCs w:val="24"/>
        </w:rPr>
        <w:t xml:space="preserve"> all’articolo 10, comma</w:t>
      </w:r>
      <w:r w:rsidR="00A5179C" w:rsidRPr="00724C56">
        <w:rPr>
          <w:rFonts w:ascii="Times New Roman" w:hAnsi="Times New Roman"/>
          <w:sz w:val="24"/>
          <w:szCs w:val="24"/>
        </w:rPr>
        <w:t xml:space="preserve"> 1</w:t>
      </w:r>
      <w:r w:rsidRPr="00724C56">
        <w:rPr>
          <w:rFonts w:ascii="Times New Roman" w:hAnsi="Times New Roman"/>
          <w:sz w:val="24"/>
          <w:szCs w:val="24"/>
        </w:rPr>
        <w:t xml:space="preserve">, le parole </w:t>
      </w:r>
      <w:r w:rsidR="00A5272C" w:rsidRPr="00724C56">
        <w:rPr>
          <w:rFonts w:ascii="Times New Roman" w:hAnsi="Times New Roman"/>
          <w:sz w:val="24"/>
          <w:szCs w:val="24"/>
        </w:rPr>
        <w:t>«</w:t>
      </w:r>
      <w:r w:rsidRPr="00724C56">
        <w:rPr>
          <w:rFonts w:ascii="Times New Roman" w:hAnsi="Times New Roman"/>
          <w:sz w:val="24"/>
          <w:szCs w:val="24"/>
        </w:rPr>
        <w:t>Salvo che i fatti costituiscano i più gravi reati previsti dall’articolo 3, chiunque</w:t>
      </w:r>
      <w:r w:rsidR="00A5272C" w:rsidRPr="00724C56">
        <w:rPr>
          <w:rFonts w:ascii="Times New Roman" w:hAnsi="Times New Roman"/>
          <w:sz w:val="24"/>
          <w:szCs w:val="24"/>
        </w:rPr>
        <w:t>»</w:t>
      </w:r>
      <w:r w:rsidRPr="00724C56">
        <w:rPr>
          <w:rFonts w:ascii="Times New Roman" w:hAnsi="Times New Roman"/>
          <w:sz w:val="24"/>
          <w:szCs w:val="24"/>
        </w:rPr>
        <w:t xml:space="preserve"> sono sostituite dalle </w:t>
      </w:r>
      <w:r w:rsidR="00A5179C" w:rsidRPr="00724C56">
        <w:rPr>
          <w:rFonts w:ascii="Times New Roman" w:hAnsi="Times New Roman"/>
          <w:sz w:val="24"/>
          <w:szCs w:val="24"/>
        </w:rPr>
        <w:t>seguenti</w:t>
      </w:r>
      <w:r w:rsidRPr="00724C56">
        <w:rPr>
          <w:rFonts w:ascii="Times New Roman" w:hAnsi="Times New Roman"/>
          <w:sz w:val="24"/>
          <w:szCs w:val="24"/>
        </w:rPr>
        <w:t xml:space="preserve"> </w:t>
      </w:r>
      <w:r w:rsidR="00A5272C" w:rsidRPr="00724C56">
        <w:rPr>
          <w:rFonts w:ascii="Times New Roman" w:hAnsi="Times New Roman"/>
          <w:sz w:val="24"/>
          <w:szCs w:val="24"/>
        </w:rPr>
        <w:t>«</w:t>
      </w:r>
      <w:r w:rsidRPr="00724C56">
        <w:rPr>
          <w:rFonts w:ascii="Times New Roman" w:hAnsi="Times New Roman"/>
          <w:sz w:val="24"/>
          <w:szCs w:val="24"/>
        </w:rPr>
        <w:t>Salvo che i fatti costituiscano una delle fattispecie di cui all’articolo 3 e salvo che i fatti costituiscano più gravi reati, chiunque</w:t>
      </w:r>
      <w:r w:rsidR="00A5272C" w:rsidRPr="00724C56">
        <w:rPr>
          <w:rFonts w:ascii="Times New Roman" w:hAnsi="Times New Roman"/>
          <w:sz w:val="24"/>
          <w:szCs w:val="24"/>
        </w:rPr>
        <w:t>»</w:t>
      </w:r>
      <w:r w:rsidRPr="00724C56">
        <w:rPr>
          <w:rFonts w:ascii="Times New Roman" w:hAnsi="Times New Roman"/>
          <w:sz w:val="24"/>
          <w:szCs w:val="24"/>
        </w:rPr>
        <w:t xml:space="preserve"> e le parole </w:t>
      </w:r>
      <w:r w:rsidR="00A5272C" w:rsidRPr="00724C56">
        <w:rPr>
          <w:rFonts w:ascii="Times New Roman" w:hAnsi="Times New Roman"/>
          <w:sz w:val="24"/>
          <w:szCs w:val="24"/>
        </w:rPr>
        <w:t>«</w:t>
      </w:r>
      <w:r w:rsidRPr="00724C56">
        <w:rPr>
          <w:rFonts w:ascii="Times New Roman" w:hAnsi="Times New Roman"/>
          <w:sz w:val="24"/>
          <w:szCs w:val="24"/>
        </w:rPr>
        <w:t>di cui all’allegato II del regolamento è punito</w:t>
      </w:r>
      <w:r w:rsidR="00A5272C" w:rsidRPr="00724C56">
        <w:rPr>
          <w:rFonts w:ascii="Times New Roman" w:hAnsi="Times New Roman"/>
          <w:sz w:val="24"/>
          <w:szCs w:val="24"/>
        </w:rPr>
        <w:t>»</w:t>
      </w:r>
      <w:r w:rsidRPr="00724C56">
        <w:rPr>
          <w:rFonts w:ascii="Times New Roman" w:hAnsi="Times New Roman"/>
          <w:sz w:val="24"/>
          <w:szCs w:val="24"/>
        </w:rPr>
        <w:t xml:space="preserve"> sono sostituite dalle </w:t>
      </w:r>
      <w:r w:rsidR="00A5179C" w:rsidRPr="00724C56">
        <w:rPr>
          <w:rFonts w:ascii="Times New Roman" w:hAnsi="Times New Roman"/>
          <w:sz w:val="24"/>
          <w:szCs w:val="24"/>
        </w:rPr>
        <w:t>seguenti</w:t>
      </w:r>
      <w:r w:rsidRPr="00724C56">
        <w:rPr>
          <w:rFonts w:ascii="Times New Roman" w:hAnsi="Times New Roman"/>
          <w:sz w:val="24"/>
          <w:szCs w:val="24"/>
        </w:rPr>
        <w:t xml:space="preserve"> </w:t>
      </w:r>
      <w:r w:rsidR="00A5272C" w:rsidRPr="00724C56">
        <w:rPr>
          <w:rFonts w:ascii="Times New Roman" w:hAnsi="Times New Roman"/>
          <w:sz w:val="24"/>
          <w:szCs w:val="24"/>
        </w:rPr>
        <w:t>«</w:t>
      </w:r>
      <w:r w:rsidRPr="00724C56">
        <w:rPr>
          <w:rFonts w:ascii="Times New Roman" w:hAnsi="Times New Roman"/>
          <w:sz w:val="24"/>
          <w:szCs w:val="24"/>
        </w:rPr>
        <w:t>di cui all’allegato II del regolamento, o chiunque immette in commercio un cosmetico fabbricato con le medesime sostanze, è punito</w:t>
      </w:r>
      <w:r w:rsidR="00A5272C" w:rsidRPr="00724C56">
        <w:rPr>
          <w:rFonts w:ascii="Times New Roman" w:hAnsi="Times New Roman"/>
          <w:sz w:val="24"/>
          <w:szCs w:val="24"/>
        </w:rPr>
        <w:t>»</w:t>
      </w:r>
      <w:r w:rsidRPr="00724C56">
        <w:rPr>
          <w:rFonts w:ascii="Times New Roman" w:hAnsi="Times New Roman"/>
          <w:sz w:val="24"/>
          <w:szCs w:val="24"/>
        </w:rPr>
        <w:t>;</w:t>
      </w:r>
    </w:p>
    <w:p w14:paraId="22310A78" w14:textId="147322D2" w:rsidR="006E588C" w:rsidRPr="00724C56" w:rsidRDefault="006E588C" w:rsidP="006E588C">
      <w:pPr>
        <w:autoSpaceDE w:val="0"/>
        <w:spacing w:before="100" w:beforeAutospacing="1" w:after="100" w:afterAutospacing="1" w:line="240" w:lineRule="auto"/>
        <w:rPr>
          <w:rFonts w:ascii="Times New Roman" w:hAnsi="Times New Roman"/>
          <w:sz w:val="24"/>
          <w:szCs w:val="24"/>
        </w:rPr>
      </w:pPr>
      <w:r w:rsidRPr="00724C56">
        <w:rPr>
          <w:rFonts w:ascii="Times New Roman" w:hAnsi="Times New Roman"/>
          <w:i/>
          <w:iCs/>
          <w:sz w:val="24"/>
          <w:szCs w:val="24"/>
        </w:rPr>
        <w:t>d)</w:t>
      </w:r>
      <w:r w:rsidRPr="00724C56">
        <w:rPr>
          <w:rFonts w:ascii="Times New Roman" w:hAnsi="Times New Roman"/>
          <w:sz w:val="24"/>
          <w:szCs w:val="24"/>
        </w:rPr>
        <w:t xml:space="preserve"> all'articolo 13, dopo il comma 1, sono </w:t>
      </w:r>
      <w:r w:rsidR="00A5179C" w:rsidRPr="00724C56">
        <w:rPr>
          <w:rFonts w:ascii="Times New Roman" w:hAnsi="Times New Roman"/>
          <w:sz w:val="24"/>
          <w:szCs w:val="24"/>
        </w:rPr>
        <w:t>inseriti</w:t>
      </w:r>
      <w:r w:rsidRPr="00724C56">
        <w:rPr>
          <w:rFonts w:ascii="Times New Roman" w:hAnsi="Times New Roman"/>
          <w:sz w:val="24"/>
          <w:szCs w:val="24"/>
        </w:rPr>
        <w:t xml:space="preserve"> i seguenti:</w:t>
      </w:r>
    </w:p>
    <w:p w14:paraId="4E6B5AF6" w14:textId="73CEF2AA" w:rsidR="006E588C" w:rsidRPr="00724C56" w:rsidRDefault="00A5272C" w:rsidP="006E588C">
      <w:pPr>
        <w:autoSpaceDE w:val="0"/>
        <w:spacing w:before="100" w:beforeAutospacing="1" w:after="100" w:afterAutospacing="1" w:line="240" w:lineRule="auto"/>
        <w:jc w:val="both"/>
        <w:rPr>
          <w:rFonts w:ascii="Times New Roman" w:hAnsi="Times New Roman"/>
          <w:sz w:val="24"/>
          <w:szCs w:val="24"/>
        </w:rPr>
      </w:pPr>
      <w:r w:rsidRPr="00724C56">
        <w:rPr>
          <w:rFonts w:ascii="Times New Roman" w:hAnsi="Times New Roman"/>
          <w:sz w:val="24"/>
          <w:szCs w:val="24"/>
        </w:rPr>
        <w:t>«</w:t>
      </w:r>
      <w:r w:rsidR="006E588C" w:rsidRPr="00724C56">
        <w:rPr>
          <w:rFonts w:ascii="Times New Roman" w:hAnsi="Times New Roman"/>
          <w:sz w:val="24"/>
          <w:szCs w:val="24"/>
        </w:rPr>
        <w:t>1</w:t>
      </w:r>
      <w:r w:rsidR="00A5179C" w:rsidRPr="00724C56">
        <w:rPr>
          <w:rFonts w:ascii="Times New Roman" w:hAnsi="Times New Roman"/>
          <w:sz w:val="24"/>
          <w:szCs w:val="24"/>
        </w:rPr>
        <w:t>-</w:t>
      </w:r>
      <w:r w:rsidR="006E588C" w:rsidRPr="00724C56">
        <w:rPr>
          <w:rFonts w:ascii="Times New Roman" w:hAnsi="Times New Roman"/>
          <w:i/>
          <w:iCs/>
          <w:sz w:val="24"/>
          <w:szCs w:val="24"/>
        </w:rPr>
        <w:t>bis</w:t>
      </w:r>
      <w:r w:rsidR="00CF1827" w:rsidRPr="00724C56">
        <w:rPr>
          <w:rFonts w:ascii="Times New Roman" w:hAnsi="Times New Roman"/>
          <w:i/>
          <w:iCs/>
          <w:sz w:val="24"/>
          <w:szCs w:val="24"/>
        </w:rPr>
        <w:t>.</w:t>
      </w:r>
      <w:r w:rsidR="00CF1827" w:rsidRPr="00724C56">
        <w:rPr>
          <w:rFonts w:ascii="Times New Roman" w:hAnsi="Times New Roman"/>
          <w:sz w:val="24"/>
          <w:szCs w:val="24"/>
        </w:rPr>
        <w:t xml:space="preserve"> </w:t>
      </w:r>
      <w:r w:rsidR="00A5179C" w:rsidRPr="00724C56">
        <w:rPr>
          <w:rFonts w:ascii="Times New Roman" w:hAnsi="Times New Roman"/>
          <w:sz w:val="24"/>
          <w:szCs w:val="24"/>
        </w:rPr>
        <w:t>S</w:t>
      </w:r>
      <w:r w:rsidR="006E588C" w:rsidRPr="00724C56">
        <w:rPr>
          <w:rFonts w:ascii="Times New Roman" w:hAnsi="Times New Roman"/>
          <w:sz w:val="24"/>
          <w:szCs w:val="24"/>
        </w:rPr>
        <w:t xml:space="preserve">alvo che il fatto costituisca più grave reato, </w:t>
      </w:r>
      <w:bookmarkStart w:id="5" w:name="_Hlk196822491"/>
      <w:r w:rsidR="006E588C" w:rsidRPr="00724C56">
        <w:rPr>
          <w:rFonts w:ascii="Times New Roman" w:hAnsi="Times New Roman"/>
          <w:sz w:val="24"/>
          <w:szCs w:val="24"/>
        </w:rPr>
        <w:t xml:space="preserve">la persona responsabile di cui all’articolo 4 del regolamento che immette sul mercato un prodotto cosmetico con etichettatura vantante attività biocida ai sensi del </w:t>
      </w:r>
      <w:r w:rsidR="00A5179C" w:rsidRPr="00724C56">
        <w:rPr>
          <w:rFonts w:ascii="Times New Roman" w:hAnsi="Times New Roman"/>
          <w:sz w:val="24"/>
          <w:szCs w:val="24"/>
        </w:rPr>
        <w:t>r</w:t>
      </w:r>
      <w:r w:rsidR="006E588C" w:rsidRPr="00724C56">
        <w:rPr>
          <w:rFonts w:ascii="Times New Roman" w:hAnsi="Times New Roman"/>
          <w:sz w:val="24"/>
          <w:szCs w:val="24"/>
        </w:rPr>
        <w:t xml:space="preserve">egolamento (UE) </w:t>
      </w:r>
      <w:r w:rsidR="00A5179C" w:rsidRPr="00724C56">
        <w:rPr>
          <w:rFonts w:ascii="Times New Roman" w:hAnsi="Times New Roman"/>
          <w:sz w:val="24"/>
          <w:szCs w:val="24"/>
        </w:rPr>
        <w:t>n.</w:t>
      </w:r>
      <w:r w:rsidR="008A49E7" w:rsidRPr="00724C56">
        <w:rPr>
          <w:rFonts w:ascii="Times New Roman" w:hAnsi="Times New Roman"/>
          <w:sz w:val="24"/>
          <w:szCs w:val="24"/>
        </w:rPr>
        <w:t xml:space="preserve"> </w:t>
      </w:r>
      <w:r w:rsidR="006E588C" w:rsidRPr="00724C56">
        <w:rPr>
          <w:rFonts w:ascii="Times New Roman" w:hAnsi="Times New Roman"/>
          <w:sz w:val="24"/>
          <w:szCs w:val="24"/>
        </w:rPr>
        <w:t>528/2012 del Parlamento europeo e del Consiglio del 22 maggio 2012</w:t>
      </w:r>
      <w:r w:rsidR="008A49E7" w:rsidRPr="00724C56">
        <w:rPr>
          <w:rFonts w:ascii="Times New Roman" w:hAnsi="Times New Roman"/>
          <w:sz w:val="24"/>
          <w:szCs w:val="24"/>
        </w:rPr>
        <w:t>,</w:t>
      </w:r>
      <w:r w:rsidR="006E588C" w:rsidRPr="00724C56">
        <w:rPr>
          <w:rFonts w:ascii="Times New Roman" w:hAnsi="Times New Roman"/>
          <w:sz w:val="24"/>
          <w:szCs w:val="24"/>
        </w:rPr>
        <w:t xml:space="preserve"> non correlata alla definizione di</w:t>
      </w:r>
      <w:r w:rsidR="00A5179C" w:rsidRPr="00724C56">
        <w:rPr>
          <w:rFonts w:ascii="Times New Roman" w:hAnsi="Times New Roman"/>
          <w:sz w:val="24"/>
          <w:szCs w:val="24"/>
        </w:rPr>
        <w:t xml:space="preserve"> prodotto</w:t>
      </w:r>
      <w:r w:rsidR="006E588C" w:rsidRPr="00724C56">
        <w:rPr>
          <w:rFonts w:ascii="Times New Roman" w:hAnsi="Times New Roman"/>
          <w:sz w:val="24"/>
          <w:szCs w:val="24"/>
        </w:rPr>
        <w:t xml:space="preserve"> cosmetico di cui all’articolo 2, paragrafo 1, lettera a)</w:t>
      </w:r>
      <w:r w:rsidR="00A5179C" w:rsidRPr="00724C56">
        <w:rPr>
          <w:rFonts w:ascii="Times New Roman" w:hAnsi="Times New Roman"/>
          <w:sz w:val="24"/>
          <w:szCs w:val="24"/>
        </w:rPr>
        <w:t>,</w:t>
      </w:r>
      <w:r w:rsidR="006E588C" w:rsidRPr="00724C56">
        <w:rPr>
          <w:rFonts w:ascii="Times New Roman" w:hAnsi="Times New Roman"/>
          <w:sz w:val="24"/>
          <w:szCs w:val="24"/>
        </w:rPr>
        <w:t xml:space="preserve"> del </w:t>
      </w:r>
      <w:r w:rsidR="00A5179C" w:rsidRPr="00724C56">
        <w:rPr>
          <w:rFonts w:ascii="Times New Roman" w:hAnsi="Times New Roman"/>
          <w:sz w:val="24"/>
          <w:szCs w:val="24"/>
        </w:rPr>
        <w:t>r</w:t>
      </w:r>
      <w:r w:rsidR="006E588C" w:rsidRPr="00724C56">
        <w:rPr>
          <w:rFonts w:ascii="Times New Roman" w:hAnsi="Times New Roman"/>
          <w:sz w:val="24"/>
          <w:szCs w:val="24"/>
        </w:rPr>
        <w:t>egolamento, è punito con l'arresto fino a tre mesi e con l'ammenda da euro 1.000 a</w:t>
      </w:r>
      <w:r w:rsidR="008A49E7" w:rsidRPr="00724C56">
        <w:rPr>
          <w:rFonts w:ascii="Times New Roman" w:hAnsi="Times New Roman"/>
          <w:sz w:val="24"/>
          <w:szCs w:val="24"/>
        </w:rPr>
        <w:t xml:space="preserve"> </w:t>
      </w:r>
      <w:r w:rsidR="006E588C" w:rsidRPr="00724C56">
        <w:rPr>
          <w:rFonts w:ascii="Times New Roman" w:hAnsi="Times New Roman"/>
          <w:sz w:val="24"/>
          <w:szCs w:val="24"/>
        </w:rPr>
        <w:t>euro 5.000</w:t>
      </w:r>
      <w:bookmarkEnd w:id="5"/>
      <w:r w:rsidR="006E588C" w:rsidRPr="00724C56">
        <w:rPr>
          <w:rFonts w:ascii="Times New Roman" w:hAnsi="Times New Roman"/>
          <w:sz w:val="24"/>
          <w:szCs w:val="24"/>
        </w:rPr>
        <w:t>.</w:t>
      </w:r>
    </w:p>
    <w:p w14:paraId="078D6025" w14:textId="65405978" w:rsidR="006E588C" w:rsidRPr="00724C56" w:rsidRDefault="006E588C" w:rsidP="006E588C">
      <w:pPr>
        <w:autoSpaceDE w:val="0"/>
        <w:spacing w:before="100" w:beforeAutospacing="1" w:after="100" w:afterAutospacing="1" w:line="240" w:lineRule="auto"/>
        <w:jc w:val="both"/>
        <w:rPr>
          <w:rFonts w:ascii="Times New Roman" w:hAnsi="Times New Roman"/>
          <w:sz w:val="24"/>
          <w:szCs w:val="24"/>
        </w:rPr>
      </w:pPr>
      <w:r w:rsidRPr="00724C56">
        <w:rPr>
          <w:rFonts w:ascii="Times New Roman" w:hAnsi="Times New Roman"/>
          <w:sz w:val="24"/>
          <w:szCs w:val="24"/>
        </w:rPr>
        <w:t>1</w:t>
      </w:r>
      <w:r w:rsidR="00A5179C" w:rsidRPr="00724C56">
        <w:rPr>
          <w:rFonts w:ascii="Times New Roman" w:hAnsi="Times New Roman"/>
          <w:sz w:val="24"/>
          <w:szCs w:val="24"/>
        </w:rPr>
        <w:t>-</w:t>
      </w:r>
      <w:r w:rsidRPr="00724C56">
        <w:rPr>
          <w:rFonts w:ascii="Times New Roman" w:hAnsi="Times New Roman"/>
          <w:i/>
          <w:iCs/>
          <w:sz w:val="24"/>
          <w:szCs w:val="24"/>
        </w:rPr>
        <w:t>ter</w:t>
      </w:r>
      <w:r w:rsidR="00CF1827" w:rsidRPr="00724C56">
        <w:rPr>
          <w:rFonts w:ascii="Times New Roman" w:hAnsi="Times New Roman"/>
          <w:sz w:val="24"/>
          <w:szCs w:val="24"/>
        </w:rPr>
        <w:t xml:space="preserve">. </w:t>
      </w:r>
      <w:r w:rsidR="00A5179C" w:rsidRPr="00724C56">
        <w:rPr>
          <w:rFonts w:ascii="Times New Roman" w:hAnsi="Times New Roman"/>
          <w:sz w:val="24"/>
          <w:szCs w:val="24"/>
        </w:rPr>
        <w:t>S</w:t>
      </w:r>
      <w:r w:rsidRPr="00724C56">
        <w:rPr>
          <w:rFonts w:ascii="Times New Roman" w:hAnsi="Times New Roman"/>
          <w:sz w:val="24"/>
          <w:szCs w:val="24"/>
        </w:rPr>
        <w:t xml:space="preserve">alvo che il fatto costituisca più grave reato, la </w:t>
      </w:r>
      <w:bookmarkStart w:id="6" w:name="_Hlk196822610"/>
      <w:r w:rsidRPr="00724C56">
        <w:rPr>
          <w:rFonts w:ascii="Times New Roman" w:hAnsi="Times New Roman"/>
          <w:sz w:val="24"/>
          <w:szCs w:val="24"/>
        </w:rPr>
        <w:t>persona responsabile di cui all’articolo 4 del regolamento</w:t>
      </w:r>
      <w:r w:rsidR="00CF1827" w:rsidRPr="00724C56">
        <w:rPr>
          <w:rFonts w:ascii="Times New Roman" w:hAnsi="Times New Roman"/>
          <w:sz w:val="24"/>
          <w:szCs w:val="24"/>
        </w:rPr>
        <w:t>,</w:t>
      </w:r>
      <w:r w:rsidRPr="00724C56">
        <w:rPr>
          <w:rFonts w:ascii="Times New Roman" w:hAnsi="Times New Roman"/>
          <w:sz w:val="24"/>
          <w:szCs w:val="24"/>
        </w:rPr>
        <w:t xml:space="preserve"> che immette sul mercato un prodotto presentato come cosmetico con etichettatura vantante attività terapeutica o di profilassi, è punit</w:t>
      </w:r>
      <w:r w:rsidR="00A5272C" w:rsidRPr="00724C56">
        <w:rPr>
          <w:rFonts w:ascii="Times New Roman" w:hAnsi="Times New Roman"/>
          <w:sz w:val="24"/>
          <w:szCs w:val="24"/>
        </w:rPr>
        <w:t>a</w:t>
      </w:r>
      <w:r w:rsidRPr="00724C56">
        <w:rPr>
          <w:rFonts w:ascii="Times New Roman" w:hAnsi="Times New Roman"/>
          <w:sz w:val="24"/>
          <w:szCs w:val="24"/>
        </w:rPr>
        <w:t xml:space="preserve"> con l’arresto fino a un anno e con l’ammenda da euro 1.000 a euro 5.000</w:t>
      </w:r>
      <w:r w:rsidR="008A49E7" w:rsidRPr="00724C56">
        <w:rPr>
          <w:rFonts w:ascii="Times New Roman" w:hAnsi="Times New Roman"/>
          <w:sz w:val="24"/>
          <w:szCs w:val="24"/>
        </w:rPr>
        <w:t>.</w:t>
      </w:r>
      <w:r w:rsidR="00A5272C" w:rsidRPr="00724C56">
        <w:rPr>
          <w:rFonts w:ascii="Times New Roman" w:hAnsi="Times New Roman"/>
          <w:sz w:val="24"/>
          <w:szCs w:val="24"/>
        </w:rPr>
        <w:t>»</w:t>
      </w:r>
      <w:r w:rsidRPr="00724C56">
        <w:rPr>
          <w:rFonts w:ascii="Times New Roman" w:hAnsi="Times New Roman"/>
          <w:sz w:val="24"/>
          <w:szCs w:val="24"/>
        </w:rPr>
        <w:t>.</w:t>
      </w:r>
      <w:bookmarkEnd w:id="6"/>
    </w:p>
    <w:p w14:paraId="55AE1793" w14:textId="068AC55B" w:rsidR="006E588C" w:rsidRPr="00724C56" w:rsidRDefault="006E588C" w:rsidP="006E588C">
      <w:pPr>
        <w:autoSpaceDE w:val="0"/>
        <w:spacing w:before="100" w:beforeAutospacing="1" w:after="100" w:afterAutospacing="1" w:line="240" w:lineRule="auto"/>
        <w:jc w:val="both"/>
        <w:rPr>
          <w:rFonts w:ascii="Times New Roman" w:hAnsi="Times New Roman"/>
          <w:sz w:val="24"/>
          <w:szCs w:val="24"/>
        </w:rPr>
      </w:pPr>
      <w:r w:rsidRPr="00724C56">
        <w:rPr>
          <w:rFonts w:ascii="Times New Roman" w:hAnsi="Times New Roman"/>
          <w:noProof/>
          <w:sz w:val="24"/>
          <w:szCs w:val="24"/>
        </w:rPr>
        <w:drawing>
          <wp:anchor distT="0" distB="0" distL="114300" distR="114300" simplePos="0" relativeHeight="251659264" behindDoc="1" locked="0" layoutInCell="0" allowOverlap="1" wp14:anchorId="05D78BBC" wp14:editId="39186E0F">
            <wp:simplePos x="0" y="0"/>
            <wp:positionH relativeFrom="page">
              <wp:posOffset>4445</wp:posOffset>
            </wp:positionH>
            <wp:positionV relativeFrom="page">
              <wp:posOffset>9421495</wp:posOffset>
            </wp:positionV>
            <wp:extent cx="9525" cy="952500"/>
            <wp:effectExtent l="0" t="0" r="28575" b="0"/>
            <wp:wrapNone/>
            <wp:docPr id="3" name="Immagin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Figura a mano libera: forma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pic:spPr>
                </pic:pic>
              </a:graphicData>
            </a:graphic>
            <wp14:sizeRelH relativeFrom="page">
              <wp14:pctWidth>0</wp14:pctWidth>
            </wp14:sizeRelH>
            <wp14:sizeRelV relativeFrom="page">
              <wp14:pctHeight>0</wp14:pctHeight>
            </wp14:sizeRelV>
          </wp:anchor>
        </w:drawing>
      </w:r>
      <w:r w:rsidRPr="00724C56">
        <w:rPr>
          <w:rFonts w:ascii="Times New Roman" w:hAnsi="Times New Roman"/>
          <w:noProof/>
          <w:sz w:val="24"/>
          <w:szCs w:val="24"/>
        </w:rPr>
        <w:drawing>
          <wp:anchor distT="0" distB="0" distL="114300" distR="114300" simplePos="0" relativeHeight="251660288" behindDoc="1" locked="0" layoutInCell="0" allowOverlap="1" wp14:anchorId="79430937" wp14:editId="1BC58608">
            <wp:simplePos x="0" y="0"/>
            <wp:positionH relativeFrom="page">
              <wp:posOffset>7539990</wp:posOffset>
            </wp:positionH>
            <wp:positionV relativeFrom="page">
              <wp:posOffset>8890</wp:posOffset>
            </wp:positionV>
            <wp:extent cx="8255" cy="9251315"/>
            <wp:effectExtent l="0" t="0" r="29845" b="6985"/>
            <wp:wrapNone/>
            <wp:docPr id="4" name="Immagin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Figura a mano libera: forma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55" cy="9251315"/>
                    </a:xfrm>
                    <a:prstGeom prst="rect">
                      <a:avLst/>
                    </a:prstGeom>
                    <a:noFill/>
                  </pic:spPr>
                </pic:pic>
              </a:graphicData>
            </a:graphic>
            <wp14:sizeRelH relativeFrom="page">
              <wp14:pctWidth>0</wp14:pctWidth>
            </wp14:sizeRelH>
            <wp14:sizeRelV relativeFrom="page">
              <wp14:pctHeight>0</wp14:pctHeight>
            </wp14:sizeRelV>
          </wp:anchor>
        </w:drawing>
      </w:r>
      <w:r w:rsidRPr="00724C56">
        <w:rPr>
          <w:rFonts w:ascii="Times New Roman" w:hAnsi="Times New Roman"/>
          <w:sz w:val="24"/>
          <w:szCs w:val="24"/>
        </w:rPr>
        <w:t>2. Al decreto legislativo 2 novembre 2021, n. 179</w:t>
      </w:r>
      <w:r w:rsidR="00A5272C" w:rsidRPr="00724C56">
        <w:rPr>
          <w:rFonts w:ascii="Times New Roman" w:hAnsi="Times New Roman"/>
          <w:sz w:val="24"/>
          <w:szCs w:val="24"/>
        </w:rPr>
        <w:t>,</w:t>
      </w:r>
      <w:r w:rsidRPr="00724C56">
        <w:rPr>
          <w:rFonts w:ascii="Times New Roman" w:hAnsi="Times New Roman"/>
          <w:sz w:val="24"/>
          <w:szCs w:val="24"/>
        </w:rPr>
        <w:t xml:space="preserve"> sono apportate le seguenti modific</w:t>
      </w:r>
      <w:r w:rsidR="00A5272C" w:rsidRPr="00724C56">
        <w:rPr>
          <w:rFonts w:ascii="Times New Roman" w:hAnsi="Times New Roman"/>
          <w:sz w:val="24"/>
          <w:szCs w:val="24"/>
        </w:rPr>
        <w:t>azioni</w:t>
      </w:r>
      <w:r w:rsidRPr="00724C56">
        <w:rPr>
          <w:rFonts w:ascii="Times New Roman" w:hAnsi="Times New Roman"/>
          <w:sz w:val="24"/>
          <w:szCs w:val="24"/>
        </w:rPr>
        <w:t>:</w:t>
      </w:r>
    </w:p>
    <w:p w14:paraId="24B79510" w14:textId="78651B20" w:rsidR="00A5272C" w:rsidRPr="00724C56" w:rsidRDefault="006E588C" w:rsidP="006E588C">
      <w:pPr>
        <w:autoSpaceDE w:val="0"/>
        <w:spacing w:before="100" w:beforeAutospacing="1" w:after="100" w:afterAutospacing="1" w:line="240" w:lineRule="auto"/>
        <w:jc w:val="both"/>
        <w:rPr>
          <w:rFonts w:ascii="Times New Roman" w:hAnsi="Times New Roman"/>
          <w:sz w:val="24"/>
          <w:szCs w:val="24"/>
        </w:rPr>
      </w:pPr>
      <w:r w:rsidRPr="00724C56">
        <w:rPr>
          <w:rFonts w:ascii="Times New Roman" w:hAnsi="Times New Roman"/>
          <w:i/>
          <w:iCs/>
          <w:sz w:val="24"/>
          <w:szCs w:val="24"/>
        </w:rPr>
        <w:t>a)</w:t>
      </w:r>
      <w:r w:rsidRPr="00724C56">
        <w:rPr>
          <w:rFonts w:ascii="Times New Roman" w:hAnsi="Times New Roman"/>
          <w:sz w:val="24"/>
          <w:szCs w:val="24"/>
        </w:rPr>
        <w:t xml:space="preserve"> all’articolo 3</w:t>
      </w:r>
      <w:r w:rsidR="008A49E7" w:rsidRPr="00724C56">
        <w:rPr>
          <w:rFonts w:ascii="Times New Roman" w:hAnsi="Times New Roman"/>
          <w:sz w:val="24"/>
          <w:szCs w:val="24"/>
        </w:rPr>
        <w:t>,</w:t>
      </w:r>
      <w:r w:rsidRPr="00724C56">
        <w:rPr>
          <w:rFonts w:ascii="Times New Roman" w:hAnsi="Times New Roman"/>
          <w:sz w:val="24"/>
          <w:szCs w:val="24"/>
        </w:rPr>
        <w:t xml:space="preserve"> è aggiunto</w:t>
      </w:r>
      <w:r w:rsidR="00A5272C" w:rsidRPr="00724C56">
        <w:rPr>
          <w:rFonts w:ascii="Times New Roman" w:hAnsi="Times New Roman"/>
          <w:sz w:val="24"/>
          <w:szCs w:val="24"/>
        </w:rPr>
        <w:t>, in fine</w:t>
      </w:r>
      <w:r w:rsidR="008A49E7" w:rsidRPr="00724C56">
        <w:rPr>
          <w:rFonts w:ascii="Times New Roman" w:hAnsi="Times New Roman"/>
          <w:sz w:val="24"/>
          <w:szCs w:val="24"/>
        </w:rPr>
        <w:t>,</w:t>
      </w:r>
      <w:r w:rsidRPr="00724C56">
        <w:rPr>
          <w:rFonts w:ascii="Times New Roman" w:hAnsi="Times New Roman"/>
          <w:sz w:val="24"/>
          <w:szCs w:val="24"/>
        </w:rPr>
        <w:t xml:space="preserve"> il seguente comma: </w:t>
      </w:r>
    </w:p>
    <w:p w14:paraId="7E472D2D" w14:textId="53D82605" w:rsidR="0080312B" w:rsidRPr="0080312B" w:rsidRDefault="00A5272C" w:rsidP="0080312B">
      <w:pPr>
        <w:autoSpaceDE w:val="0"/>
        <w:spacing w:before="100" w:beforeAutospacing="1" w:after="100" w:afterAutospacing="1" w:line="240" w:lineRule="auto"/>
        <w:jc w:val="both"/>
        <w:rPr>
          <w:rFonts w:ascii="Times New Roman" w:hAnsi="Times New Roman"/>
          <w:sz w:val="24"/>
          <w:szCs w:val="24"/>
        </w:rPr>
      </w:pPr>
      <w:r w:rsidRPr="00724C56">
        <w:rPr>
          <w:rFonts w:ascii="Times New Roman" w:hAnsi="Times New Roman"/>
          <w:sz w:val="24"/>
          <w:szCs w:val="24"/>
        </w:rPr>
        <w:t>«</w:t>
      </w:r>
      <w:r w:rsidR="0080312B" w:rsidRPr="0080312B">
        <w:rPr>
          <w:rFonts w:ascii="Times New Roman" w:hAnsi="Times New Roman"/>
          <w:sz w:val="24"/>
          <w:szCs w:val="24"/>
        </w:rPr>
        <w:t>2-</w:t>
      </w:r>
      <w:r w:rsidR="0080312B" w:rsidRPr="0080312B">
        <w:rPr>
          <w:rFonts w:ascii="Times New Roman" w:hAnsi="Times New Roman"/>
          <w:i/>
          <w:iCs/>
          <w:sz w:val="24"/>
          <w:szCs w:val="24"/>
        </w:rPr>
        <w:t>bis</w:t>
      </w:r>
      <w:r w:rsidR="0080312B" w:rsidRPr="0080312B">
        <w:rPr>
          <w:rFonts w:ascii="Times New Roman" w:hAnsi="Times New Roman"/>
          <w:sz w:val="24"/>
          <w:szCs w:val="24"/>
        </w:rPr>
        <w:t>. È punito con la stessa pena di cui al comma 1 l’utilizzatore non professionale né industriale che impiega, in violazione delle relative condizioni di utilizzo indicate nell’autorizzazione, un prodotto biocida autorizzato, o che impiega un prodotto biocida non autorizzato, quando ne derivi il pericolo di contaminazione di persone, di specie animali non bersaglio o dell’ambiente.»;</w:t>
      </w:r>
    </w:p>
    <w:p w14:paraId="19BEC91A" w14:textId="0A3CA42A" w:rsidR="006E588C" w:rsidRPr="00724C56" w:rsidRDefault="006E588C" w:rsidP="006E588C">
      <w:pPr>
        <w:autoSpaceDE w:val="0"/>
        <w:spacing w:before="100" w:beforeAutospacing="1" w:after="100" w:afterAutospacing="1" w:line="240" w:lineRule="auto"/>
        <w:jc w:val="both"/>
        <w:rPr>
          <w:rFonts w:ascii="Times New Roman" w:hAnsi="Times New Roman"/>
          <w:sz w:val="24"/>
          <w:szCs w:val="24"/>
        </w:rPr>
      </w:pPr>
      <w:r w:rsidRPr="00724C56">
        <w:rPr>
          <w:rFonts w:ascii="Times New Roman" w:hAnsi="Times New Roman"/>
          <w:i/>
          <w:iCs/>
          <w:sz w:val="24"/>
          <w:szCs w:val="24"/>
        </w:rPr>
        <w:t>b)</w:t>
      </w:r>
      <w:r w:rsidRPr="00724C56">
        <w:rPr>
          <w:rFonts w:ascii="Times New Roman" w:hAnsi="Times New Roman"/>
          <w:sz w:val="24"/>
          <w:szCs w:val="24"/>
        </w:rPr>
        <w:t xml:space="preserve"> agli articoli 4, 5, 6, comma 1, e 7, comma 1</w:t>
      </w:r>
      <w:r w:rsidR="008A49E7" w:rsidRPr="00724C56">
        <w:rPr>
          <w:rFonts w:ascii="Times New Roman" w:hAnsi="Times New Roman"/>
          <w:sz w:val="24"/>
          <w:szCs w:val="24"/>
        </w:rPr>
        <w:t>,</w:t>
      </w:r>
      <w:r w:rsidRPr="00724C56">
        <w:rPr>
          <w:rFonts w:ascii="Times New Roman" w:hAnsi="Times New Roman"/>
          <w:sz w:val="24"/>
          <w:szCs w:val="24"/>
        </w:rPr>
        <w:t xml:space="preserve"> le parole</w:t>
      </w:r>
      <w:r w:rsidR="008A49E7" w:rsidRPr="00724C56">
        <w:rPr>
          <w:rFonts w:ascii="Times New Roman" w:hAnsi="Times New Roman"/>
          <w:sz w:val="24"/>
          <w:szCs w:val="24"/>
        </w:rPr>
        <w:t>:</w:t>
      </w:r>
      <w:r w:rsidRPr="00724C56">
        <w:rPr>
          <w:rFonts w:ascii="Times New Roman" w:hAnsi="Times New Roman"/>
          <w:sz w:val="24"/>
          <w:szCs w:val="24"/>
        </w:rPr>
        <w:t xml:space="preserve"> </w:t>
      </w:r>
      <w:bookmarkStart w:id="7" w:name="_Hlk198647474"/>
      <w:r w:rsidR="00A5272C" w:rsidRPr="00724C56">
        <w:rPr>
          <w:rFonts w:ascii="Times New Roman" w:hAnsi="Times New Roman"/>
          <w:sz w:val="24"/>
          <w:szCs w:val="24"/>
        </w:rPr>
        <w:t>«</w:t>
      </w:r>
      <w:bookmarkEnd w:id="7"/>
      <w:r w:rsidRPr="00724C56">
        <w:rPr>
          <w:rFonts w:ascii="Times New Roman" w:hAnsi="Times New Roman"/>
          <w:sz w:val="24"/>
          <w:szCs w:val="24"/>
        </w:rPr>
        <w:t xml:space="preserve">l’ammenda da </w:t>
      </w:r>
      <w:r w:rsidR="00A5272C" w:rsidRPr="00724C56">
        <w:rPr>
          <w:rFonts w:ascii="Times New Roman" w:hAnsi="Times New Roman"/>
          <w:sz w:val="24"/>
          <w:szCs w:val="24"/>
        </w:rPr>
        <w:t>e</w:t>
      </w:r>
      <w:r w:rsidRPr="00724C56">
        <w:rPr>
          <w:rFonts w:ascii="Times New Roman" w:hAnsi="Times New Roman"/>
          <w:sz w:val="24"/>
          <w:szCs w:val="24"/>
        </w:rPr>
        <w:t xml:space="preserve">uro 1.000 a </w:t>
      </w:r>
      <w:r w:rsidR="00A5272C" w:rsidRPr="00724C56">
        <w:rPr>
          <w:rFonts w:ascii="Times New Roman" w:hAnsi="Times New Roman"/>
          <w:sz w:val="24"/>
          <w:szCs w:val="24"/>
        </w:rPr>
        <w:t>e</w:t>
      </w:r>
      <w:r w:rsidRPr="00724C56">
        <w:rPr>
          <w:rFonts w:ascii="Times New Roman" w:hAnsi="Times New Roman"/>
          <w:sz w:val="24"/>
          <w:szCs w:val="24"/>
        </w:rPr>
        <w:t>uro 10.000</w:t>
      </w:r>
      <w:r w:rsidR="00A5272C" w:rsidRPr="00724C56">
        <w:rPr>
          <w:rFonts w:ascii="Times New Roman" w:hAnsi="Times New Roman"/>
          <w:sz w:val="24"/>
          <w:szCs w:val="24"/>
        </w:rPr>
        <w:t>»</w:t>
      </w:r>
      <w:r w:rsidRPr="00724C56">
        <w:rPr>
          <w:rFonts w:ascii="Times New Roman" w:hAnsi="Times New Roman"/>
          <w:sz w:val="24"/>
          <w:szCs w:val="24"/>
        </w:rPr>
        <w:t xml:space="preserve"> sono sostituite </w:t>
      </w:r>
      <w:r w:rsidR="00A5272C" w:rsidRPr="00724C56">
        <w:rPr>
          <w:rFonts w:ascii="Times New Roman" w:hAnsi="Times New Roman"/>
          <w:sz w:val="24"/>
          <w:szCs w:val="24"/>
        </w:rPr>
        <w:t>dalle seguenti</w:t>
      </w:r>
      <w:r w:rsidR="008A49E7" w:rsidRPr="00724C56">
        <w:rPr>
          <w:rFonts w:ascii="Times New Roman" w:hAnsi="Times New Roman"/>
          <w:sz w:val="24"/>
          <w:szCs w:val="24"/>
        </w:rPr>
        <w:t>:</w:t>
      </w:r>
      <w:r w:rsidR="00A5272C" w:rsidRPr="00724C56">
        <w:rPr>
          <w:rFonts w:ascii="Times New Roman" w:hAnsi="Times New Roman"/>
          <w:sz w:val="24"/>
          <w:szCs w:val="24"/>
        </w:rPr>
        <w:t xml:space="preserve"> </w:t>
      </w:r>
      <w:r w:rsidR="008A49E7" w:rsidRPr="00724C56">
        <w:rPr>
          <w:rFonts w:ascii="Times New Roman" w:hAnsi="Times New Roman"/>
          <w:sz w:val="24"/>
          <w:szCs w:val="24"/>
        </w:rPr>
        <w:t>«</w:t>
      </w:r>
      <w:r w:rsidRPr="00724C56">
        <w:rPr>
          <w:rFonts w:ascii="Times New Roman" w:hAnsi="Times New Roman"/>
          <w:sz w:val="24"/>
          <w:szCs w:val="24"/>
        </w:rPr>
        <w:t xml:space="preserve">la sanzione amministrativa pecuniaria da </w:t>
      </w:r>
      <w:r w:rsidR="00A5272C" w:rsidRPr="00724C56">
        <w:rPr>
          <w:rFonts w:ascii="Times New Roman" w:hAnsi="Times New Roman"/>
          <w:sz w:val="24"/>
          <w:szCs w:val="24"/>
        </w:rPr>
        <w:t>e</w:t>
      </w:r>
      <w:r w:rsidRPr="00724C56">
        <w:rPr>
          <w:rFonts w:ascii="Times New Roman" w:hAnsi="Times New Roman"/>
          <w:sz w:val="24"/>
          <w:szCs w:val="24"/>
        </w:rPr>
        <w:t xml:space="preserve">uro 5.000 a </w:t>
      </w:r>
      <w:r w:rsidR="00A5272C" w:rsidRPr="00724C56">
        <w:rPr>
          <w:rFonts w:ascii="Times New Roman" w:hAnsi="Times New Roman"/>
          <w:sz w:val="24"/>
          <w:szCs w:val="24"/>
        </w:rPr>
        <w:t>e</w:t>
      </w:r>
      <w:r w:rsidRPr="00724C56">
        <w:rPr>
          <w:rFonts w:ascii="Times New Roman" w:hAnsi="Times New Roman"/>
          <w:sz w:val="24"/>
          <w:szCs w:val="24"/>
        </w:rPr>
        <w:t>uro 30.000</w:t>
      </w:r>
      <w:r w:rsidR="00A5272C" w:rsidRPr="00724C56">
        <w:rPr>
          <w:rFonts w:ascii="Times New Roman" w:hAnsi="Times New Roman"/>
          <w:sz w:val="24"/>
          <w:szCs w:val="24"/>
        </w:rPr>
        <w:t>»</w:t>
      </w:r>
      <w:r w:rsidRPr="00724C56">
        <w:rPr>
          <w:rFonts w:ascii="Times New Roman" w:hAnsi="Times New Roman"/>
          <w:sz w:val="24"/>
          <w:szCs w:val="24"/>
        </w:rPr>
        <w:t>;</w:t>
      </w:r>
    </w:p>
    <w:p w14:paraId="76781EEE" w14:textId="77777777" w:rsidR="00A5272C" w:rsidRPr="00724C56" w:rsidRDefault="006E588C" w:rsidP="006E588C">
      <w:pPr>
        <w:autoSpaceDE w:val="0"/>
        <w:spacing w:before="100" w:beforeAutospacing="1" w:after="100" w:afterAutospacing="1" w:line="240" w:lineRule="auto"/>
        <w:jc w:val="both"/>
        <w:rPr>
          <w:rFonts w:ascii="Times New Roman" w:hAnsi="Times New Roman"/>
          <w:sz w:val="24"/>
          <w:szCs w:val="24"/>
        </w:rPr>
      </w:pPr>
      <w:r w:rsidRPr="00724C56">
        <w:rPr>
          <w:rFonts w:ascii="Times New Roman" w:hAnsi="Times New Roman"/>
          <w:i/>
          <w:iCs/>
          <w:sz w:val="24"/>
          <w:szCs w:val="24"/>
        </w:rPr>
        <w:t>c)</w:t>
      </w:r>
      <w:r w:rsidRPr="00724C56">
        <w:rPr>
          <w:rFonts w:ascii="Times New Roman" w:hAnsi="Times New Roman"/>
          <w:sz w:val="24"/>
          <w:szCs w:val="24"/>
        </w:rPr>
        <w:t xml:space="preserve"> all’articolo 14, dopo il comma</w:t>
      </w:r>
      <w:r w:rsidR="00A5272C" w:rsidRPr="00724C56">
        <w:rPr>
          <w:rFonts w:ascii="Times New Roman" w:hAnsi="Times New Roman"/>
          <w:sz w:val="24"/>
          <w:szCs w:val="24"/>
        </w:rPr>
        <w:t xml:space="preserve"> 1</w:t>
      </w:r>
      <w:r w:rsidRPr="00724C56">
        <w:rPr>
          <w:rFonts w:ascii="Times New Roman" w:hAnsi="Times New Roman"/>
          <w:sz w:val="24"/>
          <w:szCs w:val="24"/>
        </w:rPr>
        <w:t xml:space="preserve">, è </w:t>
      </w:r>
      <w:r w:rsidR="00A5272C" w:rsidRPr="00724C56">
        <w:rPr>
          <w:rFonts w:ascii="Times New Roman" w:hAnsi="Times New Roman"/>
          <w:sz w:val="24"/>
          <w:szCs w:val="24"/>
        </w:rPr>
        <w:t>inserito</w:t>
      </w:r>
      <w:r w:rsidRPr="00724C56">
        <w:rPr>
          <w:rFonts w:ascii="Times New Roman" w:hAnsi="Times New Roman"/>
          <w:sz w:val="24"/>
          <w:szCs w:val="24"/>
        </w:rPr>
        <w:t xml:space="preserve"> il seguente:</w:t>
      </w:r>
    </w:p>
    <w:p w14:paraId="4735BA52" w14:textId="537A5341" w:rsidR="006E588C" w:rsidRPr="0080312B" w:rsidRDefault="00A5272C" w:rsidP="006E588C">
      <w:pPr>
        <w:autoSpaceDE w:val="0"/>
        <w:spacing w:before="100" w:beforeAutospacing="1" w:after="100" w:afterAutospacing="1" w:line="240" w:lineRule="auto"/>
        <w:jc w:val="both"/>
        <w:rPr>
          <w:rFonts w:ascii="Times New Roman" w:hAnsi="Times New Roman"/>
          <w:i/>
          <w:iCs/>
          <w:sz w:val="24"/>
          <w:szCs w:val="24"/>
        </w:rPr>
      </w:pPr>
      <w:bookmarkStart w:id="8" w:name="_Hlk198908401"/>
      <w:r w:rsidRPr="00706DD7">
        <w:rPr>
          <w:rFonts w:ascii="Times New Roman" w:hAnsi="Times New Roman"/>
          <w:sz w:val="24"/>
          <w:szCs w:val="24"/>
        </w:rPr>
        <w:t>«</w:t>
      </w:r>
      <w:r w:rsidR="006E588C" w:rsidRPr="00706DD7">
        <w:rPr>
          <w:rFonts w:ascii="Times New Roman" w:hAnsi="Times New Roman"/>
          <w:sz w:val="24"/>
          <w:szCs w:val="24"/>
        </w:rPr>
        <w:t>1-</w:t>
      </w:r>
      <w:r w:rsidR="006E588C" w:rsidRPr="00706DD7">
        <w:rPr>
          <w:rFonts w:ascii="Times New Roman" w:hAnsi="Times New Roman"/>
          <w:i/>
          <w:iCs/>
          <w:sz w:val="24"/>
          <w:szCs w:val="24"/>
        </w:rPr>
        <w:t>bis</w:t>
      </w:r>
      <w:r w:rsidR="0080312B">
        <w:rPr>
          <w:rFonts w:ascii="Times New Roman" w:hAnsi="Times New Roman"/>
          <w:i/>
          <w:iCs/>
          <w:sz w:val="24"/>
          <w:szCs w:val="24"/>
        </w:rPr>
        <w:t xml:space="preserve"> </w:t>
      </w:r>
      <w:bookmarkStart w:id="9" w:name="x__Hlk198908401"/>
      <w:r w:rsidR="0080312B" w:rsidRPr="0080312B">
        <w:rPr>
          <w:rFonts w:ascii="Times New Roman" w:hAnsi="Times New Roman"/>
          <w:sz w:val="24"/>
          <w:szCs w:val="24"/>
        </w:rPr>
        <w:t>È punito con la stessa pena di cui al comma 1 l’utilizzatore non professionale né industriale che impiega, in violazione delle relative condizioni di utilizzo indicate nell’autorizzazione, un presidio medico-chirurgico autorizzato o impiega un presidio medico-chirurgico non autorizzato, quando ne derivi il pericolo di contaminazione di persone, di specie animali non bersaglio o dell’ambiente.».</w:t>
      </w:r>
      <w:bookmarkEnd w:id="9"/>
    </w:p>
    <w:bookmarkEnd w:id="8"/>
    <w:p w14:paraId="7339A764" w14:textId="70DD79CB" w:rsidR="006E588C" w:rsidRPr="00724C56" w:rsidRDefault="006E588C" w:rsidP="006E588C">
      <w:pPr>
        <w:autoSpaceDE w:val="0"/>
        <w:spacing w:before="100" w:beforeAutospacing="1" w:after="100" w:afterAutospacing="1" w:line="240" w:lineRule="auto"/>
        <w:jc w:val="both"/>
        <w:rPr>
          <w:rFonts w:ascii="Times New Roman" w:hAnsi="Times New Roman"/>
          <w:sz w:val="24"/>
          <w:szCs w:val="24"/>
        </w:rPr>
      </w:pPr>
      <w:r w:rsidRPr="00724C56">
        <w:rPr>
          <w:rFonts w:ascii="Times New Roman" w:hAnsi="Times New Roman"/>
          <w:sz w:val="24"/>
          <w:szCs w:val="24"/>
        </w:rPr>
        <w:t xml:space="preserve">3. </w:t>
      </w:r>
      <w:r w:rsidR="00A5272C" w:rsidRPr="00724C56">
        <w:rPr>
          <w:rFonts w:ascii="Times New Roman" w:hAnsi="Times New Roman"/>
          <w:sz w:val="24"/>
          <w:szCs w:val="24"/>
        </w:rPr>
        <w:t>All’articolo 1, comma 1, del regolamento di cui al decreto del Presidente della Repubblica 6 ottobre 1998, n. 39</w:t>
      </w:r>
      <w:r w:rsidR="005D5879" w:rsidRPr="00724C56">
        <w:rPr>
          <w:rFonts w:ascii="Times New Roman" w:hAnsi="Times New Roman"/>
          <w:sz w:val="24"/>
          <w:szCs w:val="24"/>
        </w:rPr>
        <w:t>2</w:t>
      </w:r>
      <w:r w:rsidR="00A5272C" w:rsidRPr="00724C56">
        <w:rPr>
          <w:rFonts w:ascii="Times New Roman" w:hAnsi="Times New Roman"/>
          <w:sz w:val="24"/>
          <w:szCs w:val="24"/>
        </w:rPr>
        <w:t>,</w:t>
      </w:r>
      <w:r w:rsidR="005D5879" w:rsidRPr="00724C56">
        <w:rPr>
          <w:rFonts w:ascii="Times New Roman" w:hAnsi="Times New Roman"/>
          <w:sz w:val="24"/>
          <w:szCs w:val="24"/>
        </w:rPr>
        <w:t xml:space="preserve"> </w:t>
      </w:r>
      <w:r w:rsidR="00A5272C" w:rsidRPr="00724C56">
        <w:rPr>
          <w:rFonts w:ascii="Times New Roman" w:hAnsi="Times New Roman"/>
          <w:sz w:val="24"/>
          <w:szCs w:val="24"/>
        </w:rPr>
        <w:t>le</w:t>
      </w:r>
      <w:r w:rsidRPr="00724C56">
        <w:rPr>
          <w:rFonts w:ascii="Times New Roman" w:hAnsi="Times New Roman"/>
          <w:sz w:val="24"/>
          <w:szCs w:val="24"/>
        </w:rPr>
        <w:t xml:space="preserve"> lettere </w:t>
      </w:r>
      <w:r w:rsidRPr="00724C56">
        <w:rPr>
          <w:rFonts w:ascii="Times New Roman" w:hAnsi="Times New Roman"/>
          <w:i/>
          <w:iCs/>
          <w:sz w:val="24"/>
          <w:szCs w:val="24"/>
        </w:rPr>
        <w:t>d)</w:t>
      </w:r>
      <w:r w:rsidRPr="00724C56">
        <w:rPr>
          <w:rFonts w:ascii="Times New Roman" w:hAnsi="Times New Roman"/>
          <w:sz w:val="24"/>
          <w:szCs w:val="24"/>
        </w:rPr>
        <w:t xml:space="preserve">, </w:t>
      </w:r>
      <w:r w:rsidRPr="00724C56">
        <w:rPr>
          <w:rFonts w:ascii="Times New Roman" w:hAnsi="Times New Roman"/>
          <w:i/>
          <w:iCs/>
          <w:sz w:val="24"/>
          <w:szCs w:val="24"/>
        </w:rPr>
        <w:t>e)</w:t>
      </w:r>
      <w:r w:rsidRPr="00724C56">
        <w:rPr>
          <w:rFonts w:ascii="Times New Roman" w:hAnsi="Times New Roman"/>
          <w:sz w:val="24"/>
          <w:szCs w:val="24"/>
        </w:rPr>
        <w:t xml:space="preserve"> e </w:t>
      </w:r>
      <w:r w:rsidRPr="00724C56">
        <w:rPr>
          <w:rFonts w:ascii="Times New Roman" w:hAnsi="Times New Roman"/>
          <w:i/>
          <w:iCs/>
          <w:sz w:val="24"/>
          <w:szCs w:val="24"/>
        </w:rPr>
        <w:t>f)</w:t>
      </w:r>
      <w:r w:rsidRPr="00724C56">
        <w:rPr>
          <w:rFonts w:ascii="Times New Roman" w:hAnsi="Times New Roman"/>
          <w:sz w:val="24"/>
          <w:szCs w:val="24"/>
        </w:rPr>
        <w:t xml:space="preserve"> sono abrogate.</w:t>
      </w:r>
      <w:bookmarkStart w:id="10" w:name="_Hlk198895585"/>
    </w:p>
    <w:p w14:paraId="41C4D2C7" w14:textId="77777777" w:rsidR="005C6BDE" w:rsidRDefault="005C6BDE" w:rsidP="00646A1E">
      <w:pPr>
        <w:ind w:left="360"/>
        <w:jc w:val="center"/>
        <w:rPr>
          <w:rFonts w:ascii="Times New Roman" w:hAnsi="Times New Roman"/>
          <w:b/>
          <w:bCs/>
          <w:sz w:val="24"/>
          <w:szCs w:val="24"/>
        </w:rPr>
      </w:pPr>
    </w:p>
    <w:p w14:paraId="28F9CDE4" w14:textId="37332FFD" w:rsidR="00646A1E" w:rsidRPr="00FC0EFF" w:rsidRDefault="00646A1E" w:rsidP="00646A1E">
      <w:pPr>
        <w:ind w:left="360"/>
        <w:jc w:val="center"/>
        <w:rPr>
          <w:rFonts w:ascii="Times New Roman" w:hAnsi="Times New Roman"/>
          <w:b/>
          <w:bCs/>
          <w:i/>
          <w:iCs/>
          <w:sz w:val="24"/>
          <w:szCs w:val="24"/>
        </w:rPr>
      </w:pPr>
      <w:r w:rsidRPr="00FC0EFF">
        <w:rPr>
          <w:rFonts w:ascii="Times New Roman" w:hAnsi="Times New Roman"/>
          <w:b/>
          <w:bCs/>
          <w:sz w:val="24"/>
          <w:szCs w:val="24"/>
        </w:rPr>
        <w:t>Art.</w:t>
      </w:r>
      <w:r w:rsidR="00BE439C" w:rsidRPr="00FC0EFF">
        <w:rPr>
          <w:rFonts w:ascii="Times New Roman" w:hAnsi="Times New Roman"/>
          <w:b/>
          <w:bCs/>
          <w:sz w:val="24"/>
          <w:szCs w:val="24"/>
        </w:rPr>
        <w:t xml:space="preserve"> </w:t>
      </w:r>
      <w:r w:rsidR="00D7008B" w:rsidRPr="00FC0EFF">
        <w:rPr>
          <w:rFonts w:ascii="Times New Roman" w:hAnsi="Times New Roman"/>
          <w:b/>
          <w:bCs/>
          <w:sz w:val="24"/>
          <w:szCs w:val="24"/>
        </w:rPr>
        <w:t>7</w:t>
      </w:r>
    </w:p>
    <w:p w14:paraId="125C60D3" w14:textId="6D4D5DA5" w:rsidR="00646A1E" w:rsidRPr="00FC0EFF" w:rsidRDefault="004831E8" w:rsidP="00646A1E">
      <w:pPr>
        <w:ind w:left="360"/>
        <w:jc w:val="center"/>
        <w:rPr>
          <w:rFonts w:ascii="Times New Roman" w:hAnsi="Times New Roman"/>
          <w:b/>
          <w:bCs/>
          <w:i/>
          <w:iCs/>
          <w:sz w:val="24"/>
          <w:szCs w:val="24"/>
        </w:rPr>
      </w:pPr>
      <w:bookmarkStart w:id="11" w:name="_Hlk197941564"/>
      <w:r w:rsidRPr="00FC0EFF">
        <w:rPr>
          <w:rFonts w:ascii="Times New Roman" w:hAnsi="Times New Roman"/>
          <w:b/>
          <w:bCs/>
          <w:i/>
          <w:iCs/>
          <w:sz w:val="24"/>
          <w:szCs w:val="24"/>
        </w:rPr>
        <w:t>(</w:t>
      </w:r>
      <w:r w:rsidR="00646A1E" w:rsidRPr="00FC0EFF">
        <w:rPr>
          <w:rFonts w:ascii="Times New Roman" w:hAnsi="Times New Roman"/>
          <w:b/>
          <w:bCs/>
          <w:i/>
          <w:iCs/>
          <w:sz w:val="24"/>
          <w:szCs w:val="24"/>
        </w:rPr>
        <w:t>Revisione dei criteri di accesso ed eleggibilità per il rilascio e il rinnovo dell’accreditamento e del convenzionamento</w:t>
      </w:r>
      <w:bookmarkEnd w:id="11"/>
      <w:r w:rsidRPr="00FC0EFF">
        <w:rPr>
          <w:rFonts w:ascii="Times New Roman" w:hAnsi="Times New Roman"/>
          <w:b/>
          <w:bCs/>
          <w:i/>
          <w:iCs/>
          <w:sz w:val="24"/>
          <w:szCs w:val="24"/>
        </w:rPr>
        <w:t>)</w:t>
      </w:r>
    </w:p>
    <w:p w14:paraId="2D0C7763" w14:textId="3F255B09" w:rsidR="006E3885" w:rsidRPr="00FC0EFF" w:rsidRDefault="006E3885" w:rsidP="006E3885">
      <w:pPr>
        <w:jc w:val="both"/>
        <w:rPr>
          <w:rFonts w:ascii="Times New Roman" w:hAnsi="Times New Roman"/>
          <w:sz w:val="24"/>
          <w:szCs w:val="24"/>
        </w:rPr>
      </w:pPr>
      <w:r w:rsidRPr="00FC0EFF">
        <w:rPr>
          <w:rFonts w:ascii="Times New Roman" w:hAnsi="Times New Roman"/>
          <w:sz w:val="24"/>
          <w:szCs w:val="24"/>
        </w:rPr>
        <w:t>All'articolo 36 della legge 16 dicembre 2024, n. 193, dopo il comma 1 è inserito il seguente:</w:t>
      </w:r>
    </w:p>
    <w:p w14:paraId="674C86E2" w14:textId="6729FE34" w:rsidR="006E3885" w:rsidRPr="006E3885" w:rsidRDefault="006E3885" w:rsidP="006E3885">
      <w:pPr>
        <w:suppressAutoHyphens w:val="0"/>
        <w:autoSpaceDN/>
        <w:spacing w:before="100" w:beforeAutospacing="1" w:after="100" w:afterAutospacing="1" w:line="240" w:lineRule="auto"/>
        <w:jc w:val="both"/>
        <w:rPr>
          <w:rFonts w:ascii="Times New Roman" w:hAnsi="Times New Roman"/>
          <w:sz w:val="24"/>
          <w:szCs w:val="24"/>
        </w:rPr>
      </w:pPr>
      <w:r w:rsidRPr="00FC0EFF">
        <w:rPr>
          <w:rFonts w:ascii="Times New Roman" w:hAnsi="Times New Roman"/>
          <w:sz w:val="24"/>
          <w:szCs w:val="24"/>
        </w:rPr>
        <w:t>«1-</w:t>
      </w:r>
      <w:r w:rsidRPr="00FC0EFF">
        <w:rPr>
          <w:rFonts w:ascii="Times New Roman" w:hAnsi="Times New Roman"/>
          <w:i/>
          <w:iCs/>
          <w:sz w:val="24"/>
          <w:szCs w:val="24"/>
        </w:rPr>
        <w:t>bis</w:t>
      </w:r>
      <w:r w:rsidRPr="00FC0EFF">
        <w:rPr>
          <w:rFonts w:ascii="Times New Roman" w:hAnsi="Times New Roman"/>
          <w:sz w:val="24"/>
          <w:szCs w:val="24"/>
        </w:rPr>
        <w:t xml:space="preserve"> La revisione di cui al comma 1 deve tenere conto, salvaguardando la concorrenza, anche dell’esigenza di garantire la continuità assistenziale articolata per tipologia di paziente</w:t>
      </w:r>
      <w:r w:rsidR="003C17B1">
        <w:rPr>
          <w:rFonts w:ascii="Times New Roman" w:hAnsi="Times New Roman"/>
          <w:sz w:val="24"/>
          <w:szCs w:val="24"/>
        </w:rPr>
        <w:t xml:space="preserve"> o </w:t>
      </w:r>
      <w:r w:rsidRPr="00FC0EFF">
        <w:rPr>
          <w:rFonts w:ascii="Times New Roman" w:hAnsi="Times New Roman"/>
          <w:sz w:val="24"/>
          <w:szCs w:val="24"/>
        </w:rPr>
        <w:t xml:space="preserve">assistito e relativa fragilità, differenziando, con diverse procedure ad evidenza pubblica, la valutazione tra il rinnovo e le nuove richieste volte alla stipula degli accordi contrattuali di cui </w:t>
      </w:r>
      <w:r w:rsidR="00EE4D85">
        <w:rPr>
          <w:rFonts w:ascii="Times New Roman" w:hAnsi="Times New Roman"/>
          <w:sz w:val="24"/>
          <w:szCs w:val="24"/>
        </w:rPr>
        <w:t>all’articolo</w:t>
      </w:r>
      <w:r w:rsidR="00DC1B27">
        <w:rPr>
          <w:rFonts w:ascii="Times New Roman" w:hAnsi="Times New Roman"/>
          <w:sz w:val="24"/>
          <w:szCs w:val="24"/>
        </w:rPr>
        <w:t xml:space="preserve"> </w:t>
      </w:r>
      <w:r w:rsidRPr="00FC0EFF">
        <w:rPr>
          <w:rFonts w:ascii="Times New Roman" w:hAnsi="Times New Roman"/>
          <w:sz w:val="24"/>
          <w:szCs w:val="24"/>
        </w:rPr>
        <w:t>8-</w:t>
      </w:r>
      <w:r w:rsidRPr="00FC0EFF">
        <w:rPr>
          <w:rFonts w:ascii="Times New Roman" w:hAnsi="Times New Roman"/>
          <w:i/>
          <w:iCs/>
          <w:sz w:val="24"/>
          <w:szCs w:val="24"/>
        </w:rPr>
        <w:t>quinquies</w:t>
      </w:r>
      <w:r w:rsidRPr="00FC0EFF">
        <w:rPr>
          <w:rFonts w:ascii="Times New Roman" w:hAnsi="Times New Roman"/>
          <w:sz w:val="24"/>
          <w:szCs w:val="24"/>
        </w:rPr>
        <w:t>, comma 1-</w:t>
      </w:r>
      <w:r w:rsidRPr="00FC0EFF">
        <w:rPr>
          <w:rFonts w:ascii="Times New Roman" w:hAnsi="Times New Roman"/>
          <w:i/>
          <w:iCs/>
          <w:sz w:val="24"/>
          <w:szCs w:val="24"/>
        </w:rPr>
        <w:t>bis</w:t>
      </w:r>
      <w:r w:rsidRPr="00FC0EFF">
        <w:rPr>
          <w:rFonts w:ascii="Times New Roman" w:hAnsi="Times New Roman"/>
          <w:sz w:val="24"/>
          <w:szCs w:val="24"/>
        </w:rPr>
        <w:t>, del decreto legislativo 30 dicembre 1992, n. 502.».</w:t>
      </w:r>
    </w:p>
    <w:p w14:paraId="1D72523E" w14:textId="77777777" w:rsidR="00C95899" w:rsidRDefault="00C95899" w:rsidP="00C95899">
      <w:pPr>
        <w:spacing w:before="88" w:after="0" w:line="240" w:lineRule="auto"/>
        <w:ind w:left="3226" w:right="3122"/>
        <w:jc w:val="center"/>
        <w:rPr>
          <w:rFonts w:ascii="Times New Roman" w:hAnsi="Times New Roman"/>
          <w:b/>
          <w:bCs/>
          <w:sz w:val="24"/>
          <w:szCs w:val="24"/>
        </w:rPr>
      </w:pPr>
      <w:bookmarkStart w:id="12" w:name="_Hlk193380457"/>
      <w:bookmarkEnd w:id="3"/>
      <w:bookmarkEnd w:id="10"/>
      <w:r>
        <w:rPr>
          <w:rFonts w:ascii="Times New Roman" w:hAnsi="Times New Roman"/>
          <w:b/>
          <w:bCs/>
          <w:sz w:val="24"/>
          <w:szCs w:val="24"/>
        </w:rPr>
        <w:t>Art. 8</w:t>
      </w:r>
    </w:p>
    <w:p w14:paraId="45C9D69C" w14:textId="77777777" w:rsidR="00C95899" w:rsidRDefault="00C95899" w:rsidP="00C95899">
      <w:pPr>
        <w:jc w:val="center"/>
        <w:rPr>
          <w:rFonts w:ascii="Times New Roman" w:hAnsi="Times New Roman"/>
          <w:b/>
          <w:bCs/>
          <w:i/>
          <w:iCs/>
          <w:sz w:val="24"/>
          <w:szCs w:val="24"/>
        </w:rPr>
      </w:pPr>
      <w:r>
        <w:rPr>
          <w:rFonts w:ascii="Times New Roman" w:hAnsi="Times New Roman"/>
          <w:b/>
          <w:bCs/>
          <w:i/>
          <w:iCs/>
          <w:sz w:val="24"/>
          <w:szCs w:val="24"/>
        </w:rPr>
        <w:t>(Misure per l’accelerazione del trasferimento tecnologico)</w:t>
      </w:r>
    </w:p>
    <w:p w14:paraId="6B3B0073" w14:textId="77777777" w:rsidR="00C95899" w:rsidRPr="00F726DB" w:rsidRDefault="00C95899" w:rsidP="00C95899">
      <w:pPr>
        <w:suppressAutoHyphens w:val="0"/>
        <w:spacing w:line="256" w:lineRule="auto"/>
        <w:jc w:val="both"/>
        <w:rPr>
          <w:rFonts w:ascii="Times New Roman" w:hAnsi="Times New Roman"/>
          <w:sz w:val="24"/>
          <w:szCs w:val="24"/>
        </w:rPr>
      </w:pPr>
      <w:r w:rsidRPr="00F726DB">
        <w:rPr>
          <w:rFonts w:ascii="Times New Roman" w:hAnsi="Times New Roman"/>
          <w:sz w:val="24"/>
          <w:szCs w:val="24"/>
        </w:rPr>
        <w:t>1. Al fine di favorire il trasferimento tecnologico e contribuire alla trasformazione tecnologica delle filiere produttive nazionali, assicurando sinergia di azione fra i soggetti dotati di specifica competenza, sono adottate le misure di finanziamento e di coordinamento previste dal presente articolo.</w:t>
      </w:r>
    </w:p>
    <w:p w14:paraId="518D3D8D" w14:textId="77777777" w:rsidR="00C95899" w:rsidRPr="00F726DB" w:rsidRDefault="00C95899" w:rsidP="00C95899">
      <w:pPr>
        <w:suppressAutoHyphens w:val="0"/>
        <w:spacing w:line="256" w:lineRule="auto"/>
        <w:jc w:val="both"/>
        <w:rPr>
          <w:rFonts w:ascii="Times New Roman" w:hAnsi="Times New Roman"/>
          <w:sz w:val="24"/>
          <w:szCs w:val="24"/>
        </w:rPr>
      </w:pPr>
      <w:r w:rsidRPr="00F726DB">
        <w:rPr>
          <w:rFonts w:ascii="Times New Roman" w:hAnsi="Times New Roman"/>
          <w:sz w:val="24"/>
          <w:szCs w:val="24"/>
        </w:rPr>
        <w:t>2. Il Ministero delle imprese e del made in Italy e il Ministero dell’università e della ricerca elaborano, congiuntamente, entro sessanta giorni dalla data di entrata in vigore della presente legge, e successivamente ogni tre anni, un atto di indirizzo strategico in materia di valorizzazione delle conoscenze e di trasferimento tecnologico. La proposta di atto di indirizzo strategico, sottoposta a consultazione pubblica dei soggetti istituzionali competenti e degli s</w:t>
      </w:r>
      <w:r w:rsidRPr="00F726DB">
        <w:rPr>
          <w:rFonts w:ascii="Times New Roman" w:hAnsi="Times New Roman"/>
          <w:i/>
          <w:iCs/>
          <w:sz w:val="24"/>
          <w:szCs w:val="24"/>
        </w:rPr>
        <w:t>takeholders</w:t>
      </w:r>
      <w:r w:rsidRPr="00F726DB">
        <w:rPr>
          <w:rFonts w:ascii="Times New Roman" w:hAnsi="Times New Roman"/>
          <w:sz w:val="24"/>
          <w:szCs w:val="24"/>
        </w:rPr>
        <w:t>, è approvata con decreto dei predetti Ministri.</w:t>
      </w:r>
    </w:p>
    <w:p w14:paraId="327F3B24" w14:textId="57F14A18" w:rsidR="00C95899" w:rsidRDefault="00C95899" w:rsidP="00C95899">
      <w:pPr>
        <w:suppressAutoHyphens w:val="0"/>
        <w:spacing w:line="256" w:lineRule="auto"/>
        <w:jc w:val="both"/>
        <w:rPr>
          <w:rFonts w:ascii="Times New Roman" w:hAnsi="Times New Roman"/>
          <w:sz w:val="24"/>
          <w:szCs w:val="24"/>
        </w:rPr>
      </w:pPr>
      <w:r w:rsidRPr="00F726DB">
        <w:rPr>
          <w:rFonts w:ascii="Times New Roman" w:hAnsi="Times New Roman"/>
          <w:sz w:val="24"/>
          <w:szCs w:val="24"/>
        </w:rPr>
        <w:t xml:space="preserve">3. In attuazione dell’atto di indirizzo strategico di cui al comma 2, la “fondazione Enea </w:t>
      </w:r>
      <w:r w:rsidRPr="00F726DB">
        <w:rPr>
          <w:rFonts w:ascii="Times New Roman" w:hAnsi="Times New Roman"/>
          <w:i/>
          <w:iCs/>
          <w:sz w:val="24"/>
          <w:szCs w:val="24"/>
        </w:rPr>
        <w:t>Tech e Biomedical</w:t>
      </w:r>
      <w:r w:rsidRPr="00F726DB">
        <w:rPr>
          <w:rFonts w:ascii="Times New Roman" w:hAnsi="Times New Roman"/>
          <w:sz w:val="24"/>
          <w:szCs w:val="24"/>
        </w:rPr>
        <w:t xml:space="preserve">”, istituita ai sensi dell’articolo 42, comma 5, del decreto-legge 19 maggio 2020, n. 34, convertito, con modificazioni, dalla legge 17 luglio 2020, n.77, è ridenominata secondo quanto previsto dal comma </w:t>
      </w:r>
      <w:r>
        <w:rPr>
          <w:rFonts w:ascii="Times New Roman" w:hAnsi="Times New Roman"/>
          <w:sz w:val="24"/>
          <w:szCs w:val="24"/>
        </w:rPr>
        <w:t>8.</w:t>
      </w:r>
      <w:r w:rsidRPr="00F726DB">
        <w:rPr>
          <w:rFonts w:ascii="Times New Roman" w:hAnsi="Times New Roman"/>
          <w:sz w:val="24"/>
          <w:szCs w:val="24"/>
        </w:rPr>
        <w:t xml:space="preserve"> </w:t>
      </w:r>
    </w:p>
    <w:p w14:paraId="560CA3A7" w14:textId="77777777" w:rsidR="00C95899" w:rsidRPr="00F726DB" w:rsidRDefault="00C95899" w:rsidP="00C95899">
      <w:pPr>
        <w:suppressAutoHyphens w:val="0"/>
        <w:spacing w:line="256" w:lineRule="auto"/>
        <w:jc w:val="both"/>
        <w:rPr>
          <w:rFonts w:ascii="Times New Roman" w:hAnsi="Times New Roman"/>
          <w:sz w:val="24"/>
          <w:szCs w:val="24"/>
        </w:rPr>
      </w:pPr>
      <w:r>
        <w:rPr>
          <w:rFonts w:ascii="Times New Roman" w:hAnsi="Times New Roman"/>
          <w:sz w:val="24"/>
          <w:szCs w:val="24"/>
        </w:rPr>
        <w:t>4. Per le finalità di cui al presente articolo l</w:t>
      </w:r>
      <w:r w:rsidRPr="00F726DB">
        <w:rPr>
          <w:rFonts w:ascii="Times New Roman" w:hAnsi="Times New Roman"/>
          <w:sz w:val="24"/>
          <w:szCs w:val="24"/>
        </w:rPr>
        <w:t xml:space="preserve">e somme giacenti nel conto di tesoreria intestato all’Agenzia nazionale per le nuove tecnologie, l'energia e lo sviluppo sostenibile (ENEA), destinate agli interventi del Fondo per il trasferimento tecnologico di cui all’articolo 42, comma 1, del decreto-legge n. 34 del 2020, disponibili alla data di entrata in vigore della presente legge, nel limite di 250 milioni di euro, sono trasferite alla fondazione </w:t>
      </w:r>
      <w:r w:rsidRPr="00F726DB">
        <w:rPr>
          <w:rFonts w:ascii="Times New Roman" w:hAnsi="Times New Roman"/>
          <w:i/>
          <w:iCs/>
          <w:sz w:val="24"/>
          <w:szCs w:val="24"/>
        </w:rPr>
        <w:t>Tech e Biomedical</w:t>
      </w:r>
      <w:r w:rsidRPr="00F726DB">
        <w:rPr>
          <w:rFonts w:ascii="Times New Roman" w:hAnsi="Times New Roman"/>
          <w:sz w:val="24"/>
          <w:szCs w:val="24"/>
        </w:rPr>
        <w:t xml:space="preserve"> e accreditate su</w:t>
      </w:r>
      <w:r>
        <w:rPr>
          <w:rFonts w:ascii="Times New Roman" w:hAnsi="Times New Roman"/>
          <w:sz w:val="24"/>
          <w:szCs w:val="24"/>
        </w:rPr>
        <w:t>l</w:t>
      </w:r>
      <w:r w:rsidRPr="00F726DB">
        <w:rPr>
          <w:rFonts w:ascii="Times New Roman" w:hAnsi="Times New Roman"/>
          <w:sz w:val="24"/>
          <w:szCs w:val="24"/>
        </w:rPr>
        <w:t xml:space="preserve"> conto infruttifero aperto presso la Tesoreria dello Stato, intestato alla stessa fondazione.</w:t>
      </w:r>
    </w:p>
    <w:p w14:paraId="3DEF13C3" w14:textId="4DB74FC4" w:rsidR="00C95899" w:rsidRPr="00F726DB" w:rsidRDefault="00C95899" w:rsidP="00C95899">
      <w:pPr>
        <w:suppressAutoHyphens w:val="0"/>
        <w:spacing w:line="256" w:lineRule="auto"/>
        <w:jc w:val="both"/>
        <w:rPr>
          <w:rFonts w:ascii="Times New Roman" w:hAnsi="Times New Roman"/>
          <w:sz w:val="24"/>
          <w:szCs w:val="24"/>
        </w:rPr>
      </w:pPr>
      <w:r>
        <w:rPr>
          <w:rFonts w:ascii="Times New Roman" w:hAnsi="Times New Roman"/>
          <w:sz w:val="24"/>
          <w:szCs w:val="24"/>
        </w:rPr>
        <w:t>5</w:t>
      </w:r>
      <w:r w:rsidRPr="00F726DB">
        <w:rPr>
          <w:rFonts w:ascii="Times New Roman" w:hAnsi="Times New Roman"/>
          <w:sz w:val="24"/>
          <w:szCs w:val="24"/>
        </w:rPr>
        <w:t>.</w:t>
      </w:r>
      <w:r>
        <w:rPr>
          <w:rFonts w:ascii="Times New Roman" w:hAnsi="Times New Roman"/>
          <w:sz w:val="24"/>
          <w:szCs w:val="24"/>
        </w:rPr>
        <w:t xml:space="preserve"> Ai fini del raggiungimento dell’obiettivo del </w:t>
      </w:r>
      <w:r w:rsidRPr="00F726DB">
        <w:rPr>
          <w:rFonts w:ascii="Times New Roman" w:hAnsi="Times New Roman"/>
          <w:sz w:val="24"/>
          <w:szCs w:val="24"/>
        </w:rPr>
        <w:t xml:space="preserve">trasferimento tecnologico </w:t>
      </w:r>
      <w:r>
        <w:rPr>
          <w:rFonts w:ascii="Times New Roman" w:hAnsi="Times New Roman"/>
          <w:sz w:val="24"/>
          <w:szCs w:val="24"/>
        </w:rPr>
        <w:t xml:space="preserve">sulla base dell’atto di indirizzo di cui al comma 2, possono concorrere </w:t>
      </w:r>
      <w:r w:rsidR="0068353B">
        <w:rPr>
          <w:rFonts w:ascii="Times New Roman" w:hAnsi="Times New Roman"/>
          <w:sz w:val="24"/>
          <w:szCs w:val="24"/>
        </w:rPr>
        <w:t xml:space="preserve">tutte </w:t>
      </w:r>
      <w:r w:rsidRPr="0073521E">
        <w:rPr>
          <w:rFonts w:ascii="Times New Roman" w:hAnsi="Times New Roman"/>
          <w:sz w:val="24"/>
          <w:szCs w:val="24"/>
        </w:rPr>
        <w:t>le fondazioni previste dalla legge</w:t>
      </w:r>
      <w:r w:rsidRPr="0073521E">
        <w:rPr>
          <w:rFonts w:ascii="Times New Roman" w:hAnsi="Times New Roman"/>
          <w:color w:val="EE0000"/>
          <w:sz w:val="24"/>
          <w:szCs w:val="24"/>
        </w:rPr>
        <w:t xml:space="preserve"> </w:t>
      </w:r>
      <w:r w:rsidRPr="0073521E">
        <w:rPr>
          <w:rFonts w:ascii="Times New Roman" w:hAnsi="Times New Roman"/>
          <w:sz w:val="24"/>
          <w:szCs w:val="24"/>
        </w:rPr>
        <w:t>che hanno competenze,</w:t>
      </w:r>
      <w:r w:rsidRPr="00F726DB">
        <w:rPr>
          <w:rFonts w:ascii="Times New Roman" w:hAnsi="Times New Roman"/>
          <w:sz w:val="24"/>
          <w:szCs w:val="24"/>
        </w:rPr>
        <w:t xml:space="preserve"> finali o strumentali, connesse o accessorie, i centri di competenza ad alta specializzazione di cui all’articolo 1, comma 115, della legge 11 dicembre 2016, n. 232, nonché l’ente nazionale di ricerca e sperimentazione di cui all’articolo 1 del decreto legislativo 29 ottobre 1999, n. 454</w:t>
      </w:r>
      <w:r>
        <w:rPr>
          <w:rFonts w:ascii="Times New Roman" w:hAnsi="Times New Roman"/>
          <w:sz w:val="24"/>
          <w:szCs w:val="24"/>
        </w:rPr>
        <w:t>.</w:t>
      </w:r>
      <w:r w:rsidRPr="00F726DB">
        <w:rPr>
          <w:rFonts w:ascii="Times New Roman" w:hAnsi="Times New Roman"/>
          <w:sz w:val="24"/>
          <w:szCs w:val="24"/>
        </w:rPr>
        <w:t xml:space="preserve"> </w:t>
      </w:r>
    </w:p>
    <w:p w14:paraId="17D5EE5E" w14:textId="5EB46903" w:rsidR="00C95899" w:rsidRPr="00F726DB" w:rsidRDefault="00C95899" w:rsidP="00C95899">
      <w:pPr>
        <w:suppressAutoHyphens w:val="0"/>
        <w:spacing w:line="256" w:lineRule="auto"/>
        <w:jc w:val="both"/>
        <w:rPr>
          <w:rFonts w:ascii="Times New Roman" w:hAnsi="Times New Roman"/>
          <w:b/>
          <w:bCs/>
          <w:sz w:val="24"/>
          <w:szCs w:val="24"/>
        </w:rPr>
      </w:pPr>
      <w:r>
        <w:rPr>
          <w:rFonts w:ascii="Times New Roman" w:hAnsi="Times New Roman"/>
          <w:sz w:val="24"/>
          <w:szCs w:val="24"/>
        </w:rPr>
        <w:t>6</w:t>
      </w:r>
      <w:r w:rsidRPr="00F726DB">
        <w:rPr>
          <w:rFonts w:ascii="Times New Roman" w:hAnsi="Times New Roman"/>
          <w:sz w:val="24"/>
          <w:szCs w:val="24"/>
        </w:rPr>
        <w:t xml:space="preserve">. I soggetti di cui al comma </w:t>
      </w:r>
      <w:r>
        <w:rPr>
          <w:rFonts w:ascii="Times New Roman" w:hAnsi="Times New Roman"/>
          <w:sz w:val="24"/>
          <w:szCs w:val="24"/>
        </w:rPr>
        <w:t>5</w:t>
      </w:r>
      <w:r w:rsidRPr="00F726DB">
        <w:rPr>
          <w:rFonts w:ascii="Times New Roman" w:hAnsi="Times New Roman"/>
          <w:sz w:val="24"/>
          <w:szCs w:val="24"/>
        </w:rPr>
        <w:t xml:space="preserve"> possono elaborare specifiche progettualità da sottoporre alla fondazione</w:t>
      </w:r>
      <w:r>
        <w:rPr>
          <w:rFonts w:ascii="Times New Roman" w:hAnsi="Times New Roman"/>
          <w:sz w:val="24"/>
          <w:szCs w:val="24"/>
        </w:rPr>
        <w:t xml:space="preserve"> </w:t>
      </w:r>
      <w:r w:rsidRPr="00F726DB">
        <w:rPr>
          <w:rFonts w:ascii="Times New Roman" w:hAnsi="Times New Roman"/>
          <w:i/>
          <w:iCs/>
          <w:sz w:val="24"/>
          <w:szCs w:val="24"/>
        </w:rPr>
        <w:t>Tech e Biomedical</w:t>
      </w:r>
      <w:r w:rsidRPr="00F726DB">
        <w:rPr>
          <w:rFonts w:ascii="Times New Roman" w:hAnsi="Times New Roman"/>
          <w:sz w:val="24"/>
          <w:szCs w:val="24"/>
        </w:rPr>
        <w:t xml:space="preserve">. </w:t>
      </w:r>
      <w:r w:rsidRPr="006C3830">
        <w:rPr>
          <w:rFonts w:ascii="Times New Roman" w:hAnsi="Times New Roman"/>
          <w:sz w:val="24"/>
          <w:szCs w:val="24"/>
        </w:rPr>
        <w:t xml:space="preserve">Quest’ultima, valutata la fattibilità dei progetti e la coerenza con l’atto di indirizzo strategico, propone al Ministero delle imprese e del made in Italy l’assegnazione di un </w:t>
      </w:r>
      <w:r w:rsidRPr="006C3830">
        <w:rPr>
          <w:rFonts w:ascii="Times New Roman" w:hAnsi="Times New Roman"/>
          <w:i/>
          <w:iCs/>
          <w:sz w:val="24"/>
          <w:szCs w:val="24"/>
        </w:rPr>
        <w:t>budget</w:t>
      </w:r>
      <w:r w:rsidRPr="006C3830">
        <w:rPr>
          <w:rFonts w:ascii="Times New Roman" w:hAnsi="Times New Roman"/>
          <w:sz w:val="24"/>
          <w:szCs w:val="24"/>
        </w:rPr>
        <w:t xml:space="preserve"> per la realizzazione dei progetti ritenuti idonei nel limite delle risorse di cui al comma 4. La fondazione </w:t>
      </w:r>
      <w:r w:rsidRPr="006C3830">
        <w:rPr>
          <w:rFonts w:ascii="Times New Roman" w:hAnsi="Times New Roman"/>
          <w:i/>
          <w:iCs/>
          <w:sz w:val="24"/>
          <w:szCs w:val="24"/>
        </w:rPr>
        <w:t xml:space="preserve">Tech e Biomedical, </w:t>
      </w:r>
      <w:r w:rsidRPr="006C3830">
        <w:rPr>
          <w:rFonts w:ascii="Times New Roman" w:hAnsi="Times New Roman"/>
          <w:sz w:val="24"/>
          <w:szCs w:val="24"/>
        </w:rPr>
        <w:t>previo assenso</w:t>
      </w:r>
      <w:r w:rsidRPr="006C3830">
        <w:rPr>
          <w:rFonts w:ascii="Times New Roman" w:hAnsi="Times New Roman"/>
          <w:i/>
          <w:iCs/>
          <w:sz w:val="24"/>
          <w:szCs w:val="24"/>
        </w:rPr>
        <w:t xml:space="preserve"> </w:t>
      </w:r>
      <w:r w:rsidRPr="006C3830">
        <w:rPr>
          <w:rFonts w:ascii="Times New Roman" w:hAnsi="Times New Roman"/>
          <w:sz w:val="24"/>
          <w:szCs w:val="24"/>
        </w:rPr>
        <w:t>del</w:t>
      </w:r>
      <w:r w:rsidRPr="006C3830">
        <w:rPr>
          <w:rFonts w:ascii="Times New Roman" w:hAnsi="Times New Roman"/>
          <w:i/>
          <w:iCs/>
          <w:sz w:val="24"/>
          <w:szCs w:val="24"/>
        </w:rPr>
        <w:t xml:space="preserve"> </w:t>
      </w:r>
      <w:r w:rsidRPr="006C3830">
        <w:rPr>
          <w:rFonts w:ascii="Times New Roman" w:hAnsi="Times New Roman"/>
          <w:sz w:val="24"/>
          <w:szCs w:val="24"/>
        </w:rPr>
        <w:t xml:space="preserve">Ministero delle imprese e del made in Italy, eroga le risorse ai soggetti beneficiari per stati di avanzamento del progetto, cura e monitora la realizzazione dello stesso, sulla base di una distinta convenzione che prevede, in caso di inadempimento, la revoca immediata delle risorse. Le attività di cui al presente comma sono regolate da apposita convenzione a titolo gratuito tra la fondazione </w:t>
      </w:r>
      <w:r w:rsidRPr="006C3830">
        <w:rPr>
          <w:rFonts w:ascii="Times New Roman" w:hAnsi="Times New Roman"/>
          <w:i/>
          <w:iCs/>
          <w:sz w:val="24"/>
          <w:szCs w:val="24"/>
        </w:rPr>
        <w:t>Tech e Biomedical e i</w:t>
      </w:r>
      <w:r w:rsidRPr="006C3830">
        <w:rPr>
          <w:rFonts w:ascii="Times New Roman" w:hAnsi="Times New Roman"/>
          <w:sz w:val="24"/>
          <w:szCs w:val="24"/>
        </w:rPr>
        <w:t>l</w:t>
      </w:r>
      <w:r w:rsidRPr="006C3830">
        <w:rPr>
          <w:rFonts w:ascii="Times New Roman" w:hAnsi="Times New Roman"/>
          <w:i/>
          <w:iCs/>
          <w:sz w:val="24"/>
          <w:szCs w:val="24"/>
        </w:rPr>
        <w:t xml:space="preserve"> </w:t>
      </w:r>
      <w:r w:rsidRPr="006C3830">
        <w:rPr>
          <w:rFonts w:ascii="Times New Roman" w:hAnsi="Times New Roman"/>
          <w:sz w:val="24"/>
          <w:szCs w:val="24"/>
        </w:rPr>
        <w:t>Ministero delle imprese e del made in Italy.</w:t>
      </w:r>
      <w:r>
        <w:rPr>
          <w:rFonts w:ascii="Times New Roman" w:hAnsi="Times New Roman"/>
          <w:sz w:val="24"/>
          <w:szCs w:val="24"/>
        </w:rPr>
        <w:t xml:space="preserve"> </w:t>
      </w:r>
    </w:p>
    <w:p w14:paraId="05264D6A" w14:textId="77777777" w:rsidR="00C95899" w:rsidRPr="00F726DB" w:rsidRDefault="00C95899" w:rsidP="00C95899">
      <w:pPr>
        <w:suppressAutoHyphens w:val="0"/>
        <w:spacing w:line="256" w:lineRule="auto"/>
        <w:jc w:val="both"/>
        <w:rPr>
          <w:rFonts w:ascii="Times New Roman" w:hAnsi="Times New Roman"/>
          <w:sz w:val="24"/>
          <w:szCs w:val="24"/>
        </w:rPr>
      </w:pPr>
      <w:r>
        <w:rPr>
          <w:rFonts w:ascii="Times New Roman" w:hAnsi="Times New Roman"/>
          <w:sz w:val="24"/>
          <w:szCs w:val="24"/>
        </w:rPr>
        <w:t>7</w:t>
      </w:r>
      <w:r w:rsidRPr="00F726DB">
        <w:rPr>
          <w:rFonts w:ascii="Times New Roman" w:hAnsi="Times New Roman"/>
          <w:sz w:val="24"/>
          <w:szCs w:val="24"/>
        </w:rPr>
        <w:t xml:space="preserve">. La fondazione </w:t>
      </w:r>
      <w:r w:rsidRPr="00F726DB">
        <w:rPr>
          <w:rFonts w:ascii="Times New Roman" w:hAnsi="Times New Roman"/>
          <w:i/>
          <w:iCs/>
          <w:sz w:val="24"/>
          <w:szCs w:val="24"/>
        </w:rPr>
        <w:t>Tech e Biomedical</w:t>
      </w:r>
      <w:r w:rsidRPr="00F726DB">
        <w:rPr>
          <w:rFonts w:ascii="Times New Roman" w:hAnsi="Times New Roman"/>
          <w:sz w:val="24"/>
          <w:szCs w:val="24"/>
        </w:rPr>
        <w:t xml:space="preserve"> verifica i risultati annuali concernenti i progetti di pertinenza e gli obiettivi di </w:t>
      </w:r>
      <w:r w:rsidRPr="00F726DB">
        <w:rPr>
          <w:rFonts w:ascii="Times New Roman" w:hAnsi="Times New Roman"/>
          <w:i/>
          <w:iCs/>
          <w:sz w:val="24"/>
          <w:szCs w:val="24"/>
        </w:rPr>
        <w:t xml:space="preserve">performance </w:t>
      </w:r>
      <w:r w:rsidRPr="00F726DB">
        <w:rPr>
          <w:rFonts w:ascii="Times New Roman" w:hAnsi="Times New Roman"/>
          <w:sz w:val="24"/>
          <w:szCs w:val="24"/>
        </w:rPr>
        <w:t xml:space="preserve">conseguiti dai singoli soggetti in relazione alla gestione del </w:t>
      </w:r>
      <w:r w:rsidRPr="00F726DB">
        <w:rPr>
          <w:rFonts w:ascii="Times New Roman" w:hAnsi="Times New Roman"/>
          <w:i/>
          <w:iCs/>
          <w:sz w:val="24"/>
          <w:szCs w:val="24"/>
        </w:rPr>
        <w:t>budget</w:t>
      </w:r>
      <w:r w:rsidRPr="00F726DB">
        <w:rPr>
          <w:rFonts w:ascii="Times New Roman" w:hAnsi="Times New Roman"/>
          <w:sz w:val="24"/>
          <w:szCs w:val="24"/>
        </w:rPr>
        <w:t xml:space="preserve"> assegnato e ne tiene conto, ove possibile, secondo criteri basati sulla qualità della ricerca, sui risultati del trasferimento tecnologico, sul numero di </w:t>
      </w:r>
      <w:r w:rsidRPr="00F726DB">
        <w:rPr>
          <w:rFonts w:ascii="Times New Roman" w:hAnsi="Times New Roman"/>
          <w:i/>
          <w:iCs/>
          <w:sz w:val="24"/>
          <w:szCs w:val="24"/>
        </w:rPr>
        <w:t>spin off</w:t>
      </w:r>
      <w:r w:rsidRPr="00F726DB">
        <w:rPr>
          <w:rFonts w:ascii="Times New Roman" w:hAnsi="Times New Roman"/>
          <w:sz w:val="24"/>
          <w:szCs w:val="24"/>
        </w:rPr>
        <w:t xml:space="preserve"> generati e secondo criteri di managerialità e premialità, nella ripartizione del </w:t>
      </w:r>
      <w:r w:rsidRPr="00F726DB">
        <w:rPr>
          <w:rFonts w:ascii="Times New Roman" w:hAnsi="Times New Roman"/>
          <w:i/>
          <w:iCs/>
          <w:sz w:val="24"/>
          <w:szCs w:val="24"/>
        </w:rPr>
        <w:t>budget</w:t>
      </w:r>
      <w:r w:rsidRPr="00F726DB">
        <w:rPr>
          <w:rFonts w:ascii="Times New Roman" w:hAnsi="Times New Roman"/>
          <w:sz w:val="24"/>
          <w:szCs w:val="24"/>
        </w:rPr>
        <w:t xml:space="preserve"> per le annualità successive. Il </w:t>
      </w:r>
      <w:r w:rsidRPr="00677667">
        <w:rPr>
          <w:rFonts w:ascii="Times New Roman" w:hAnsi="Times New Roman"/>
          <w:i/>
          <w:iCs/>
          <w:sz w:val="24"/>
          <w:szCs w:val="24"/>
        </w:rPr>
        <w:t>report</w:t>
      </w:r>
      <w:r w:rsidRPr="00F726DB">
        <w:rPr>
          <w:rFonts w:ascii="Times New Roman" w:hAnsi="Times New Roman"/>
          <w:sz w:val="24"/>
          <w:szCs w:val="24"/>
        </w:rPr>
        <w:t xml:space="preserve"> annuale sull’attività di monitoraggio e verifica dei risultati è trasmesso al Ministero delle imprese e del made in Italy, al Ministero dell’università e della ricerca</w:t>
      </w:r>
      <w:r>
        <w:rPr>
          <w:rFonts w:ascii="Times New Roman" w:hAnsi="Times New Roman"/>
          <w:sz w:val="24"/>
          <w:szCs w:val="24"/>
        </w:rPr>
        <w:t>, al Ministero dell’economia e delle finanze</w:t>
      </w:r>
      <w:r w:rsidRPr="00F726DB">
        <w:rPr>
          <w:rFonts w:ascii="Times New Roman" w:hAnsi="Times New Roman"/>
          <w:sz w:val="24"/>
          <w:szCs w:val="24"/>
        </w:rPr>
        <w:t xml:space="preserve"> e alle altre amministrazioni interessate. </w:t>
      </w:r>
    </w:p>
    <w:p w14:paraId="29749701" w14:textId="41368B3C" w:rsidR="00C95899" w:rsidRPr="00F726DB" w:rsidRDefault="00C95899" w:rsidP="00C95899">
      <w:pPr>
        <w:suppressAutoHyphens w:val="0"/>
        <w:spacing w:line="256" w:lineRule="auto"/>
        <w:jc w:val="both"/>
        <w:rPr>
          <w:rFonts w:ascii="Times New Roman" w:hAnsi="Times New Roman"/>
          <w:sz w:val="24"/>
          <w:szCs w:val="24"/>
        </w:rPr>
      </w:pPr>
      <w:r>
        <w:rPr>
          <w:rFonts w:ascii="Times New Roman" w:hAnsi="Times New Roman"/>
          <w:sz w:val="24"/>
          <w:szCs w:val="24"/>
        </w:rPr>
        <w:t>8</w:t>
      </w:r>
      <w:r w:rsidRPr="00F726DB">
        <w:rPr>
          <w:rFonts w:ascii="Times New Roman" w:hAnsi="Times New Roman"/>
          <w:sz w:val="24"/>
          <w:szCs w:val="24"/>
        </w:rPr>
        <w:t>. A decorrere dalla data di entrata in vigore della presente legge, in ragione dei mutati compiti di cui ai commi 3,  5</w:t>
      </w:r>
      <w:r>
        <w:rPr>
          <w:rFonts w:ascii="Times New Roman" w:hAnsi="Times New Roman"/>
          <w:sz w:val="24"/>
          <w:szCs w:val="24"/>
        </w:rPr>
        <w:t>, 6</w:t>
      </w:r>
      <w:r w:rsidRPr="00F726DB">
        <w:rPr>
          <w:rFonts w:ascii="Times New Roman" w:hAnsi="Times New Roman"/>
          <w:sz w:val="24"/>
          <w:szCs w:val="24"/>
        </w:rPr>
        <w:t xml:space="preserve"> e </w:t>
      </w:r>
      <w:r>
        <w:rPr>
          <w:rFonts w:ascii="Times New Roman" w:hAnsi="Times New Roman"/>
          <w:sz w:val="24"/>
          <w:szCs w:val="24"/>
        </w:rPr>
        <w:t>7</w:t>
      </w:r>
      <w:r w:rsidRPr="00F726DB">
        <w:rPr>
          <w:rFonts w:ascii="Times New Roman" w:hAnsi="Times New Roman"/>
          <w:sz w:val="24"/>
          <w:szCs w:val="24"/>
        </w:rPr>
        <w:t xml:space="preserve">, la fondazione “Enea </w:t>
      </w:r>
      <w:r w:rsidRPr="00F726DB">
        <w:rPr>
          <w:rFonts w:ascii="Times New Roman" w:hAnsi="Times New Roman"/>
          <w:i/>
          <w:iCs/>
          <w:sz w:val="24"/>
          <w:szCs w:val="24"/>
        </w:rPr>
        <w:t xml:space="preserve">Tech </w:t>
      </w:r>
      <w:r w:rsidRPr="00F726DB">
        <w:rPr>
          <w:rFonts w:ascii="Times New Roman" w:hAnsi="Times New Roman"/>
          <w:sz w:val="24"/>
          <w:szCs w:val="24"/>
        </w:rPr>
        <w:t>e</w:t>
      </w:r>
      <w:r w:rsidRPr="00F726DB">
        <w:rPr>
          <w:rFonts w:ascii="Times New Roman" w:hAnsi="Times New Roman"/>
          <w:i/>
          <w:iCs/>
          <w:sz w:val="24"/>
          <w:szCs w:val="24"/>
        </w:rPr>
        <w:t xml:space="preserve"> Biomedical</w:t>
      </w:r>
      <w:r w:rsidRPr="00F726DB">
        <w:rPr>
          <w:rFonts w:ascii="Times New Roman" w:hAnsi="Times New Roman"/>
          <w:sz w:val="24"/>
          <w:szCs w:val="24"/>
        </w:rPr>
        <w:t>” assume la nuova denominazione di fondazione «</w:t>
      </w:r>
      <w:r w:rsidRPr="00F726DB">
        <w:rPr>
          <w:rFonts w:ascii="Times New Roman" w:hAnsi="Times New Roman"/>
          <w:i/>
          <w:iCs/>
          <w:sz w:val="24"/>
          <w:szCs w:val="24"/>
        </w:rPr>
        <w:t>Tech e Biomedical</w:t>
      </w:r>
      <w:r w:rsidRPr="00F726DB">
        <w:rPr>
          <w:rFonts w:ascii="Times New Roman" w:hAnsi="Times New Roman"/>
          <w:sz w:val="24"/>
          <w:szCs w:val="24"/>
        </w:rPr>
        <w:t xml:space="preserve">» e, conseguentemente, ogni richiamo alla fondazione Enea </w:t>
      </w:r>
      <w:r w:rsidRPr="00F726DB">
        <w:rPr>
          <w:rFonts w:ascii="Times New Roman" w:hAnsi="Times New Roman"/>
          <w:i/>
          <w:iCs/>
          <w:sz w:val="24"/>
          <w:szCs w:val="24"/>
        </w:rPr>
        <w:t xml:space="preserve">Tech </w:t>
      </w:r>
      <w:r w:rsidRPr="00F726DB">
        <w:rPr>
          <w:rFonts w:ascii="Times New Roman" w:hAnsi="Times New Roman"/>
          <w:sz w:val="24"/>
          <w:szCs w:val="24"/>
        </w:rPr>
        <w:t>e</w:t>
      </w:r>
      <w:r w:rsidRPr="00F726DB">
        <w:rPr>
          <w:rFonts w:ascii="Times New Roman" w:hAnsi="Times New Roman"/>
          <w:i/>
          <w:iCs/>
          <w:sz w:val="24"/>
          <w:szCs w:val="24"/>
        </w:rPr>
        <w:t xml:space="preserve"> Biomedical</w:t>
      </w:r>
      <w:r w:rsidRPr="00F726DB">
        <w:rPr>
          <w:rFonts w:ascii="Times New Roman" w:hAnsi="Times New Roman"/>
          <w:sz w:val="24"/>
          <w:szCs w:val="24"/>
        </w:rPr>
        <w:t xml:space="preserve"> contenuto in disposizioni normative vigenti deve intendersi riferito alla fondazione «</w:t>
      </w:r>
      <w:r w:rsidRPr="00F726DB">
        <w:rPr>
          <w:rFonts w:ascii="Times New Roman" w:hAnsi="Times New Roman"/>
          <w:i/>
          <w:iCs/>
          <w:sz w:val="24"/>
          <w:szCs w:val="24"/>
        </w:rPr>
        <w:t>Tech</w:t>
      </w:r>
      <w:r w:rsidRPr="00F726DB">
        <w:rPr>
          <w:rFonts w:ascii="Times New Roman" w:hAnsi="Times New Roman"/>
          <w:sz w:val="24"/>
          <w:szCs w:val="24"/>
        </w:rPr>
        <w:t xml:space="preserve"> e </w:t>
      </w:r>
      <w:r w:rsidRPr="00F726DB">
        <w:rPr>
          <w:rFonts w:ascii="Times New Roman" w:hAnsi="Times New Roman"/>
          <w:i/>
          <w:iCs/>
          <w:sz w:val="24"/>
          <w:szCs w:val="24"/>
        </w:rPr>
        <w:t>Biomedical</w:t>
      </w:r>
      <w:r w:rsidRPr="00F726DB">
        <w:rPr>
          <w:rFonts w:ascii="Times New Roman" w:hAnsi="Times New Roman"/>
          <w:sz w:val="24"/>
          <w:szCs w:val="24"/>
        </w:rPr>
        <w:t xml:space="preserve">». </w:t>
      </w:r>
      <w:r w:rsidR="00F07906">
        <w:rPr>
          <w:rFonts w:ascii="Times New Roman" w:hAnsi="Times New Roman"/>
          <w:sz w:val="24"/>
          <w:szCs w:val="24"/>
        </w:rPr>
        <w:t>L</w:t>
      </w:r>
      <w:r>
        <w:rPr>
          <w:rFonts w:ascii="Times New Roman" w:hAnsi="Times New Roman"/>
          <w:sz w:val="24"/>
          <w:szCs w:val="24"/>
        </w:rPr>
        <w:t xml:space="preserve">a composizione degli </w:t>
      </w:r>
      <w:r w:rsidRPr="00F726DB">
        <w:rPr>
          <w:rFonts w:ascii="Times New Roman" w:hAnsi="Times New Roman"/>
          <w:sz w:val="24"/>
          <w:szCs w:val="24"/>
        </w:rPr>
        <w:t xml:space="preserve">organi di governo </w:t>
      </w:r>
      <w:r>
        <w:rPr>
          <w:rFonts w:ascii="Times New Roman" w:hAnsi="Times New Roman"/>
          <w:sz w:val="24"/>
          <w:szCs w:val="24"/>
        </w:rPr>
        <w:t>è così modificata</w:t>
      </w:r>
      <w:r w:rsidRPr="00F726DB">
        <w:rPr>
          <w:rFonts w:ascii="Times New Roman" w:hAnsi="Times New Roman"/>
          <w:sz w:val="24"/>
          <w:szCs w:val="24"/>
        </w:rPr>
        <w:t xml:space="preserve">:   </w:t>
      </w:r>
    </w:p>
    <w:p w14:paraId="78D1BD61" w14:textId="77777777" w:rsidR="00C95899" w:rsidRPr="00F726DB" w:rsidRDefault="00C95899" w:rsidP="00C95899">
      <w:pPr>
        <w:jc w:val="both"/>
        <w:rPr>
          <w:rFonts w:ascii="Times New Roman" w:hAnsi="Times New Roman"/>
          <w:sz w:val="24"/>
          <w:szCs w:val="24"/>
        </w:rPr>
      </w:pPr>
      <w:r w:rsidRPr="00F726DB">
        <w:rPr>
          <w:rFonts w:ascii="Times New Roman" w:hAnsi="Times New Roman"/>
          <w:i/>
          <w:iCs/>
          <w:sz w:val="24"/>
          <w:szCs w:val="24"/>
        </w:rPr>
        <w:t>a)</w:t>
      </w:r>
      <w:r w:rsidRPr="00F726DB">
        <w:rPr>
          <w:rFonts w:ascii="Times New Roman" w:hAnsi="Times New Roman"/>
          <w:sz w:val="24"/>
          <w:szCs w:val="24"/>
        </w:rPr>
        <w:t xml:space="preserve"> il presidente, che presiede il consiglio direttivo e ha la rappresentanza legale dell’ente, designato dal Ministro delle imprese e del made in Italy d’intesa con il Ministro della salute e con il Ministro dell’università e della ricerca;</w:t>
      </w:r>
    </w:p>
    <w:p w14:paraId="215B1F09" w14:textId="77777777" w:rsidR="00C95899" w:rsidRPr="00F726DB" w:rsidRDefault="00C95899" w:rsidP="00C95899">
      <w:pPr>
        <w:jc w:val="both"/>
        <w:rPr>
          <w:rFonts w:ascii="Times New Roman" w:hAnsi="Times New Roman"/>
          <w:sz w:val="24"/>
          <w:szCs w:val="24"/>
        </w:rPr>
      </w:pPr>
      <w:r w:rsidRPr="00F726DB">
        <w:rPr>
          <w:rFonts w:ascii="Times New Roman" w:hAnsi="Times New Roman"/>
          <w:i/>
          <w:iCs/>
          <w:sz w:val="24"/>
          <w:szCs w:val="24"/>
        </w:rPr>
        <w:t>b)</w:t>
      </w:r>
      <w:r w:rsidRPr="00F726DB">
        <w:rPr>
          <w:rFonts w:ascii="Times New Roman" w:hAnsi="Times New Roman"/>
          <w:sz w:val="24"/>
          <w:szCs w:val="24"/>
        </w:rPr>
        <w:t xml:space="preserve"> il consiglio direttivo, formato dal presidente, nominato ai sensi della lettera </w:t>
      </w:r>
      <w:r w:rsidRPr="00F726DB">
        <w:rPr>
          <w:rFonts w:ascii="Times New Roman" w:hAnsi="Times New Roman"/>
          <w:i/>
          <w:iCs/>
          <w:sz w:val="24"/>
          <w:szCs w:val="24"/>
        </w:rPr>
        <w:t>a)</w:t>
      </w:r>
      <w:r w:rsidRPr="00F726DB">
        <w:rPr>
          <w:rFonts w:ascii="Times New Roman" w:hAnsi="Times New Roman"/>
          <w:sz w:val="24"/>
          <w:szCs w:val="24"/>
        </w:rPr>
        <w:t>, e da tre membri, uno dei quali nominati su proposta del Ministro delle imprese e del made in Italy, uno nominato su proposta del Ministro della salute e uno nominato su proposta del Ministro dell’università e della ricerca. In caso di parità di voti prevale il voto del presidente. Il presidente e i membri del consiglio direttivo sono scelti tra soggetti dotati di requisiti di onorabilità e indipendenza nonché di specifica competenza professionale in campo economico, medico-scientifico e istituzionale;</w:t>
      </w:r>
    </w:p>
    <w:p w14:paraId="3FC26C38" w14:textId="77777777" w:rsidR="00C95899" w:rsidRPr="00F726DB" w:rsidRDefault="00C95899" w:rsidP="00C95899">
      <w:pPr>
        <w:jc w:val="both"/>
        <w:rPr>
          <w:rFonts w:ascii="Times New Roman" w:hAnsi="Times New Roman"/>
          <w:sz w:val="24"/>
          <w:szCs w:val="24"/>
        </w:rPr>
      </w:pPr>
      <w:r w:rsidRPr="00F726DB">
        <w:rPr>
          <w:rFonts w:ascii="Times New Roman" w:hAnsi="Times New Roman"/>
          <w:i/>
          <w:iCs/>
          <w:sz w:val="24"/>
          <w:szCs w:val="24"/>
        </w:rPr>
        <w:t>c)</w:t>
      </w:r>
      <w:r w:rsidRPr="00F726DB">
        <w:rPr>
          <w:rFonts w:ascii="Times New Roman" w:hAnsi="Times New Roman"/>
          <w:sz w:val="24"/>
          <w:szCs w:val="24"/>
        </w:rPr>
        <w:t xml:space="preserve"> il collegio dei revisori dei conti, composto da tre membri effettivi e da tre supplenti nominati, rispettivamente, dal Ministro dell’economia e delle finanze, con funzioni di presidente, dal Ministro delle imprese e del made in Italy e dal Ministro della salute. Con le medesime modalità sono nominati i membri supplenti. </w:t>
      </w:r>
    </w:p>
    <w:p w14:paraId="20BE72EB" w14:textId="77777777" w:rsidR="00C95899" w:rsidRPr="00F726DB" w:rsidRDefault="00C95899" w:rsidP="00C95899">
      <w:pPr>
        <w:jc w:val="both"/>
        <w:rPr>
          <w:rFonts w:ascii="Times New Roman" w:hAnsi="Times New Roman"/>
          <w:sz w:val="24"/>
          <w:szCs w:val="24"/>
        </w:rPr>
      </w:pPr>
      <w:r>
        <w:rPr>
          <w:rFonts w:ascii="Times New Roman" w:hAnsi="Times New Roman"/>
          <w:sz w:val="24"/>
          <w:szCs w:val="24"/>
        </w:rPr>
        <w:t>9</w:t>
      </w:r>
      <w:r w:rsidRPr="00F726DB">
        <w:rPr>
          <w:rFonts w:ascii="Times New Roman" w:hAnsi="Times New Roman"/>
          <w:sz w:val="24"/>
          <w:szCs w:val="24"/>
        </w:rPr>
        <w:t>. Lo statuto prevede la costituzione di strutture dedicate per la realizzazione dei programmi di cui al presente articolo.</w:t>
      </w:r>
    </w:p>
    <w:p w14:paraId="454B5B4A" w14:textId="77777777" w:rsidR="00C95899" w:rsidRPr="00F726DB" w:rsidRDefault="00C95899" w:rsidP="00C95899">
      <w:pPr>
        <w:jc w:val="both"/>
        <w:rPr>
          <w:rFonts w:ascii="Times New Roman" w:hAnsi="Times New Roman"/>
          <w:sz w:val="24"/>
          <w:szCs w:val="24"/>
        </w:rPr>
      </w:pPr>
      <w:r>
        <w:rPr>
          <w:rFonts w:ascii="Times New Roman" w:hAnsi="Times New Roman"/>
          <w:sz w:val="24"/>
          <w:szCs w:val="24"/>
        </w:rPr>
        <w:t>10</w:t>
      </w:r>
      <w:r w:rsidRPr="00F726DB">
        <w:rPr>
          <w:rFonts w:ascii="Times New Roman" w:hAnsi="Times New Roman"/>
          <w:sz w:val="24"/>
          <w:szCs w:val="24"/>
        </w:rPr>
        <w:t xml:space="preserve"> Alle nomine dei componenti degli organi di cui al comma </w:t>
      </w:r>
      <w:r>
        <w:rPr>
          <w:rFonts w:ascii="Times New Roman" w:hAnsi="Times New Roman"/>
          <w:sz w:val="24"/>
          <w:szCs w:val="24"/>
        </w:rPr>
        <w:t>8</w:t>
      </w:r>
      <w:r w:rsidRPr="00F726DB">
        <w:rPr>
          <w:rFonts w:ascii="Times New Roman" w:hAnsi="Times New Roman"/>
          <w:sz w:val="24"/>
          <w:szCs w:val="24"/>
        </w:rPr>
        <w:t xml:space="preserve"> si procede con decreto del Presidente del Consiglio dei ministri. Gli organi della fondazione Enea </w:t>
      </w:r>
      <w:r w:rsidRPr="00F726DB">
        <w:rPr>
          <w:rFonts w:ascii="Times New Roman" w:hAnsi="Times New Roman"/>
          <w:i/>
          <w:iCs/>
          <w:sz w:val="24"/>
          <w:szCs w:val="24"/>
        </w:rPr>
        <w:t xml:space="preserve">Tech e Biomedical </w:t>
      </w:r>
      <w:r w:rsidRPr="00F726DB">
        <w:rPr>
          <w:rFonts w:ascii="Times New Roman" w:hAnsi="Times New Roman"/>
          <w:sz w:val="24"/>
          <w:szCs w:val="24"/>
        </w:rPr>
        <w:t xml:space="preserve">nominati prima della data di entrata in vigore della presente legge decadono e restano in carica, per i soli atti di ordinaria amministrazione, fino alla nomina dei nuovi organi. </w:t>
      </w:r>
    </w:p>
    <w:p w14:paraId="76FA0F61" w14:textId="77777777" w:rsidR="00C95899" w:rsidRDefault="00C95899" w:rsidP="00C95899">
      <w:pPr>
        <w:jc w:val="both"/>
        <w:rPr>
          <w:rFonts w:ascii="Times New Roman" w:hAnsi="Times New Roman"/>
          <w:sz w:val="24"/>
          <w:szCs w:val="24"/>
        </w:rPr>
      </w:pPr>
      <w:r w:rsidRPr="00F726DB">
        <w:rPr>
          <w:rFonts w:ascii="Times New Roman" w:hAnsi="Times New Roman"/>
          <w:sz w:val="24"/>
          <w:szCs w:val="24"/>
        </w:rPr>
        <w:t>1</w:t>
      </w:r>
      <w:r>
        <w:rPr>
          <w:rFonts w:ascii="Times New Roman" w:hAnsi="Times New Roman"/>
          <w:sz w:val="24"/>
          <w:szCs w:val="24"/>
        </w:rPr>
        <w:t>1</w:t>
      </w:r>
      <w:r w:rsidRPr="00F726DB">
        <w:rPr>
          <w:rFonts w:ascii="Times New Roman" w:hAnsi="Times New Roman"/>
          <w:sz w:val="24"/>
          <w:szCs w:val="24"/>
        </w:rPr>
        <w:t>. All’articolo 42 del decreto-legge 19 maggio 2020, n. 34, convertito, con modificazioni, dalla legge 17 luglio 2020, n.77, il comma 4 è abrogato.</w:t>
      </w:r>
    </w:p>
    <w:p w14:paraId="0AF61F42" w14:textId="1F79F93D" w:rsidR="001863B6" w:rsidRPr="00F726DB" w:rsidRDefault="001863B6" w:rsidP="001863B6">
      <w:pPr>
        <w:jc w:val="both"/>
        <w:rPr>
          <w:rFonts w:ascii="Times New Roman" w:hAnsi="Times New Roman"/>
          <w:sz w:val="24"/>
          <w:szCs w:val="24"/>
        </w:rPr>
      </w:pPr>
    </w:p>
    <w:p w14:paraId="42A5AB8E" w14:textId="7CC3C985" w:rsidR="009039F8" w:rsidRPr="00BD2EDB" w:rsidRDefault="009039F8" w:rsidP="00724C56">
      <w:pPr>
        <w:spacing w:before="88" w:after="0" w:line="240" w:lineRule="auto"/>
        <w:ind w:left="3226" w:right="3122"/>
        <w:jc w:val="center"/>
        <w:rPr>
          <w:rFonts w:ascii="Times New Roman" w:hAnsi="Times New Roman"/>
          <w:b/>
          <w:bCs/>
          <w:sz w:val="24"/>
          <w:szCs w:val="24"/>
        </w:rPr>
      </w:pPr>
      <w:r w:rsidRPr="00BD2EDB">
        <w:rPr>
          <w:rFonts w:ascii="Times New Roman" w:hAnsi="Times New Roman"/>
          <w:b/>
          <w:bCs/>
          <w:sz w:val="24"/>
          <w:szCs w:val="24"/>
        </w:rPr>
        <w:t xml:space="preserve">Art. </w:t>
      </w:r>
      <w:r w:rsidR="00D7008B">
        <w:rPr>
          <w:rFonts w:ascii="Times New Roman" w:hAnsi="Times New Roman"/>
          <w:b/>
          <w:bCs/>
          <w:sz w:val="24"/>
          <w:szCs w:val="24"/>
        </w:rPr>
        <w:t>9</w:t>
      </w:r>
    </w:p>
    <w:p w14:paraId="2EC6E6AA" w14:textId="014DC4F8" w:rsidR="009039F8" w:rsidRPr="00BD2EDB" w:rsidRDefault="002E6DF7" w:rsidP="0003660E">
      <w:pPr>
        <w:spacing w:before="88" w:after="0" w:line="240" w:lineRule="auto"/>
        <w:ind w:left="1416" w:right="566" w:firstLine="708"/>
        <w:rPr>
          <w:rFonts w:ascii="Times New Roman" w:hAnsi="Times New Roman"/>
          <w:b/>
          <w:bCs/>
          <w:i/>
          <w:iCs/>
          <w:sz w:val="24"/>
          <w:szCs w:val="24"/>
        </w:rPr>
      </w:pPr>
      <w:r w:rsidRPr="00BD2EDB">
        <w:rPr>
          <w:rFonts w:ascii="Times New Roman" w:hAnsi="Times New Roman"/>
          <w:b/>
          <w:bCs/>
          <w:i/>
          <w:iCs/>
          <w:sz w:val="24"/>
          <w:szCs w:val="24"/>
        </w:rPr>
        <w:t>(</w:t>
      </w:r>
      <w:r w:rsidR="00B52231" w:rsidRPr="00BD2EDB">
        <w:rPr>
          <w:rFonts w:ascii="Times New Roman" w:hAnsi="Times New Roman"/>
          <w:b/>
          <w:bCs/>
          <w:i/>
          <w:iCs/>
          <w:sz w:val="24"/>
          <w:szCs w:val="24"/>
        </w:rPr>
        <w:t>Misure in materia di s</w:t>
      </w:r>
      <w:r w:rsidR="009039F8" w:rsidRPr="00BD2EDB">
        <w:rPr>
          <w:rFonts w:ascii="Times New Roman" w:hAnsi="Times New Roman"/>
          <w:b/>
          <w:bCs/>
          <w:i/>
          <w:iCs/>
          <w:sz w:val="24"/>
          <w:szCs w:val="24"/>
        </w:rPr>
        <w:t>ocietà tra</w:t>
      </w:r>
      <w:r w:rsidR="0003660E">
        <w:rPr>
          <w:rFonts w:ascii="Times New Roman" w:hAnsi="Times New Roman"/>
          <w:b/>
          <w:bCs/>
          <w:i/>
          <w:iCs/>
          <w:sz w:val="24"/>
          <w:szCs w:val="24"/>
        </w:rPr>
        <w:t xml:space="preserve"> </w:t>
      </w:r>
      <w:r w:rsidR="009039F8" w:rsidRPr="00BD2EDB">
        <w:rPr>
          <w:rFonts w:ascii="Times New Roman" w:hAnsi="Times New Roman"/>
          <w:b/>
          <w:bCs/>
          <w:i/>
          <w:iCs/>
          <w:sz w:val="24"/>
          <w:szCs w:val="24"/>
        </w:rPr>
        <w:t>professionisti</w:t>
      </w:r>
      <w:r w:rsidRPr="00BD2EDB">
        <w:rPr>
          <w:rFonts w:ascii="Times New Roman" w:hAnsi="Times New Roman"/>
          <w:b/>
          <w:bCs/>
          <w:i/>
          <w:iCs/>
          <w:sz w:val="24"/>
          <w:szCs w:val="24"/>
        </w:rPr>
        <w:t>)</w:t>
      </w:r>
    </w:p>
    <w:p w14:paraId="1F8BD443" w14:textId="77777777" w:rsidR="009039F8" w:rsidRPr="00BD2EDB" w:rsidRDefault="009039F8" w:rsidP="00724C56">
      <w:pPr>
        <w:spacing w:before="2" w:after="0" w:line="240" w:lineRule="auto"/>
        <w:jc w:val="center"/>
        <w:rPr>
          <w:rFonts w:ascii="Times New Roman" w:hAnsi="Times New Roman"/>
          <w:sz w:val="24"/>
          <w:szCs w:val="24"/>
        </w:rPr>
      </w:pPr>
    </w:p>
    <w:p w14:paraId="312B7987" w14:textId="2FCF9E69" w:rsidR="00CC0DFF" w:rsidRPr="00197499" w:rsidRDefault="00B52231" w:rsidP="00197499">
      <w:pPr>
        <w:spacing w:after="0" w:line="240" w:lineRule="auto"/>
        <w:ind w:right="53"/>
        <w:jc w:val="both"/>
        <w:rPr>
          <w:rFonts w:ascii="Times New Roman" w:hAnsi="Times New Roman"/>
          <w:sz w:val="24"/>
          <w:szCs w:val="24"/>
        </w:rPr>
      </w:pPr>
      <w:r w:rsidRPr="00197499">
        <w:rPr>
          <w:rFonts w:ascii="Times New Roman" w:hAnsi="Times New Roman"/>
          <w:sz w:val="24"/>
          <w:szCs w:val="24"/>
        </w:rPr>
        <w:t xml:space="preserve">All’articolo 10, </w:t>
      </w:r>
      <w:r w:rsidR="009039F8" w:rsidRPr="00197499">
        <w:rPr>
          <w:rFonts w:ascii="Times New Roman" w:hAnsi="Times New Roman"/>
          <w:sz w:val="24"/>
          <w:szCs w:val="24"/>
        </w:rPr>
        <w:t xml:space="preserve">comma </w:t>
      </w:r>
      <w:r w:rsidRPr="00197499">
        <w:rPr>
          <w:rFonts w:ascii="Times New Roman" w:hAnsi="Times New Roman"/>
          <w:sz w:val="24"/>
          <w:szCs w:val="24"/>
        </w:rPr>
        <w:t xml:space="preserve">4, lettera </w:t>
      </w:r>
      <w:r w:rsidRPr="00197499">
        <w:rPr>
          <w:rFonts w:ascii="Times New Roman" w:hAnsi="Times New Roman"/>
          <w:i/>
          <w:iCs/>
          <w:sz w:val="24"/>
          <w:szCs w:val="24"/>
        </w:rPr>
        <w:t>b)</w:t>
      </w:r>
      <w:r w:rsidRPr="00197499">
        <w:rPr>
          <w:rFonts w:ascii="Times New Roman" w:hAnsi="Times New Roman"/>
          <w:sz w:val="24"/>
          <w:szCs w:val="24"/>
        </w:rPr>
        <w:t>, della legge</w:t>
      </w:r>
      <w:r w:rsidR="009039F8" w:rsidRPr="00197499">
        <w:rPr>
          <w:rFonts w:ascii="Times New Roman" w:hAnsi="Times New Roman"/>
          <w:sz w:val="24"/>
          <w:szCs w:val="24"/>
        </w:rPr>
        <w:t xml:space="preserve"> 12 </w:t>
      </w:r>
      <w:r w:rsidR="00FE7808" w:rsidRPr="00197499">
        <w:rPr>
          <w:rFonts w:ascii="Times New Roman" w:hAnsi="Times New Roman"/>
          <w:sz w:val="24"/>
          <w:szCs w:val="24"/>
        </w:rPr>
        <w:t xml:space="preserve">novembre 2011, n. </w:t>
      </w:r>
      <w:r w:rsidR="009039F8" w:rsidRPr="00197499">
        <w:rPr>
          <w:rFonts w:ascii="Times New Roman" w:hAnsi="Times New Roman"/>
          <w:sz w:val="24"/>
          <w:szCs w:val="24"/>
        </w:rPr>
        <w:t>183</w:t>
      </w:r>
      <w:r w:rsidRPr="00197499">
        <w:rPr>
          <w:rFonts w:ascii="Times New Roman" w:hAnsi="Times New Roman"/>
          <w:sz w:val="24"/>
          <w:szCs w:val="24"/>
        </w:rPr>
        <w:t xml:space="preserve">, </w:t>
      </w:r>
      <w:r w:rsidR="002E6DF7" w:rsidRPr="00197499">
        <w:rPr>
          <w:rFonts w:ascii="Times New Roman" w:hAnsi="Times New Roman"/>
          <w:sz w:val="24"/>
          <w:szCs w:val="24"/>
        </w:rPr>
        <w:t>il secondo</w:t>
      </w:r>
      <w:r w:rsidRPr="00197499">
        <w:rPr>
          <w:rFonts w:ascii="Times New Roman" w:hAnsi="Times New Roman"/>
          <w:sz w:val="24"/>
          <w:szCs w:val="24"/>
        </w:rPr>
        <w:t xml:space="preserve"> </w:t>
      </w:r>
      <w:r w:rsidR="005815D9" w:rsidRPr="00197499">
        <w:rPr>
          <w:rFonts w:ascii="Times New Roman" w:hAnsi="Times New Roman"/>
          <w:sz w:val="24"/>
          <w:szCs w:val="24"/>
        </w:rPr>
        <w:t>periodo è</w:t>
      </w:r>
      <w:r w:rsidR="009039F8" w:rsidRPr="00197499">
        <w:rPr>
          <w:rFonts w:ascii="Times New Roman" w:hAnsi="Times New Roman"/>
          <w:sz w:val="24"/>
          <w:szCs w:val="24"/>
        </w:rPr>
        <w:t xml:space="preserve"> sostituito da</w:t>
      </w:r>
      <w:r w:rsidR="00AA3270" w:rsidRPr="00197499">
        <w:rPr>
          <w:rFonts w:ascii="Times New Roman" w:hAnsi="Times New Roman"/>
          <w:sz w:val="24"/>
          <w:szCs w:val="24"/>
        </w:rPr>
        <w:t xml:space="preserve">i </w:t>
      </w:r>
      <w:r w:rsidR="009039F8" w:rsidRPr="00197499">
        <w:rPr>
          <w:rFonts w:ascii="Times New Roman" w:hAnsi="Times New Roman"/>
          <w:sz w:val="24"/>
          <w:szCs w:val="24"/>
        </w:rPr>
        <w:t>seguent</w:t>
      </w:r>
      <w:r w:rsidR="00AA3270" w:rsidRPr="00197499">
        <w:rPr>
          <w:rFonts w:ascii="Times New Roman" w:hAnsi="Times New Roman"/>
          <w:sz w:val="24"/>
          <w:szCs w:val="24"/>
        </w:rPr>
        <w:t>i</w:t>
      </w:r>
      <w:r w:rsidR="009039F8" w:rsidRPr="00197499">
        <w:rPr>
          <w:rFonts w:ascii="Times New Roman" w:hAnsi="Times New Roman"/>
          <w:sz w:val="24"/>
          <w:szCs w:val="24"/>
        </w:rPr>
        <w:t xml:space="preserve">: </w:t>
      </w:r>
      <w:r w:rsidR="005815D9" w:rsidRPr="00197499">
        <w:rPr>
          <w:rFonts w:ascii="Times New Roman" w:hAnsi="Times New Roman"/>
          <w:sz w:val="24"/>
          <w:szCs w:val="24"/>
        </w:rPr>
        <w:t>«</w:t>
      </w:r>
      <w:r w:rsidR="00197499" w:rsidRPr="00197499">
        <w:rPr>
          <w:rFonts w:ascii="Times New Roman" w:hAnsi="Times New Roman"/>
          <w:sz w:val="24"/>
          <w:szCs w:val="24"/>
        </w:rPr>
        <w:t>In ogni</w:t>
      </w:r>
      <w:r w:rsidR="001814B0">
        <w:rPr>
          <w:rFonts w:ascii="Times New Roman" w:hAnsi="Times New Roman"/>
          <w:sz w:val="24"/>
          <w:szCs w:val="24"/>
        </w:rPr>
        <w:t xml:space="preserve"> </w:t>
      </w:r>
      <w:r w:rsidR="00197499" w:rsidRPr="00197499">
        <w:rPr>
          <w:rFonts w:ascii="Times New Roman" w:hAnsi="Times New Roman"/>
          <w:sz w:val="24"/>
          <w:szCs w:val="24"/>
        </w:rPr>
        <w:t>caso</w:t>
      </w:r>
      <w:r w:rsidR="001814B0">
        <w:rPr>
          <w:rFonts w:ascii="Times New Roman" w:hAnsi="Times New Roman"/>
          <w:sz w:val="24"/>
          <w:szCs w:val="24"/>
        </w:rPr>
        <w:t xml:space="preserve"> </w:t>
      </w:r>
      <w:r w:rsidR="00197499" w:rsidRPr="00197499">
        <w:rPr>
          <w:rFonts w:ascii="Times New Roman" w:hAnsi="Times New Roman"/>
          <w:sz w:val="24"/>
          <w:szCs w:val="24"/>
        </w:rPr>
        <w:t xml:space="preserve">il </w:t>
      </w:r>
      <w:bookmarkStart w:id="13" w:name="_Hlk200107087"/>
      <w:r w:rsidR="00197499" w:rsidRPr="00197499">
        <w:rPr>
          <w:rFonts w:ascii="Times New Roman" w:hAnsi="Times New Roman"/>
          <w:sz w:val="24"/>
          <w:szCs w:val="24"/>
        </w:rPr>
        <w:t>numero dei</w:t>
      </w:r>
      <w:r w:rsidR="0015598F">
        <w:rPr>
          <w:rFonts w:ascii="Times New Roman" w:hAnsi="Times New Roman"/>
          <w:sz w:val="24"/>
          <w:szCs w:val="24"/>
        </w:rPr>
        <w:t xml:space="preserve"> </w:t>
      </w:r>
      <w:r w:rsidR="00197499" w:rsidRPr="00197499">
        <w:rPr>
          <w:rFonts w:ascii="Times New Roman" w:hAnsi="Times New Roman"/>
          <w:sz w:val="24"/>
          <w:szCs w:val="24"/>
        </w:rPr>
        <w:t>soci</w:t>
      </w:r>
      <w:r w:rsidR="0015598F">
        <w:rPr>
          <w:rFonts w:ascii="Times New Roman" w:hAnsi="Times New Roman"/>
          <w:sz w:val="24"/>
          <w:szCs w:val="24"/>
        </w:rPr>
        <w:t xml:space="preserve"> </w:t>
      </w:r>
      <w:r w:rsidR="00197499" w:rsidRPr="00197499">
        <w:rPr>
          <w:rFonts w:ascii="Times New Roman" w:hAnsi="Times New Roman"/>
          <w:sz w:val="24"/>
          <w:szCs w:val="24"/>
        </w:rPr>
        <w:t xml:space="preserve">professionisti ovvero, in alternativa, la partecipazione al capitale sociale dei professionisti deve essere tale da determinare la maggioranza di due terzi nelle deliberazioni o </w:t>
      </w:r>
      <w:r w:rsidR="00021194" w:rsidRPr="00197499">
        <w:rPr>
          <w:rFonts w:ascii="Times New Roman" w:hAnsi="Times New Roman"/>
          <w:sz w:val="24"/>
          <w:szCs w:val="24"/>
        </w:rPr>
        <w:t>decisioni dei</w:t>
      </w:r>
      <w:r w:rsidR="00197499" w:rsidRPr="00197499">
        <w:rPr>
          <w:rFonts w:ascii="Times New Roman" w:hAnsi="Times New Roman"/>
          <w:sz w:val="24"/>
          <w:szCs w:val="24"/>
        </w:rPr>
        <w:t xml:space="preserve"> soci</w:t>
      </w:r>
      <w:r w:rsidR="00F84FB8">
        <w:rPr>
          <w:rFonts w:ascii="Times New Roman" w:hAnsi="Times New Roman"/>
          <w:sz w:val="24"/>
          <w:szCs w:val="24"/>
        </w:rPr>
        <w:t>,</w:t>
      </w:r>
      <w:r w:rsidR="0015598F">
        <w:rPr>
          <w:rFonts w:ascii="Times New Roman" w:hAnsi="Times New Roman"/>
          <w:sz w:val="24"/>
          <w:szCs w:val="24"/>
        </w:rPr>
        <w:t xml:space="preserve"> </w:t>
      </w:r>
      <w:bookmarkEnd w:id="13"/>
      <w:r w:rsidR="0015598F">
        <w:rPr>
          <w:rFonts w:ascii="Times New Roman" w:hAnsi="Times New Roman"/>
          <w:sz w:val="24"/>
          <w:szCs w:val="24"/>
        </w:rPr>
        <w:t xml:space="preserve">tenuto conto delle regole stabilite per il modello societario prescelto. </w:t>
      </w:r>
      <w:r w:rsidR="001814B0">
        <w:rPr>
          <w:rFonts w:ascii="Times New Roman" w:hAnsi="Times New Roman"/>
          <w:sz w:val="24"/>
          <w:szCs w:val="24"/>
        </w:rPr>
        <w:t>A tal fine n</w:t>
      </w:r>
      <w:r w:rsidR="0015598F">
        <w:rPr>
          <w:rFonts w:ascii="Times New Roman" w:hAnsi="Times New Roman"/>
          <w:sz w:val="24"/>
          <w:szCs w:val="24"/>
        </w:rPr>
        <w:t>essun rilievo hanno i patti sociali o parasociali che derogano alle regole predette. I</w:t>
      </w:r>
      <w:r w:rsidR="00197499" w:rsidRPr="00197499">
        <w:rPr>
          <w:rFonts w:ascii="Times New Roman" w:hAnsi="Times New Roman"/>
          <w:sz w:val="24"/>
          <w:szCs w:val="24"/>
        </w:rPr>
        <w:t xml:space="preserve">l venir meno della condizione costituisce causa di scioglimento della società e il </w:t>
      </w:r>
      <w:r w:rsidR="001B28F4" w:rsidRPr="00197499">
        <w:rPr>
          <w:rFonts w:ascii="Times New Roman" w:hAnsi="Times New Roman"/>
          <w:sz w:val="24"/>
          <w:szCs w:val="24"/>
        </w:rPr>
        <w:t>consiglio dell’ordine</w:t>
      </w:r>
      <w:r w:rsidR="001B28F4">
        <w:rPr>
          <w:rFonts w:ascii="Times New Roman" w:hAnsi="Times New Roman"/>
          <w:sz w:val="24"/>
          <w:szCs w:val="24"/>
        </w:rPr>
        <w:t xml:space="preserve"> </w:t>
      </w:r>
      <w:r w:rsidR="00197499" w:rsidRPr="00197499">
        <w:rPr>
          <w:rFonts w:ascii="Times New Roman" w:hAnsi="Times New Roman"/>
          <w:sz w:val="24"/>
          <w:szCs w:val="24"/>
        </w:rPr>
        <w:t xml:space="preserve">o </w:t>
      </w:r>
      <w:r w:rsidR="00021194" w:rsidRPr="00197499">
        <w:rPr>
          <w:rFonts w:ascii="Times New Roman" w:hAnsi="Times New Roman"/>
          <w:sz w:val="24"/>
          <w:szCs w:val="24"/>
        </w:rPr>
        <w:t>collegio professionale</w:t>
      </w:r>
      <w:r w:rsidR="00197499" w:rsidRPr="00197499">
        <w:rPr>
          <w:rFonts w:ascii="Times New Roman" w:hAnsi="Times New Roman"/>
          <w:sz w:val="24"/>
          <w:szCs w:val="24"/>
        </w:rPr>
        <w:t xml:space="preserve"> presso il quale è iscritta la società procede alla cancellazione della stessa dall'albo, salvo che la società non abbia provveduto a ripristinarla nel </w:t>
      </w:r>
      <w:r w:rsidR="00021194" w:rsidRPr="00197499">
        <w:rPr>
          <w:rFonts w:ascii="Times New Roman" w:hAnsi="Times New Roman"/>
          <w:sz w:val="24"/>
          <w:szCs w:val="24"/>
        </w:rPr>
        <w:t>termine perentorio di</w:t>
      </w:r>
      <w:r w:rsidR="00197499" w:rsidRPr="00197499">
        <w:rPr>
          <w:rFonts w:ascii="Times New Roman" w:hAnsi="Times New Roman"/>
          <w:sz w:val="24"/>
          <w:szCs w:val="24"/>
        </w:rPr>
        <w:t xml:space="preserve"> sei mesi. </w:t>
      </w:r>
      <w:r w:rsidR="00CC0DFF" w:rsidRPr="00197499">
        <w:rPr>
          <w:rFonts w:ascii="Times New Roman" w:hAnsi="Times New Roman"/>
          <w:sz w:val="24"/>
          <w:szCs w:val="24"/>
        </w:rPr>
        <w:t>Sono fatte salve le disposizioni speciali previste negli ordinamenti di singole professioni</w:t>
      </w:r>
      <w:r w:rsidR="002B37B6" w:rsidRPr="00197499">
        <w:rPr>
          <w:rFonts w:ascii="Times New Roman" w:hAnsi="Times New Roman"/>
          <w:sz w:val="24"/>
          <w:szCs w:val="24"/>
        </w:rPr>
        <w:t>.</w:t>
      </w:r>
      <w:r w:rsidR="00CC0DFF" w:rsidRPr="00197499">
        <w:rPr>
          <w:rFonts w:ascii="Times New Roman" w:hAnsi="Times New Roman"/>
          <w:sz w:val="24"/>
          <w:szCs w:val="24"/>
        </w:rPr>
        <w:t>»</w:t>
      </w:r>
      <w:r w:rsidR="0003660E" w:rsidRPr="00197499">
        <w:rPr>
          <w:rFonts w:ascii="Times New Roman" w:hAnsi="Times New Roman"/>
          <w:sz w:val="24"/>
          <w:szCs w:val="24"/>
        </w:rPr>
        <w:t>.</w:t>
      </w:r>
    </w:p>
    <w:p w14:paraId="31D2737B" w14:textId="77777777" w:rsidR="00197499" w:rsidRPr="00197499" w:rsidRDefault="00197499" w:rsidP="00197499">
      <w:pPr>
        <w:spacing w:after="0" w:line="240" w:lineRule="auto"/>
        <w:ind w:right="53"/>
        <w:jc w:val="both"/>
        <w:rPr>
          <w:rFonts w:ascii="Times New Roman" w:hAnsi="Times New Roman"/>
          <w:sz w:val="24"/>
          <w:szCs w:val="24"/>
        </w:rPr>
      </w:pPr>
    </w:p>
    <w:bookmarkEnd w:id="12"/>
    <w:p w14:paraId="341BA3E5" w14:textId="77777777" w:rsidR="001E6474" w:rsidRPr="009565BF" w:rsidRDefault="001E6474">
      <w:pPr>
        <w:spacing w:line="240" w:lineRule="auto"/>
        <w:jc w:val="both"/>
        <w:rPr>
          <w:rFonts w:ascii="Times New Roman" w:hAnsi="Times New Roman"/>
          <w:sz w:val="24"/>
          <w:szCs w:val="24"/>
        </w:rPr>
      </w:pPr>
    </w:p>
    <w:p w14:paraId="3DD4F4E1" w14:textId="77777777" w:rsidR="001E6474" w:rsidRPr="009565BF" w:rsidRDefault="001E6474" w:rsidP="001E6474">
      <w:pPr>
        <w:spacing w:line="240" w:lineRule="auto"/>
        <w:jc w:val="center"/>
        <w:rPr>
          <w:rFonts w:ascii="Times New Roman" w:hAnsi="Times New Roman"/>
          <w:sz w:val="24"/>
          <w:szCs w:val="24"/>
          <w:highlight w:val="yellow"/>
        </w:rPr>
      </w:pPr>
    </w:p>
    <w:p w14:paraId="760AAF13" w14:textId="77777777" w:rsidR="001E6474" w:rsidRPr="009565BF" w:rsidRDefault="001E6474" w:rsidP="001E6474">
      <w:pPr>
        <w:spacing w:line="240" w:lineRule="auto"/>
        <w:jc w:val="both"/>
        <w:rPr>
          <w:rFonts w:ascii="Times New Roman" w:hAnsi="Times New Roman"/>
          <w:sz w:val="24"/>
          <w:szCs w:val="24"/>
        </w:rPr>
      </w:pPr>
    </w:p>
    <w:p w14:paraId="12EB5674" w14:textId="77777777" w:rsidR="001E6474" w:rsidRDefault="001E6474" w:rsidP="001E6474">
      <w:pPr>
        <w:spacing w:line="240" w:lineRule="auto"/>
        <w:jc w:val="both"/>
        <w:rPr>
          <w:rFonts w:ascii="Times New Roman" w:hAnsi="Times New Roman"/>
        </w:rPr>
      </w:pPr>
    </w:p>
    <w:sectPr w:rsidR="001E6474">
      <w:footerReference w:type="default" r:id="rId12"/>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6140E" w14:textId="77777777" w:rsidR="00F1308C" w:rsidRDefault="00F1308C">
      <w:pPr>
        <w:spacing w:after="0" w:line="240" w:lineRule="auto"/>
      </w:pPr>
      <w:r>
        <w:separator/>
      </w:r>
    </w:p>
  </w:endnote>
  <w:endnote w:type="continuationSeparator" w:id="0">
    <w:p w14:paraId="2F4A4AD9" w14:textId="77777777" w:rsidR="00F1308C" w:rsidRDefault="00F1308C">
      <w:pPr>
        <w:spacing w:after="0" w:line="240" w:lineRule="auto"/>
      </w:pPr>
      <w:r>
        <w:continuationSeparator/>
      </w:r>
    </w:p>
  </w:endnote>
  <w:endnote w:type="continuationNotice" w:id="1">
    <w:p w14:paraId="641C1438" w14:textId="77777777" w:rsidR="00F1308C" w:rsidRDefault="00F130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46915" w14:textId="4DFB28F0" w:rsidR="002B776D" w:rsidRDefault="002B776D">
    <w:pPr>
      <w:widowControl w:val="0"/>
      <w:autoSpaceDE w:val="0"/>
      <w:adjustRightInd w:val="0"/>
      <w:spacing w:after="0" w:line="200" w:lineRule="exact"/>
      <w:rPr>
        <w:rFonts w:ascii="Times New Roman" w:hAnsi="Times New Roman"/>
        <w:kern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C322C" w14:textId="77777777" w:rsidR="00F1308C" w:rsidRDefault="00F1308C">
      <w:pPr>
        <w:spacing w:after="0" w:line="240" w:lineRule="auto"/>
      </w:pPr>
      <w:r>
        <w:rPr>
          <w:color w:val="000000"/>
        </w:rPr>
        <w:separator/>
      </w:r>
    </w:p>
  </w:footnote>
  <w:footnote w:type="continuationSeparator" w:id="0">
    <w:p w14:paraId="6D26C470" w14:textId="77777777" w:rsidR="00F1308C" w:rsidRDefault="00F1308C">
      <w:pPr>
        <w:spacing w:after="0" w:line="240" w:lineRule="auto"/>
      </w:pPr>
      <w:r>
        <w:continuationSeparator/>
      </w:r>
    </w:p>
  </w:footnote>
  <w:footnote w:type="continuationNotice" w:id="1">
    <w:p w14:paraId="6DC934AD" w14:textId="77777777" w:rsidR="00F1308C" w:rsidRDefault="00F1308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5B05"/>
    <w:multiLevelType w:val="hybridMultilevel"/>
    <w:tmpl w:val="8FA64F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8650E1"/>
    <w:multiLevelType w:val="hybridMultilevel"/>
    <w:tmpl w:val="51A824FC"/>
    <w:lvl w:ilvl="0" w:tplc="0410000F">
      <w:start w:val="1"/>
      <w:numFmt w:val="decimal"/>
      <w:lvlText w:val="%1."/>
      <w:lvlJc w:val="left"/>
      <w:pPr>
        <w:ind w:left="720" w:hanging="360"/>
      </w:pPr>
    </w:lvl>
    <w:lvl w:ilvl="1" w:tplc="2A88FA56">
      <w:start w:val="1"/>
      <w:numFmt w:val="lowerLetter"/>
      <w:lvlText w:val="%2."/>
      <w:lvlJc w:val="left"/>
      <w:pPr>
        <w:ind w:left="1440" w:hanging="360"/>
      </w:pPr>
      <w:rPr>
        <w:i w:val="0"/>
        <w:iCs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C9423C"/>
    <w:multiLevelType w:val="hybridMultilevel"/>
    <w:tmpl w:val="305C9E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09304F"/>
    <w:multiLevelType w:val="hybridMultilevel"/>
    <w:tmpl w:val="5A42EDC0"/>
    <w:lvl w:ilvl="0" w:tplc="073A87AC">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590D06"/>
    <w:multiLevelType w:val="hybridMultilevel"/>
    <w:tmpl w:val="815882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946F52"/>
    <w:multiLevelType w:val="hybridMultilevel"/>
    <w:tmpl w:val="62B085F8"/>
    <w:lvl w:ilvl="0" w:tplc="F05220B0">
      <w:start w:val="1"/>
      <w:numFmt w:val="lowerLetter"/>
      <w:lvlText w:val="%1)"/>
      <w:lvlJc w:val="left"/>
      <w:pPr>
        <w:ind w:left="1070" w:hanging="360"/>
      </w:pPr>
      <w:rPr>
        <w:rFonts w:ascii="Times New Roman" w:eastAsia="Aptos" w:hAnsi="Times New Roman" w:cs="Times New Roman"/>
        <w:i/>
        <w:iCs/>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6" w15:restartNumberingAfterBreak="0">
    <w:nsid w:val="1A684EAB"/>
    <w:multiLevelType w:val="hybridMultilevel"/>
    <w:tmpl w:val="48A4127A"/>
    <w:lvl w:ilvl="0" w:tplc="B872600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657890"/>
    <w:multiLevelType w:val="hybridMultilevel"/>
    <w:tmpl w:val="C54811D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9916943"/>
    <w:multiLevelType w:val="hybridMultilevel"/>
    <w:tmpl w:val="EBAE1A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E384DDA"/>
    <w:multiLevelType w:val="hybridMultilevel"/>
    <w:tmpl w:val="945E7A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2262504"/>
    <w:multiLevelType w:val="hybridMultilevel"/>
    <w:tmpl w:val="5AB8D97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4096FA9"/>
    <w:multiLevelType w:val="hybridMultilevel"/>
    <w:tmpl w:val="18A243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612021"/>
    <w:multiLevelType w:val="multilevel"/>
    <w:tmpl w:val="AF9A38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5135FF4"/>
    <w:multiLevelType w:val="hybridMultilevel"/>
    <w:tmpl w:val="406256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9A3C5D"/>
    <w:multiLevelType w:val="hybridMultilevel"/>
    <w:tmpl w:val="B3C650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9201F3"/>
    <w:multiLevelType w:val="hybridMultilevel"/>
    <w:tmpl w:val="BEB0F148"/>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A417FF9"/>
    <w:multiLevelType w:val="hybridMultilevel"/>
    <w:tmpl w:val="170C6D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B65457D"/>
    <w:multiLevelType w:val="hybridMultilevel"/>
    <w:tmpl w:val="DFE870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D6F7D80"/>
    <w:multiLevelType w:val="hybridMultilevel"/>
    <w:tmpl w:val="BE8A53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EE92100"/>
    <w:multiLevelType w:val="hybridMultilevel"/>
    <w:tmpl w:val="05CCE6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046787D"/>
    <w:multiLevelType w:val="multilevel"/>
    <w:tmpl w:val="56708F26"/>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1" w15:restartNumberingAfterBreak="0">
    <w:nsid w:val="439A27AE"/>
    <w:multiLevelType w:val="hybridMultilevel"/>
    <w:tmpl w:val="03F670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C546B43"/>
    <w:multiLevelType w:val="hybridMultilevel"/>
    <w:tmpl w:val="4EFED1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4B5948"/>
    <w:multiLevelType w:val="hybridMultilevel"/>
    <w:tmpl w:val="475267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EE611BE"/>
    <w:multiLevelType w:val="hybridMultilevel"/>
    <w:tmpl w:val="9D3A25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3512491"/>
    <w:multiLevelType w:val="multilevel"/>
    <w:tmpl w:val="EAF6A7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5817CB4"/>
    <w:multiLevelType w:val="hybridMultilevel"/>
    <w:tmpl w:val="13E6C1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E2F6F91"/>
    <w:multiLevelType w:val="hybridMultilevel"/>
    <w:tmpl w:val="83A61BE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62720AA9"/>
    <w:multiLevelType w:val="hybridMultilevel"/>
    <w:tmpl w:val="49CC6AB6"/>
    <w:lvl w:ilvl="0" w:tplc="5F5A9B04">
      <w:start w:val="1"/>
      <w:numFmt w:val="decimal"/>
      <w:lvlText w:val="%1."/>
      <w:lvlJc w:val="left"/>
      <w:pPr>
        <w:ind w:left="1070" w:hanging="710"/>
      </w:pPr>
      <w:rPr>
        <w:rFonts w:ascii="Times New Roman" w:eastAsia="Aptos"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3754DF4"/>
    <w:multiLevelType w:val="hybridMultilevel"/>
    <w:tmpl w:val="70BE88F4"/>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B16695D"/>
    <w:multiLevelType w:val="hybridMultilevel"/>
    <w:tmpl w:val="F4365E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DE4015C"/>
    <w:multiLevelType w:val="hybridMultilevel"/>
    <w:tmpl w:val="C7EA0C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DFE4A48"/>
    <w:multiLevelType w:val="hybridMultilevel"/>
    <w:tmpl w:val="080021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F680BE2"/>
    <w:multiLevelType w:val="hybridMultilevel"/>
    <w:tmpl w:val="9CAC0C12"/>
    <w:lvl w:ilvl="0" w:tplc="5B240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96189140">
    <w:abstractNumId w:val="20"/>
  </w:num>
  <w:num w:numId="2" w16cid:durableId="456145729">
    <w:abstractNumId w:val="17"/>
  </w:num>
  <w:num w:numId="3" w16cid:durableId="8135265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8896278">
    <w:abstractNumId w:val="32"/>
  </w:num>
  <w:num w:numId="5" w16cid:durableId="213201288">
    <w:abstractNumId w:val="18"/>
  </w:num>
  <w:num w:numId="6" w16cid:durableId="1912419721">
    <w:abstractNumId w:val="2"/>
  </w:num>
  <w:num w:numId="7" w16cid:durableId="2019309838">
    <w:abstractNumId w:val="21"/>
  </w:num>
  <w:num w:numId="8" w16cid:durableId="645013688">
    <w:abstractNumId w:val="7"/>
  </w:num>
  <w:num w:numId="9" w16cid:durableId="1191651558">
    <w:abstractNumId w:val="10"/>
  </w:num>
  <w:num w:numId="10" w16cid:durableId="314186577">
    <w:abstractNumId w:val="33"/>
  </w:num>
  <w:num w:numId="11" w16cid:durableId="404685806">
    <w:abstractNumId w:val="8"/>
  </w:num>
  <w:num w:numId="12" w16cid:durableId="534123529">
    <w:abstractNumId w:val="24"/>
  </w:num>
  <w:num w:numId="13" w16cid:durableId="1644121150">
    <w:abstractNumId w:val="28"/>
  </w:num>
  <w:num w:numId="14" w16cid:durableId="481511516">
    <w:abstractNumId w:val="29"/>
  </w:num>
  <w:num w:numId="15" w16cid:durableId="1988511438">
    <w:abstractNumId w:val="19"/>
  </w:num>
  <w:num w:numId="16" w16cid:durableId="1319110903">
    <w:abstractNumId w:val="16"/>
  </w:num>
  <w:num w:numId="17" w16cid:durableId="1590041086">
    <w:abstractNumId w:val="5"/>
  </w:num>
  <w:num w:numId="18" w16cid:durableId="1945309321">
    <w:abstractNumId w:val="1"/>
  </w:num>
  <w:num w:numId="19" w16cid:durableId="1748065806">
    <w:abstractNumId w:val="26"/>
  </w:num>
  <w:num w:numId="20" w16cid:durableId="15043177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20298171">
    <w:abstractNumId w:val="31"/>
  </w:num>
  <w:num w:numId="22" w16cid:durableId="2046177584">
    <w:abstractNumId w:val="9"/>
  </w:num>
  <w:num w:numId="23" w16cid:durableId="992102264">
    <w:abstractNumId w:val="30"/>
  </w:num>
  <w:num w:numId="24" w16cid:durableId="2060781340">
    <w:abstractNumId w:val="6"/>
  </w:num>
  <w:num w:numId="25" w16cid:durableId="90399952">
    <w:abstractNumId w:val="0"/>
  </w:num>
  <w:num w:numId="26" w16cid:durableId="1987586492">
    <w:abstractNumId w:val="4"/>
  </w:num>
  <w:num w:numId="27" w16cid:durableId="1250624085">
    <w:abstractNumId w:val="22"/>
  </w:num>
  <w:num w:numId="28" w16cid:durableId="715278122">
    <w:abstractNumId w:val="14"/>
  </w:num>
  <w:num w:numId="29" w16cid:durableId="1814903783">
    <w:abstractNumId w:val="15"/>
  </w:num>
  <w:num w:numId="30" w16cid:durableId="585961566">
    <w:abstractNumId w:val="23"/>
  </w:num>
  <w:num w:numId="31" w16cid:durableId="1230193041">
    <w:abstractNumId w:val="11"/>
  </w:num>
  <w:num w:numId="32" w16cid:durableId="1859079093">
    <w:abstractNumId w:val="13"/>
  </w:num>
  <w:num w:numId="33" w16cid:durableId="20533407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993836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autoHyphenation/>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65C"/>
    <w:rsid w:val="0000585B"/>
    <w:rsid w:val="000071BF"/>
    <w:rsid w:val="00015EC3"/>
    <w:rsid w:val="00021194"/>
    <w:rsid w:val="0003660E"/>
    <w:rsid w:val="0004320F"/>
    <w:rsid w:val="00045007"/>
    <w:rsid w:val="0004522B"/>
    <w:rsid w:val="0004526F"/>
    <w:rsid w:val="00047B0B"/>
    <w:rsid w:val="0005092E"/>
    <w:rsid w:val="00060A19"/>
    <w:rsid w:val="00071BE9"/>
    <w:rsid w:val="00077027"/>
    <w:rsid w:val="00081404"/>
    <w:rsid w:val="00087299"/>
    <w:rsid w:val="000A705E"/>
    <w:rsid w:val="000B7F6F"/>
    <w:rsid w:val="000C714C"/>
    <w:rsid w:val="000F6F14"/>
    <w:rsid w:val="00120D30"/>
    <w:rsid w:val="00131CDD"/>
    <w:rsid w:val="001439DE"/>
    <w:rsid w:val="00155209"/>
    <w:rsid w:val="0015598F"/>
    <w:rsid w:val="001573C0"/>
    <w:rsid w:val="00163DAC"/>
    <w:rsid w:val="001720A6"/>
    <w:rsid w:val="0017572A"/>
    <w:rsid w:val="001814B0"/>
    <w:rsid w:val="001863B6"/>
    <w:rsid w:val="00197499"/>
    <w:rsid w:val="001977A1"/>
    <w:rsid w:val="001A02E9"/>
    <w:rsid w:val="001B28F4"/>
    <w:rsid w:val="001B43E4"/>
    <w:rsid w:val="001C4711"/>
    <w:rsid w:val="001D1CDA"/>
    <w:rsid w:val="001D42F1"/>
    <w:rsid w:val="001D5339"/>
    <w:rsid w:val="001D5A7D"/>
    <w:rsid w:val="001D7479"/>
    <w:rsid w:val="001E2B4C"/>
    <w:rsid w:val="001E6474"/>
    <w:rsid w:val="001F0397"/>
    <w:rsid w:val="001F06CB"/>
    <w:rsid w:val="00206D97"/>
    <w:rsid w:val="002075C4"/>
    <w:rsid w:val="002154AB"/>
    <w:rsid w:val="00231DCF"/>
    <w:rsid w:val="00235C13"/>
    <w:rsid w:val="0024212E"/>
    <w:rsid w:val="0025569D"/>
    <w:rsid w:val="00256B12"/>
    <w:rsid w:val="00256F9E"/>
    <w:rsid w:val="00266D68"/>
    <w:rsid w:val="00271A4F"/>
    <w:rsid w:val="00277582"/>
    <w:rsid w:val="00284A1B"/>
    <w:rsid w:val="00287CE1"/>
    <w:rsid w:val="0029336A"/>
    <w:rsid w:val="00293E17"/>
    <w:rsid w:val="0029658C"/>
    <w:rsid w:val="002A0108"/>
    <w:rsid w:val="002A14E3"/>
    <w:rsid w:val="002A65F2"/>
    <w:rsid w:val="002A7323"/>
    <w:rsid w:val="002B2D47"/>
    <w:rsid w:val="002B37B6"/>
    <w:rsid w:val="002B776D"/>
    <w:rsid w:val="002C16E4"/>
    <w:rsid w:val="002D0808"/>
    <w:rsid w:val="002D2E24"/>
    <w:rsid w:val="002E6DF7"/>
    <w:rsid w:val="003031C5"/>
    <w:rsid w:val="0030569A"/>
    <w:rsid w:val="003067F7"/>
    <w:rsid w:val="00314CDA"/>
    <w:rsid w:val="003447CE"/>
    <w:rsid w:val="00345771"/>
    <w:rsid w:val="00345A6C"/>
    <w:rsid w:val="003464EB"/>
    <w:rsid w:val="00357C98"/>
    <w:rsid w:val="00361E12"/>
    <w:rsid w:val="003634DA"/>
    <w:rsid w:val="00363EAA"/>
    <w:rsid w:val="00376A9F"/>
    <w:rsid w:val="003850CE"/>
    <w:rsid w:val="003A1551"/>
    <w:rsid w:val="003A5A91"/>
    <w:rsid w:val="003B2017"/>
    <w:rsid w:val="003B517F"/>
    <w:rsid w:val="003B6837"/>
    <w:rsid w:val="003C17B1"/>
    <w:rsid w:val="003C4980"/>
    <w:rsid w:val="003C5BE6"/>
    <w:rsid w:val="003E39A3"/>
    <w:rsid w:val="003E5092"/>
    <w:rsid w:val="00400824"/>
    <w:rsid w:val="00400CA6"/>
    <w:rsid w:val="00416201"/>
    <w:rsid w:val="004231CF"/>
    <w:rsid w:val="00430763"/>
    <w:rsid w:val="0043367A"/>
    <w:rsid w:val="00435E3C"/>
    <w:rsid w:val="00443379"/>
    <w:rsid w:val="00452389"/>
    <w:rsid w:val="0045355E"/>
    <w:rsid w:val="004648E1"/>
    <w:rsid w:val="00466EBF"/>
    <w:rsid w:val="00471A60"/>
    <w:rsid w:val="00472E24"/>
    <w:rsid w:val="0047354E"/>
    <w:rsid w:val="004756D2"/>
    <w:rsid w:val="00475B86"/>
    <w:rsid w:val="004831E8"/>
    <w:rsid w:val="00490413"/>
    <w:rsid w:val="004A2C44"/>
    <w:rsid w:val="004A63D6"/>
    <w:rsid w:val="004C3C19"/>
    <w:rsid w:val="004D0434"/>
    <w:rsid w:val="004F0046"/>
    <w:rsid w:val="004F1056"/>
    <w:rsid w:val="004F4521"/>
    <w:rsid w:val="00512C53"/>
    <w:rsid w:val="005154A0"/>
    <w:rsid w:val="00516048"/>
    <w:rsid w:val="005164F8"/>
    <w:rsid w:val="00522B5C"/>
    <w:rsid w:val="00530EE9"/>
    <w:rsid w:val="00531F45"/>
    <w:rsid w:val="0053262C"/>
    <w:rsid w:val="005335F4"/>
    <w:rsid w:val="00534974"/>
    <w:rsid w:val="00545DDF"/>
    <w:rsid w:val="00547F2F"/>
    <w:rsid w:val="00550245"/>
    <w:rsid w:val="0055220D"/>
    <w:rsid w:val="0056104A"/>
    <w:rsid w:val="0056430E"/>
    <w:rsid w:val="00571D58"/>
    <w:rsid w:val="00573149"/>
    <w:rsid w:val="005812CE"/>
    <w:rsid w:val="005815D9"/>
    <w:rsid w:val="0059173C"/>
    <w:rsid w:val="00595495"/>
    <w:rsid w:val="00597029"/>
    <w:rsid w:val="005A639F"/>
    <w:rsid w:val="005B7C84"/>
    <w:rsid w:val="005C63E5"/>
    <w:rsid w:val="005C6BDE"/>
    <w:rsid w:val="005D4E7E"/>
    <w:rsid w:val="005D5879"/>
    <w:rsid w:val="005E4FCC"/>
    <w:rsid w:val="00604B2C"/>
    <w:rsid w:val="00607FC1"/>
    <w:rsid w:val="0061244A"/>
    <w:rsid w:val="00625169"/>
    <w:rsid w:val="0063582E"/>
    <w:rsid w:val="00637CA5"/>
    <w:rsid w:val="006412F3"/>
    <w:rsid w:val="00643934"/>
    <w:rsid w:val="00646A1E"/>
    <w:rsid w:val="00655952"/>
    <w:rsid w:val="00673693"/>
    <w:rsid w:val="00674524"/>
    <w:rsid w:val="00677667"/>
    <w:rsid w:val="00677E6D"/>
    <w:rsid w:val="0068353B"/>
    <w:rsid w:val="00693EFF"/>
    <w:rsid w:val="00697DEE"/>
    <w:rsid w:val="006B3DB4"/>
    <w:rsid w:val="006B5B37"/>
    <w:rsid w:val="006D3E11"/>
    <w:rsid w:val="006D67DA"/>
    <w:rsid w:val="006D7CC7"/>
    <w:rsid w:val="006E0986"/>
    <w:rsid w:val="006E3885"/>
    <w:rsid w:val="006E588C"/>
    <w:rsid w:val="006F031A"/>
    <w:rsid w:val="006F23B9"/>
    <w:rsid w:val="006F571F"/>
    <w:rsid w:val="006F79B1"/>
    <w:rsid w:val="00706DD7"/>
    <w:rsid w:val="00712346"/>
    <w:rsid w:val="00717281"/>
    <w:rsid w:val="00724C56"/>
    <w:rsid w:val="007346BE"/>
    <w:rsid w:val="0073521E"/>
    <w:rsid w:val="00740A8A"/>
    <w:rsid w:val="00755C13"/>
    <w:rsid w:val="00763A06"/>
    <w:rsid w:val="00764C02"/>
    <w:rsid w:val="007719F3"/>
    <w:rsid w:val="00773ADC"/>
    <w:rsid w:val="00786E7F"/>
    <w:rsid w:val="007873ED"/>
    <w:rsid w:val="0078796E"/>
    <w:rsid w:val="0079411C"/>
    <w:rsid w:val="007B0540"/>
    <w:rsid w:val="007B4F82"/>
    <w:rsid w:val="007B6527"/>
    <w:rsid w:val="007C50D0"/>
    <w:rsid w:val="007D0BAD"/>
    <w:rsid w:val="007D3C72"/>
    <w:rsid w:val="007D436A"/>
    <w:rsid w:val="007D7C06"/>
    <w:rsid w:val="007E2FFD"/>
    <w:rsid w:val="007F5DA4"/>
    <w:rsid w:val="0080312B"/>
    <w:rsid w:val="0081060D"/>
    <w:rsid w:val="00817E9C"/>
    <w:rsid w:val="008218D8"/>
    <w:rsid w:val="00824C17"/>
    <w:rsid w:val="0082786A"/>
    <w:rsid w:val="00850D37"/>
    <w:rsid w:val="008537D8"/>
    <w:rsid w:val="00854752"/>
    <w:rsid w:val="0086239A"/>
    <w:rsid w:val="00874E41"/>
    <w:rsid w:val="008A2C13"/>
    <w:rsid w:val="008A49E7"/>
    <w:rsid w:val="008B044C"/>
    <w:rsid w:val="008B6B2C"/>
    <w:rsid w:val="008B70AB"/>
    <w:rsid w:val="008B7EDE"/>
    <w:rsid w:val="008D402E"/>
    <w:rsid w:val="008E1594"/>
    <w:rsid w:val="008F1413"/>
    <w:rsid w:val="008F1D9A"/>
    <w:rsid w:val="009039F8"/>
    <w:rsid w:val="00916AE7"/>
    <w:rsid w:val="00917395"/>
    <w:rsid w:val="0092131A"/>
    <w:rsid w:val="00922303"/>
    <w:rsid w:val="009231D6"/>
    <w:rsid w:val="009263D6"/>
    <w:rsid w:val="009314FB"/>
    <w:rsid w:val="0094235E"/>
    <w:rsid w:val="00942767"/>
    <w:rsid w:val="00943E4C"/>
    <w:rsid w:val="0094570D"/>
    <w:rsid w:val="0094792A"/>
    <w:rsid w:val="0095177E"/>
    <w:rsid w:val="00953042"/>
    <w:rsid w:val="009565BF"/>
    <w:rsid w:val="00956940"/>
    <w:rsid w:val="00962FFC"/>
    <w:rsid w:val="00981DA8"/>
    <w:rsid w:val="00991E72"/>
    <w:rsid w:val="009A47E7"/>
    <w:rsid w:val="009A681B"/>
    <w:rsid w:val="009B3B96"/>
    <w:rsid w:val="009C6E9E"/>
    <w:rsid w:val="009E2833"/>
    <w:rsid w:val="009E3CB0"/>
    <w:rsid w:val="009F4924"/>
    <w:rsid w:val="00A130E2"/>
    <w:rsid w:val="00A13BE1"/>
    <w:rsid w:val="00A20B1A"/>
    <w:rsid w:val="00A219CA"/>
    <w:rsid w:val="00A304B9"/>
    <w:rsid w:val="00A30F2F"/>
    <w:rsid w:val="00A3641F"/>
    <w:rsid w:val="00A425B1"/>
    <w:rsid w:val="00A5179C"/>
    <w:rsid w:val="00A5272C"/>
    <w:rsid w:val="00A5669E"/>
    <w:rsid w:val="00A776F2"/>
    <w:rsid w:val="00A7777E"/>
    <w:rsid w:val="00A93680"/>
    <w:rsid w:val="00AA3270"/>
    <w:rsid w:val="00AA4218"/>
    <w:rsid w:val="00AB2C98"/>
    <w:rsid w:val="00AB61B5"/>
    <w:rsid w:val="00AC2A26"/>
    <w:rsid w:val="00AC5F75"/>
    <w:rsid w:val="00AE2CF3"/>
    <w:rsid w:val="00AE50C6"/>
    <w:rsid w:val="00AE67FB"/>
    <w:rsid w:val="00AE689A"/>
    <w:rsid w:val="00AF54A5"/>
    <w:rsid w:val="00AF747A"/>
    <w:rsid w:val="00B01264"/>
    <w:rsid w:val="00B01CCD"/>
    <w:rsid w:val="00B03FBA"/>
    <w:rsid w:val="00B206A3"/>
    <w:rsid w:val="00B22BFF"/>
    <w:rsid w:val="00B232F7"/>
    <w:rsid w:val="00B2425E"/>
    <w:rsid w:val="00B2568F"/>
    <w:rsid w:val="00B261C0"/>
    <w:rsid w:val="00B3486E"/>
    <w:rsid w:val="00B418B0"/>
    <w:rsid w:val="00B43F68"/>
    <w:rsid w:val="00B52231"/>
    <w:rsid w:val="00B52319"/>
    <w:rsid w:val="00B57A3C"/>
    <w:rsid w:val="00B6549D"/>
    <w:rsid w:val="00B75ADD"/>
    <w:rsid w:val="00B76F5A"/>
    <w:rsid w:val="00B875E4"/>
    <w:rsid w:val="00B923E2"/>
    <w:rsid w:val="00BB336D"/>
    <w:rsid w:val="00BB679E"/>
    <w:rsid w:val="00BC2A27"/>
    <w:rsid w:val="00BC5671"/>
    <w:rsid w:val="00BD2EDB"/>
    <w:rsid w:val="00BD7527"/>
    <w:rsid w:val="00BE439C"/>
    <w:rsid w:val="00BF6749"/>
    <w:rsid w:val="00C04C5A"/>
    <w:rsid w:val="00C11A42"/>
    <w:rsid w:val="00C25634"/>
    <w:rsid w:val="00C26085"/>
    <w:rsid w:val="00C30FD5"/>
    <w:rsid w:val="00C34AD6"/>
    <w:rsid w:val="00C41F50"/>
    <w:rsid w:val="00C420F5"/>
    <w:rsid w:val="00C51A53"/>
    <w:rsid w:val="00C55077"/>
    <w:rsid w:val="00C55FC8"/>
    <w:rsid w:val="00C60953"/>
    <w:rsid w:val="00C64D99"/>
    <w:rsid w:val="00C74484"/>
    <w:rsid w:val="00C76A2F"/>
    <w:rsid w:val="00C93CCE"/>
    <w:rsid w:val="00C93D14"/>
    <w:rsid w:val="00C95899"/>
    <w:rsid w:val="00C96D92"/>
    <w:rsid w:val="00CA2338"/>
    <w:rsid w:val="00CA68A9"/>
    <w:rsid w:val="00CB1369"/>
    <w:rsid w:val="00CB3101"/>
    <w:rsid w:val="00CB4D96"/>
    <w:rsid w:val="00CC0DFF"/>
    <w:rsid w:val="00CC65E0"/>
    <w:rsid w:val="00CD0DCB"/>
    <w:rsid w:val="00CD1ADB"/>
    <w:rsid w:val="00CD289D"/>
    <w:rsid w:val="00CD3962"/>
    <w:rsid w:val="00CD3A6A"/>
    <w:rsid w:val="00CE0E26"/>
    <w:rsid w:val="00CF045F"/>
    <w:rsid w:val="00CF073E"/>
    <w:rsid w:val="00CF1827"/>
    <w:rsid w:val="00CF2FFC"/>
    <w:rsid w:val="00CF51E8"/>
    <w:rsid w:val="00D03D50"/>
    <w:rsid w:val="00D10821"/>
    <w:rsid w:val="00D115FF"/>
    <w:rsid w:val="00D24D41"/>
    <w:rsid w:val="00D25289"/>
    <w:rsid w:val="00D32594"/>
    <w:rsid w:val="00D4488C"/>
    <w:rsid w:val="00D449FD"/>
    <w:rsid w:val="00D51270"/>
    <w:rsid w:val="00D524B8"/>
    <w:rsid w:val="00D529A5"/>
    <w:rsid w:val="00D63C3C"/>
    <w:rsid w:val="00D63F4E"/>
    <w:rsid w:val="00D65BD4"/>
    <w:rsid w:val="00D7008B"/>
    <w:rsid w:val="00D750A4"/>
    <w:rsid w:val="00DA51AF"/>
    <w:rsid w:val="00DA66A3"/>
    <w:rsid w:val="00DA6AAD"/>
    <w:rsid w:val="00DB3770"/>
    <w:rsid w:val="00DB4F0D"/>
    <w:rsid w:val="00DB62A7"/>
    <w:rsid w:val="00DC1B27"/>
    <w:rsid w:val="00DD1BF4"/>
    <w:rsid w:val="00DD1CFA"/>
    <w:rsid w:val="00DF28FB"/>
    <w:rsid w:val="00DF3A61"/>
    <w:rsid w:val="00DF6840"/>
    <w:rsid w:val="00E036B1"/>
    <w:rsid w:val="00E132E7"/>
    <w:rsid w:val="00E149E6"/>
    <w:rsid w:val="00E21FFA"/>
    <w:rsid w:val="00E23EDF"/>
    <w:rsid w:val="00E24498"/>
    <w:rsid w:val="00E24F25"/>
    <w:rsid w:val="00E63DC0"/>
    <w:rsid w:val="00E757C9"/>
    <w:rsid w:val="00E7600E"/>
    <w:rsid w:val="00E86495"/>
    <w:rsid w:val="00E932F8"/>
    <w:rsid w:val="00E9330F"/>
    <w:rsid w:val="00EA51DC"/>
    <w:rsid w:val="00EA697D"/>
    <w:rsid w:val="00EA738A"/>
    <w:rsid w:val="00EA7DA2"/>
    <w:rsid w:val="00EB0B07"/>
    <w:rsid w:val="00EB27B9"/>
    <w:rsid w:val="00EB7A3C"/>
    <w:rsid w:val="00EC4AAD"/>
    <w:rsid w:val="00ED065C"/>
    <w:rsid w:val="00ED2777"/>
    <w:rsid w:val="00ED3174"/>
    <w:rsid w:val="00ED4910"/>
    <w:rsid w:val="00ED6826"/>
    <w:rsid w:val="00EE23D3"/>
    <w:rsid w:val="00EE4D85"/>
    <w:rsid w:val="00EF0B35"/>
    <w:rsid w:val="00F02439"/>
    <w:rsid w:val="00F07906"/>
    <w:rsid w:val="00F07DAF"/>
    <w:rsid w:val="00F1308C"/>
    <w:rsid w:val="00F137C5"/>
    <w:rsid w:val="00F17AFA"/>
    <w:rsid w:val="00F225AE"/>
    <w:rsid w:val="00F229CE"/>
    <w:rsid w:val="00F2376C"/>
    <w:rsid w:val="00F33475"/>
    <w:rsid w:val="00F3436B"/>
    <w:rsid w:val="00F35FF8"/>
    <w:rsid w:val="00F41442"/>
    <w:rsid w:val="00F42AB8"/>
    <w:rsid w:val="00F4399A"/>
    <w:rsid w:val="00F45AAA"/>
    <w:rsid w:val="00F56C89"/>
    <w:rsid w:val="00F57DA2"/>
    <w:rsid w:val="00F607A7"/>
    <w:rsid w:val="00F654DD"/>
    <w:rsid w:val="00F7065D"/>
    <w:rsid w:val="00F726DB"/>
    <w:rsid w:val="00F84FB8"/>
    <w:rsid w:val="00FA4C3F"/>
    <w:rsid w:val="00FB1295"/>
    <w:rsid w:val="00FC0EFF"/>
    <w:rsid w:val="00FC4AA0"/>
    <w:rsid w:val="00FC5AC7"/>
    <w:rsid w:val="00FE7808"/>
    <w:rsid w:val="00FF0B9B"/>
    <w:rsid w:val="00FF0D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ADB87"/>
  <w15:docId w15:val="{5235F368-6317-4072-98B4-A717C2964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2"/>
        <w:szCs w:val="22"/>
        <w:lang w:val="it-IT" w:eastAsia="en-US" w:bidi="ar-SA"/>
      </w:rPr>
    </w:rPrDefault>
    <w:pPrDefault>
      <w:pPr>
        <w:autoSpaceDN w:val="0"/>
        <w:spacing w:after="160" w:line="24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uiPriority w:val="9"/>
    <w:qFormat/>
    <w:pPr>
      <w:keepNext/>
      <w:keepLines/>
      <w:spacing w:before="360" w:after="80"/>
      <w:outlineLvl w:val="0"/>
    </w:pPr>
    <w:rPr>
      <w:rFonts w:ascii="Aptos Display" w:eastAsia="Times New Roman" w:hAnsi="Aptos Display"/>
      <w:color w:val="2E74B5"/>
      <w:sz w:val="40"/>
      <w:szCs w:val="40"/>
    </w:rPr>
  </w:style>
  <w:style w:type="paragraph" w:styleId="Titolo2">
    <w:name w:val="heading 2"/>
    <w:basedOn w:val="Normale"/>
    <w:next w:val="Normale"/>
    <w:uiPriority w:val="9"/>
    <w:semiHidden/>
    <w:unhideWhenUsed/>
    <w:qFormat/>
    <w:pPr>
      <w:keepNext/>
      <w:keepLines/>
      <w:spacing w:before="160" w:after="80"/>
      <w:outlineLvl w:val="1"/>
    </w:pPr>
    <w:rPr>
      <w:rFonts w:ascii="Aptos Display" w:eastAsia="Times New Roman" w:hAnsi="Aptos Display"/>
      <w:color w:val="2E74B5"/>
      <w:sz w:val="32"/>
      <w:szCs w:val="32"/>
    </w:rPr>
  </w:style>
  <w:style w:type="paragraph" w:styleId="Titolo3">
    <w:name w:val="heading 3"/>
    <w:basedOn w:val="Normale"/>
    <w:next w:val="Normale"/>
    <w:uiPriority w:val="9"/>
    <w:semiHidden/>
    <w:unhideWhenUsed/>
    <w:qFormat/>
    <w:pPr>
      <w:keepNext/>
      <w:keepLines/>
      <w:spacing w:before="160" w:after="80"/>
      <w:outlineLvl w:val="2"/>
    </w:pPr>
    <w:rPr>
      <w:rFonts w:eastAsia="Times New Roman"/>
      <w:color w:val="2E74B5"/>
      <w:sz w:val="28"/>
      <w:szCs w:val="28"/>
    </w:rPr>
  </w:style>
  <w:style w:type="paragraph" w:styleId="Titolo4">
    <w:name w:val="heading 4"/>
    <w:basedOn w:val="Normale"/>
    <w:next w:val="Normale"/>
    <w:uiPriority w:val="9"/>
    <w:semiHidden/>
    <w:unhideWhenUsed/>
    <w:qFormat/>
    <w:pPr>
      <w:keepNext/>
      <w:keepLines/>
      <w:spacing w:before="80" w:after="40"/>
      <w:outlineLvl w:val="3"/>
    </w:pPr>
    <w:rPr>
      <w:rFonts w:eastAsia="Times New Roman"/>
      <w:i/>
      <w:iCs/>
      <w:color w:val="2E74B5"/>
    </w:rPr>
  </w:style>
  <w:style w:type="paragraph" w:styleId="Titolo5">
    <w:name w:val="heading 5"/>
    <w:basedOn w:val="Normale"/>
    <w:next w:val="Normale"/>
    <w:uiPriority w:val="9"/>
    <w:semiHidden/>
    <w:unhideWhenUsed/>
    <w:qFormat/>
    <w:pPr>
      <w:keepNext/>
      <w:keepLines/>
      <w:spacing w:before="80" w:after="40"/>
      <w:outlineLvl w:val="4"/>
    </w:pPr>
    <w:rPr>
      <w:rFonts w:eastAsia="Times New Roman"/>
      <w:color w:val="2E74B5"/>
    </w:rPr>
  </w:style>
  <w:style w:type="paragraph" w:styleId="Titolo6">
    <w:name w:val="heading 6"/>
    <w:basedOn w:val="Normale"/>
    <w:next w:val="Normale"/>
    <w:uiPriority w:val="9"/>
    <w:semiHidden/>
    <w:unhideWhenUsed/>
    <w:qFormat/>
    <w:pPr>
      <w:keepNext/>
      <w:keepLines/>
      <w:spacing w:before="40" w:after="0"/>
      <w:outlineLvl w:val="5"/>
    </w:pPr>
    <w:rPr>
      <w:rFonts w:eastAsia="Times New Roman"/>
      <w:i/>
      <w:iCs/>
      <w:color w:val="595959"/>
    </w:rPr>
  </w:style>
  <w:style w:type="paragraph" w:styleId="Titolo7">
    <w:name w:val="heading 7"/>
    <w:basedOn w:val="Normale"/>
    <w:next w:val="Normale"/>
    <w:pPr>
      <w:keepNext/>
      <w:keepLines/>
      <w:spacing w:before="40" w:after="0"/>
      <w:outlineLvl w:val="6"/>
    </w:pPr>
    <w:rPr>
      <w:rFonts w:eastAsia="Times New Roman"/>
      <w:color w:val="595959"/>
    </w:rPr>
  </w:style>
  <w:style w:type="paragraph" w:styleId="Titolo8">
    <w:name w:val="heading 8"/>
    <w:basedOn w:val="Normale"/>
    <w:next w:val="Normale"/>
    <w:pPr>
      <w:keepNext/>
      <w:keepLines/>
      <w:spacing w:after="0"/>
      <w:outlineLvl w:val="7"/>
    </w:pPr>
    <w:rPr>
      <w:rFonts w:eastAsia="Times New Roman"/>
      <w:i/>
      <w:iCs/>
      <w:color w:val="272727"/>
    </w:rPr>
  </w:style>
  <w:style w:type="paragraph" w:styleId="Titolo9">
    <w:name w:val="heading 9"/>
    <w:basedOn w:val="Normale"/>
    <w:next w:val="Normale"/>
    <w:pPr>
      <w:keepNext/>
      <w:keepLines/>
      <w:spacing w:after="0"/>
      <w:outlineLvl w:val="8"/>
    </w:pPr>
    <w:rPr>
      <w:rFonts w:eastAsia="Times New Roman"/>
      <w:color w:val="2727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Aptos Display" w:eastAsia="Times New Roman" w:hAnsi="Aptos Display" w:cs="Times New Roman"/>
      <w:color w:val="2E74B5"/>
      <w:sz w:val="40"/>
      <w:szCs w:val="40"/>
    </w:rPr>
  </w:style>
  <w:style w:type="character" w:customStyle="1" w:styleId="Titolo2Carattere">
    <w:name w:val="Titolo 2 Carattere"/>
    <w:basedOn w:val="Carpredefinitoparagrafo"/>
    <w:rPr>
      <w:rFonts w:ascii="Aptos Display" w:eastAsia="Times New Roman" w:hAnsi="Aptos Display" w:cs="Times New Roman"/>
      <w:color w:val="2E74B5"/>
      <w:sz w:val="32"/>
      <w:szCs w:val="32"/>
    </w:rPr>
  </w:style>
  <w:style w:type="character" w:customStyle="1" w:styleId="Titolo3Carattere">
    <w:name w:val="Titolo 3 Carattere"/>
    <w:basedOn w:val="Carpredefinitoparagrafo"/>
    <w:rPr>
      <w:rFonts w:eastAsia="Times New Roman" w:cs="Times New Roman"/>
      <w:color w:val="2E74B5"/>
      <w:sz w:val="28"/>
      <w:szCs w:val="28"/>
    </w:rPr>
  </w:style>
  <w:style w:type="character" w:customStyle="1" w:styleId="Titolo4Carattere">
    <w:name w:val="Titolo 4 Carattere"/>
    <w:basedOn w:val="Carpredefinitoparagrafo"/>
    <w:rPr>
      <w:rFonts w:eastAsia="Times New Roman" w:cs="Times New Roman"/>
      <w:i/>
      <w:iCs/>
      <w:color w:val="2E74B5"/>
    </w:rPr>
  </w:style>
  <w:style w:type="character" w:customStyle="1" w:styleId="Titolo5Carattere">
    <w:name w:val="Titolo 5 Carattere"/>
    <w:basedOn w:val="Carpredefinitoparagrafo"/>
    <w:rPr>
      <w:rFonts w:eastAsia="Times New Roman" w:cs="Times New Roman"/>
      <w:color w:val="2E74B5"/>
    </w:rPr>
  </w:style>
  <w:style w:type="character" w:customStyle="1" w:styleId="Titolo6Carattere">
    <w:name w:val="Titolo 6 Carattere"/>
    <w:basedOn w:val="Carpredefinitoparagrafo"/>
    <w:rPr>
      <w:rFonts w:eastAsia="Times New Roman" w:cs="Times New Roman"/>
      <w:i/>
      <w:iCs/>
      <w:color w:val="595959"/>
    </w:rPr>
  </w:style>
  <w:style w:type="character" w:customStyle="1" w:styleId="Titolo7Carattere">
    <w:name w:val="Titolo 7 Carattere"/>
    <w:basedOn w:val="Carpredefinitoparagrafo"/>
    <w:rPr>
      <w:rFonts w:eastAsia="Times New Roman" w:cs="Times New Roman"/>
      <w:color w:val="595959"/>
    </w:rPr>
  </w:style>
  <w:style w:type="character" w:customStyle="1" w:styleId="Titolo8Carattere">
    <w:name w:val="Titolo 8 Carattere"/>
    <w:basedOn w:val="Carpredefinitoparagrafo"/>
    <w:rPr>
      <w:rFonts w:eastAsia="Times New Roman" w:cs="Times New Roman"/>
      <w:i/>
      <w:iCs/>
      <w:color w:val="272727"/>
    </w:rPr>
  </w:style>
  <w:style w:type="character" w:customStyle="1" w:styleId="Titolo9Carattere">
    <w:name w:val="Titolo 9 Carattere"/>
    <w:basedOn w:val="Carpredefinitoparagrafo"/>
    <w:rPr>
      <w:rFonts w:eastAsia="Times New Roman" w:cs="Times New Roman"/>
      <w:color w:val="272727"/>
    </w:rPr>
  </w:style>
  <w:style w:type="paragraph" w:styleId="Titolo">
    <w:name w:val="Title"/>
    <w:basedOn w:val="Normale"/>
    <w:next w:val="Normale"/>
    <w:uiPriority w:val="10"/>
    <w:qFormat/>
    <w:pPr>
      <w:spacing w:after="80" w:line="240" w:lineRule="auto"/>
      <w:contextualSpacing/>
    </w:pPr>
    <w:rPr>
      <w:rFonts w:ascii="Aptos Display" w:eastAsia="Times New Roman" w:hAnsi="Aptos Display"/>
      <w:spacing w:val="-10"/>
      <w:sz w:val="56"/>
      <w:szCs w:val="56"/>
    </w:rPr>
  </w:style>
  <w:style w:type="character" w:customStyle="1" w:styleId="TitoloCarattere">
    <w:name w:val="Titolo Carattere"/>
    <w:basedOn w:val="Carpredefinitoparagrafo"/>
    <w:rPr>
      <w:rFonts w:ascii="Aptos Display" w:eastAsia="Times New Roman" w:hAnsi="Aptos Display" w:cs="Times New Roman"/>
      <w:spacing w:val="-10"/>
      <w:kern w:val="3"/>
      <w:sz w:val="56"/>
      <w:szCs w:val="56"/>
    </w:rPr>
  </w:style>
  <w:style w:type="paragraph" w:styleId="Sottotitolo">
    <w:name w:val="Subtitle"/>
    <w:basedOn w:val="Normale"/>
    <w:next w:val="Normale"/>
    <w:uiPriority w:val="11"/>
    <w:qFormat/>
    <w:rPr>
      <w:rFonts w:eastAsia="Times New Roman"/>
      <w:color w:val="595959"/>
      <w:spacing w:val="15"/>
      <w:sz w:val="28"/>
      <w:szCs w:val="28"/>
    </w:rPr>
  </w:style>
  <w:style w:type="character" w:customStyle="1" w:styleId="SottotitoloCarattere">
    <w:name w:val="Sottotitolo Carattere"/>
    <w:basedOn w:val="Carpredefinitoparagrafo"/>
    <w:rPr>
      <w:rFonts w:eastAsia="Times New Roman" w:cs="Times New Roman"/>
      <w:color w:val="595959"/>
      <w:spacing w:val="15"/>
      <w:sz w:val="28"/>
      <w:szCs w:val="28"/>
    </w:rPr>
  </w:style>
  <w:style w:type="paragraph" w:styleId="Citazione">
    <w:name w:val="Quote"/>
    <w:basedOn w:val="Normale"/>
    <w:next w:val="Normale"/>
    <w:pPr>
      <w:spacing w:before="160"/>
      <w:jc w:val="center"/>
    </w:pPr>
    <w:rPr>
      <w:i/>
      <w:iCs/>
      <w:color w:val="404040"/>
    </w:rPr>
  </w:style>
  <w:style w:type="character" w:customStyle="1" w:styleId="CitazioneCarattere">
    <w:name w:val="Citazione Carattere"/>
    <w:basedOn w:val="Carpredefinitoparagrafo"/>
    <w:rPr>
      <w:i/>
      <w:iCs/>
      <w:color w:val="404040"/>
    </w:rPr>
  </w:style>
  <w:style w:type="paragraph" w:styleId="Paragrafoelenco">
    <w:name w:val="List Paragraph"/>
    <w:basedOn w:val="Normale"/>
    <w:uiPriority w:val="34"/>
    <w:qFormat/>
    <w:pPr>
      <w:ind w:left="720"/>
      <w:contextualSpacing/>
    </w:pPr>
  </w:style>
  <w:style w:type="character" w:styleId="Enfasiintensa">
    <w:name w:val="Intense Emphasis"/>
    <w:basedOn w:val="Carpredefinitoparagrafo"/>
    <w:rPr>
      <w:i/>
      <w:iCs/>
      <w:color w:val="2E74B5"/>
    </w:rPr>
  </w:style>
  <w:style w:type="paragraph" w:styleId="Citazioneintensa">
    <w:name w:val="Intense Quote"/>
    <w:basedOn w:val="Normale"/>
    <w:next w:val="Normale"/>
    <w:pPr>
      <w:pBdr>
        <w:top w:val="single" w:sz="4" w:space="10" w:color="2E74B5"/>
        <w:bottom w:val="single" w:sz="4" w:space="10" w:color="2E74B5"/>
      </w:pBdr>
      <w:spacing w:before="360" w:after="360"/>
      <w:ind w:left="864" w:right="864"/>
      <w:jc w:val="center"/>
    </w:pPr>
    <w:rPr>
      <w:i/>
      <w:iCs/>
      <w:color w:val="2E74B5"/>
    </w:rPr>
  </w:style>
  <w:style w:type="character" w:customStyle="1" w:styleId="CitazioneintensaCarattere">
    <w:name w:val="Citazione intensa Carattere"/>
    <w:basedOn w:val="Carpredefinitoparagrafo"/>
    <w:rPr>
      <w:i/>
      <w:iCs/>
      <w:color w:val="2E74B5"/>
    </w:rPr>
  </w:style>
  <w:style w:type="character" w:styleId="Riferimentointenso">
    <w:name w:val="Intense Reference"/>
    <w:basedOn w:val="Carpredefinitoparagrafo"/>
    <w:rPr>
      <w:b/>
      <w:bCs/>
      <w:smallCaps/>
      <w:color w:val="2E74B5"/>
      <w:spacing w:val="5"/>
    </w:rPr>
  </w:style>
  <w:style w:type="paragraph" w:styleId="NormaleWeb">
    <w:name w:val="Normal (Web)"/>
    <w:basedOn w:val="Normale"/>
    <w:uiPriority w:val="99"/>
    <w:unhideWhenUsed/>
    <w:rsid w:val="002D0808"/>
    <w:pPr>
      <w:suppressAutoHyphens w:val="0"/>
      <w:autoSpaceDN/>
      <w:spacing w:before="100" w:beforeAutospacing="1" w:after="100" w:afterAutospacing="1" w:line="240" w:lineRule="auto"/>
    </w:pPr>
    <w:rPr>
      <w:rFonts w:ascii="Times New Roman" w:eastAsia="Times New Roman" w:hAnsi="Times New Roman"/>
      <w:kern w:val="0"/>
      <w:sz w:val="24"/>
      <w:szCs w:val="24"/>
      <w:lang w:eastAsia="it-IT"/>
    </w:rPr>
  </w:style>
  <w:style w:type="paragraph" w:styleId="Revisione">
    <w:name w:val="Revision"/>
    <w:hidden/>
    <w:uiPriority w:val="99"/>
    <w:semiHidden/>
    <w:rsid w:val="00981DA8"/>
    <w:pPr>
      <w:autoSpaceDN/>
      <w:spacing w:after="0" w:line="240" w:lineRule="auto"/>
    </w:pPr>
  </w:style>
  <w:style w:type="character" w:styleId="Collegamentoipertestuale">
    <w:name w:val="Hyperlink"/>
    <w:basedOn w:val="Carpredefinitoparagrafo"/>
    <w:uiPriority w:val="99"/>
    <w:unhideWhenUsed/>
    <w:rsid w:val="001E6474"/>
    <w:rPr>
      <w:color w:val="467886" w:themeColor="hyperlink"/>
      <w:u w:val="single"/>
    </w:rPr>
  </w:style>
  <w:style w:type="character" w:styleId="Menzionenonrisolta">
    <w:name w:val="Unresolved Mention"/>
    <w:basedOn w:val="Carpredefinitoparagrafo"/>
    <w:uiPriority w:val="99"/>
    <w:semiHidden/>
    <w:unhideWhenUsed/>
    <w:rsid w:val="001E6474"/>
    <w:rPr>
      <w:color w:val="605E5C"/>
      <w:shd w:val="clear" w:color="auto" w:fill="E1DFDD"/>
    </w:rPr>
  </w:style>
  <w:style w:type="paragraph" w:styleId="Intestazione">
    <w:name w:val="header"/>
    <w:basedOn w:val="Normale"/>
    <w:link w:val="IntestazioneCarattere"/>
    <w:uiPriority w:val="99"/>
    <w:unhideWhenUsed/>
    <w:rsid w:val="00874E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74E41"/>
  </w:style>
  <w:style w:type="paragraph" w:styleId="Pidipagina">
    <w:name w:val="footer"/>
    <w:basedOn w:val="Normale"/>
    <w:link w:val="PidipaginaCarattere"/>
    <w:uiPriority w:val="99"/>
    <w:unhideWhenUsed/>
    <w:rsid w:val="00874E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74E41"/>
  </w:style>
  <w:style w:type="character" w:customStyle="1" w:styleId="wk-tooltip-wrapper">
    <w:name w:val="wk-tooltip-wrapper"/>
    <w:basedOn w:val="Carpredefinitoparagrafo"/>
    <w:rsid w:val="00646A1E"/>
  </w:style>
  <w:style w:type="character" w:customStyle="1" w:styleId="apple-converted-space">
    <w:name w:val="apple-converted-space"/>
    <w:basedOn w:val="Carpredefinitoparagrafo"/>
    <w:rsid w:val="006E3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012739">
      <w:bodyDiv w:val="1"/>
      <w:marLeft w:val="0"/>
      <w:marRight w:val="0"/>
      <w:marTop w:val="0"/>
      <w:marBottom w:val="0"/>
      <w:divBdr>
        <w:top w:val="none" w:sz="0" w:space="0" w:color="auto"/>
        <w:left w:val="none" w:sz="0" w:space="0" w:color="auto"/>
        <w:bottom w:val="none" w:sz="0" w:space="0" w:color="auto"/>
        <w:right w:val="none" w:sz="0" w:space="0" w:color="auto"/>
      </w:divBdr>
    </w:div>
    <w:div w:id="632053976">
      <w:bodyDiv w:val="1"/>
      <w:marLeft w:val="0"/>
      <w:marRight w:val="0"/>
      <w:marTop w:val="0"/>
      <w:marBottom w:val="0"/>
      <w:divBdr>
        <w:top w:val="none" w:sz="0" w:space="0" w:color="auto"/>
        <w:left w:val="none" w:sz="0" w:space="0" w:color="auto"/>
        <w:bottom w:val="none" w:sz="0" w:space="0" w:color="auto"/>
        <w:right w:val="none" w:sz="0" w:space="0" w:color="auto"/>
      </w:divBdr>
    </w:div>
    <w:div w:id="703560941">
      <w:bodyDiv w:val="1"/>
      <w:marLeft w:val="0"/>
      <w:marRight w:val="0"/>
      <w:marTop w:val="0"/>
      <w:marBottom w:val="0"/>
      <w:divBdr>
        <w:top w:val="none" w:sz="0" w:space="0" w:color="auto"/>
        <w:left w:val="none" w:sz="0" w:space="0" w:color="auto"/>
        <w:bottom w:val="none" w:sz="0" w:space="0" w:color="auto"/>
        <w:right w:val="none" w:sz="0" w:space="0" w:color="auto"/>
      </w:divBdr>
      <w:divsChild>
        <w:div w:id="1863470437">
          <w:marLeft w:val="0"/>
          <w:marRight w:val="0"/>
          <w:marTop w:val="0"/>
          <w:marBottom w:val="0"/>
          <w:divBdr>
            <w:top w:val="single" w:sz="6" w:space="9" w:color="EDEDED"/>
            <w:left w:val="single" w:sz="6" w:space="9" w:color="EDEDED"/>
            <w:bottom w:val="single" w:sz="6" w:space="9" w:color="EDEDED"/>
            <w:right w:val="single" w:sz="6" w:space="9" w:color="EDEDED"/>
          </w:divBdr>
        </w:div>
      </w:divsChild>
    </w:div>
    <w:div w:id="817186278">
      <w:bodyDiv w:val="1"/>
      <w:marLeft w:val="0"/>
      <w:marRight w:val="0"/>
      <w:marTop w:val="0"/>
      <w:marBottom w:val="0"/>
      <w:divBdr>
        <w:top w:val="none" w:sz="0" w:space="0" w:color="auto"/>
        <w:left w:val="none" w:sz="0" w:space="0" w:color="auto"/>
        <w:bottom w:val="none" w:sz="0" w:space="0" w:color="auto"/>
        <w:right w:val="none" w:sz="0" w:space="0" w:color="auto"/>
      </w:divBdr>
    </w:div>
    <w:div w:id="933125207">
      <w:bodyDiv w:val="1"/>
      <w:marLeft w:val="0"/>
      <w:marRight w:val="0"/>
      <w:marTop w:val="0"/>
      <w:marBottom w:val="0"/>
      <w:divBdr>
        <w:top w:val="none" w:sz="0" w:space="0" w:color="auto"/>
        <w:left w:val="none" w:sz="0" w:space="0" w:color="auto"/>
        <w:bottom w:val="none" w:sz="0" w:space="0" w:color="auto"/>
        <w:right w:val="none" w:sz="0" w:space="0" w:color="auto"/>
      </w:divBdr>
      <w:divsChild>
        <w:div w:id="849296036">
          <w:marLeft w:val="0"/>
          <w:marRight w:val="0"/>
          <w:marTop w:val="0"/>
          <w:marBottom w:val="0"/>
          <w:divBdr>
            <w:top w:val="single" w:sz="6" w:space="9" w:color="EDEDED"/>
            <w:left w:val="single" w:sz="6" w:space="9" w:color="EDEDED"/>
            <w:bottom w:val="single" w:sz="6" w:space="9" w:color="EDEDED"/>
            <w:right w:val="single" w:sz="6" w:space="9" w:color="EDEDED"/>
          </w:divBdr>
        </w:div>
      </w:divsChild>
    </w:div>
    <w:div w:id="959992981">
      <w:bodyDiv w:val="1"/>
      <w:marLeft w:val="0"/>
      <w:marRight w:val="0"/>
      <w:marTop w:val="0"/>
      <w:marBottom w:val="0"/>
      <w:divBdr>
        <w:top w:val="none" w:sz="0" w:space="0" w:color="auto"/>
        <w:left w:val="none" w:sz="0" w:space="0" w:color="auto"/>
        <w:bottom w:val="none" w:sz="0" w:space="0" w:color="auto"/>
        <w:right w:val="none" w:sz="0" w:space="0" w:color="auto"/>
      </w:divBdr>
    </w:div>
    <w:div w:id="1011683691">
      <w:bodyDiv w:val="1"/>
      <w:marLeft w:val="0"/>
      <w:marRight w:val="0"/>
      <w:marTop w:val="0"/>
      <w:marBottom w:val="0"/>
      <w:divBdr>
        <w:top w:val="none" w:sz="0" w:space="0" w:color="auto"/>
        <w:left w:val="none" w:sz="0" w:space="0" w:color="auto"/>
        <w:bottom w:val="none" w:sz="0" w:space="0" w:color="auto"/>
        <w:right w:val="none" w:sz="0" w:space="0" w:color="auto"/>
      </w:divBdr>
      <w:divsChild>
        <w:div w:id="846988046">
          <w:marLeft w:val="0"/>
          <w:marRight w:val="0"/>
          <w:marTop w:val="0"/>
          <w:marBottom w:val="0"/>
          <w:divBdr>
            <w:top w:val="single" w:sz="6" w:space="9" w:color="EDEDED"/>
            <w:left w:val="single" w:sz="6" w:space="9" w:color="EDEDED"/>
            <w:bottom w:val="single" w:sz="6" w:space="9" w:color="EDEDED"/>
            <w:right w:val="single" w:sz="6" w:space="9" w:color="EDEDED"/>
          </w:divBdr>
        </w:div>
      </w:divsChild>
    </w:div>
    <w:div w:id="1061561595">
      <w:bodyDiv w:val="1"/>
      <w:marLeft w:val="0"/>
      <w:marRight w:val="0"/>
      <w:marTop w:val="0"/>
      <w:marBottom w:val="0"/>
      <w:divBdr>
        <w:top w:val="none" w:sz="0" w:space="0" w:color="auto"/>
        <w:left w:val="none" w:sz="0" w:space="0" w:color="auto"/>
        <w:bottom w:val="none" w:sz="0" w:space="0" w:color="auto"/>
        <w:right w:val="none" w:sz="0" w:space="0" w:color="auto"/>
      </w:divBdr>
    </w:div>
    <w:div w:id="1075664798">
      <w:bodyDiv w:val="1"/>
      <w:marLeft w:val="0"/>
      <w:marRight w:val="0"/>
      <w:marTop w:val="0"/>
      <w:marBottom w:val="0"/>
      <w:divBdr>
        <w:top w:val="none" w:sz="0" w:space="0" w:color="auto"/>
        <w:left w:val="none" w:sz="0" w:space="0" w:color="auto"/>
        <w:bottom w:val="none" w:sz="0" w:space="0" w:color="auto"/>
        <w:right w:val="none" w:sz="0" w:space="0" w:color="auto"/>
      </w:divBdr>
    </w:div>
    <w:div w:id="1184636596">
      <w:bodyDiv w:val="1"/>
      <w:marLeft w:val="0"/>
      <w:marRight w:val="0"/>
      <w:marTop w:val="0"/>
      <w:marBottom w:val="0"/>
      <w:divBdr>
        <w:top w:val="none" w:sz="0" w:space="0" w:color="auto"/>
        <w:left w:val="none" w:sz="0" w:space="0" w:color="auto"/>
        <w:bottom w:val="none" w:sz="0" w:space="0" w:color="auto"/>
        <w:right w:val="none" w:sz="0" w:space="0" w:color="auto"/>
      </w:divBdr>
    </w:div>
    <w:div w:id="1210416024">
      <w:bodyDiv w:val="1"/>
      <w:marLeft w:val="0"/>
      <w:marRight w:val="0"/>
      <w:marTop w:val="0"/>
      <w:marBottom w:val="0"/>
      <w:divBdr>
        <w:top w:val="none" w:sz="0" w:space="0" w:color="auto"/>
        <w:left w:val="none" w:sz="0" w:space="0" w:color="auto"/>
        <w:bottom w:val="none" w:sz="0" w:space="0" w:color="auto"/>
        <w:right w:val="none" w:sz="0" w:space="0" w:color="auto"/>
      </w:divBdr>
    </w:div>
    <w:div w:id="1240753375">
      <w:bodyDiv w:val="1"/>
      <w:marLeft w:val="0"/>
      <w:marRight w:val="0"/>
      <w:marTop w:val="0"/>
      <w:marBottom w:val="0"/>
      <w:divBdr>
        <w:top w:val="none" w:sz="0" w:space="0" w:color="auto"/>
        <w:left w:val="none" w:sz="0" w:space="0" w:color="auto"/>
        <w:bottom w:val="none" w:sz="0" w:space="0" w:color="auto"/>
        <w:right w:val="none" w:sz="0" w:space="0" w:color="auto"/>
      </w:divBdr>
    </w:div>
    <w:div w:id="1290087905">
      <w:bodyDiv w:val="1"/>
      <w:marLeft w:val="0"/>
      <w:marRight w:val="0"/>
      <w:marTop w:val="0"/>
      <w:marBottom w:val="0"/>
      <w:divBdr>
        <w:top w:val="none" w:sz="0" w:space="0" w:color="auto"/>
        <w:left w:val="none" w:sz="0" w:space="0" w:color="auto"/>
        <w:bottom w:val="none" w:sz="0" w:space="0" w:color="auto"/>
        <w:right w:val="none" w:sz="0" w:space="0" w:color="auto"/>
      </w:divBdr>
    </w:div>
    <w:div w:id="1514026093">
      <w:bodyDiv w:val="1"/>
      <w:marLeft w:val="0"/>
      <w:marRight w:val="0"/>
      <w:marTop w:val="0"/>
      <w:marBottom w:val="0"/>
      <w:divBdr>
        <w:top w:val="none" w:sz="0" w:space="0" w:color="auto"/>
        <w:left w:val="none" w:sz="0" w:space="0" w:color="auto"/>
        <w:bottom w:val="none" w:sz="0" w:space="0" w:color="auto"/>
        <w:right w:val="none" w:sz="0" w:space="0" w:color="auto"/>
      </w:divBdr>
    </w:div>
    <w:div w:id="1609853450">
      <w:bodyDiv w:val="1"/>
      <w:marLeft w:val="0"/>
      <w:marRight w:val="0"/>
      <w:marTop w:val="0"/>
      <w:marBottom w:val="0"/>
      <w:divBdr>
        <w:top w:val="none" w:sz="0" w:space="0" w:color="auto"/>
        <w:left w:val="none" w:sz="0" w:space="0" w:color="auto"/>
        <w:bottom w:val="none" w:sz="0" w:space="0" w:color="auto"/>
        <w:right w:val="none" w:sz="0" w:space="0" w:color="auto"/>
      </w:divBdr>
    </w:div>
    <w:div w:id="1616669933">
      <w:bodyDiv w:val="1"/>
      <w:marLeft w:val="0"/>
      <w:marRight w:val="0"/>
      <w:marTop w:val="0"/>
      <w:marBottom w:val="0"/>
      <w:divBdr>
        <w:top w:val="none" w:sz="0" w:space="0" w:color="auto"/>
        <w:left w:val="none" w:sz="0" w:space="0" w:color="auto"/>
        <w:bottom w:val="none" w:sz="0" w:space="0" w:color="auto"/>
        <w:right w:val="none" w:sz="0" w:space="0" w:color="auto"/>
      </w:divBdr>
    </w:div>
    <w:div w:id="1740322863">
      <w:bodyDiv w:val="1"/>
      <w:marLeft w:val="0"/>
      <w:marRight w:val="0"/>
      <w:marTop w:val="0"/>
      <w:marBottom w:val="0"/>
      <w:divBdr>
        <w:top w:val="none" w:sz="0" w:space="0" w:color="auto"/>
        <w:left w:val="none" w:sz="0" w:space="0" w:color="auto"/>
        <w:bottom w:val="none" w:sz="0" w:space="0" w:color="auto"/>
        <w:right w:val="none" w:sz="0" w:space="0" w:color="auto"/>
      </w:divBdr>
    </w:div>
    <w:div w:id="1788885829">
      <w:bodyDiv w:val="1"/>
      <w:marLeft w:val="0"/>
      <w:marRight w:val="0"/>
      <w:marTop w:val="0"/>
      <w:marBottom w:val="0"/>
      <w:divBdr>
        <w:top w:val="none" w:sz="0" w:space="0" w:color="auto"/>
        <w:left w:val="none" w:sz="0" w:space="0" w:color="auto"/>
        <w:bottom w:val="none" w:sz="0" w:space="0" w:color="auto"/>
        <w:right w:val="none" w:sz="0" w:space="0" w:color="auto"/>
      </w:divBdr>
    </w:div>
    <w:div w:id="1805848660">
      <w:bodyDiv w:val="1"/>
      <w:marLeft w:val="0"/>
      <w:marRight w:val="0"/>
      <w:marTop w:val="0"/>
      <w:marBottom w:val="0"/>
      <w:divBdr>
        <w:top w:val="none" w:sz="0" w:space="0" w:color="auto"/>
        <w:left w:val="none" w:sz="0" w:space="0" w:color="auto"/>
        <w:bottom w:val="none" w:sz="0" w:space="0" w:color="auto"/>
        <w:right w:val="none" w:sz="0" w:space="0" w:color="auto"/>
      </w:divBdr>
    </w:div>
    <w:div w:id="1849172105">
      <w:bodyDiv w:val="1"/>
      <w:marLeft w:val="0"/>
      <w:marRight w:val="0"/>
      <w:marTop w:val="0"/>
      <w:marBottom w:val="0"/>
      <w:divBdr>
        <w:top w:val="none" w:sz="0" w:space="0" w:color="auto"/>
        <w:left w:val="none" w:sz="0" w:space="0" w:color="auto"/>
        <w:bottom w:val="none" w:sz="0" w:space="0" w:color="auto"/>
        <w:right w:val="none" w:sz="0" w:space="0" w:color="auto"/>
      </w:divBdr>
    </w:div>
    <w:div w:id="1906986511">
      <w:bodyDiv w:val="1"/>
      <w:marLeft w:val="0"/>
      <w:marRight w:val="0"/>
      <w:marTop w:val="0"/>
      <w:marBottom w:val="0"/>
      <w:divBdr>
        <w:top w:val="none" w:sz="0" w:space="0" w:color="auto"/>
        <w:left w:val="none" w:sz="0" w:space="0" w:color="auto"/>
        <w:bottom w:val="none" w:sz="0" w:space="0" w:color="auto"/>
        <w:right w:val="none" w:sz="0" w:space="0" w:color="auto"/>
      </w:divBdr>
      <w:divsChild>
        <w:div w:id="1179126200">
          <w:marLeft w:val="0"/>
          <w:marRight w:val="0"/>
          <w:marTop w:val="0"/>
          <w:marBottom w:val="0"/>
          <w:divBdr>
            <w:top w:val="single" w:sz="6" w:space="9" w:color="EDEDED"/>
            <w:left w:val="single" w:sz="6" w:space="9" w:color="EDEDED"/>
            <w:bottom w:val="single" w:sz="6" w:space="9" w:color="EDEDED"/>
            <w:right w:val="single" w:sz="6" w:space="9" w:color="EDEDED"/>
          </w:divBdr>
        </w:div>
      </w:divsChild>
    </w:div>
    <w:div w:id="19171310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e9ecd3-49dc-4355-a3de-944263e3bf65">
      <Terms xmlns="http://schemas.microsoft.com/office/infopath/2007/PartnerControls"/>
    </lcf76f155ced4ddcb4097134ff3c332f>
    <TaxCatchAll xmlns="3b0d13af-778a-4999-a53a-9a4892815d2e" xsi:nil="true"/>
    <Approver xmlns="b8e9ecd3-49dc-4355-a3de-944263e3bf65" xsi:nil="true"/>
    <_Flow_SignoffStatus xmlns="b8e9ecd3-49dc-4355-a3de-944263e3bf65" xsi:nil="true"/>
    <Segnatura xmlns="b8e9ecd3-49dc-4355-a3de-944263e3bf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29FEADFC340DA40B2139D4BBB1A48D7" ma:contentTypeVersion="16" ma:contentTypeDescription="Creare un nuovo documento." ma:contentTypeScope="" ma:versionID="948c8430f73819491965253547f34394">
  <xsd:schema xmlns:xsd="http://www.w3.org/2001/XMLSchema" xmlns:xs="http://www.w3.org/2001/XMLSchema" xmlns:p="http://schemas.microsoft.com/office/2006/metadata/properties" xmlns:ns2="3b0d13af-778a-4999-a53a-9a4892815d2e" xmlns:ns3="b8e9ecd3-49dc-4355-a3de-944263e3bf65" targetNamespace="http://schemas.microsoft.com/office/2006/metadata/properties" ma:root="true" ma:fieldsID="cf4468249b3b37363dc8f3e7923a5c95" ns2:_="" ns3:_="">
    <xsd:import namespace="3b0d13af-778a-4999-a53a-9a4892815d2e"/>
    <xsd:import namespace="b8e9ecd3-49dc-4355-a3de-944263e3bf65"/>
    <xsd:element name="properties">
      <xsd:complexType>
        <xsd:sequence>
          <xsd:element name="documentManagement">
            <xsd:complexType>
              <xsd:all>
                <xsd:element ref="ns2:SharedWithUsers" minOccurs="0"/>
                <xsd:element ref="ns2:SharedWithDetails" minOccurs="0"/>
                <xsd:element ref="ns3:Segnatura" minOccurs="0"/>
                <xsd:element ref="ns3:MediaServiceMetadata" minOccurs="0"/>
                <xsd:element ref="ns3:MediaServiceFastMetadata" minOccurs="0"/>
                <xsd:element ref="ns3:_Flow_SignoffStatu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Approver" minOccurs="0"/>
                <xsd:element ref="ns3:MediaServiceDateTake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d13af-778a-4999-a53a-9a4892815d2e"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7" nillable="true" ma:displayName="Taxonomy Catch All Column" ma:hidden="true" ma:list="{f7a03ce8-da33-48bc-a9d0-d901ec01c1f3}" ma:internalName="TaxCatchAll" ma:showField="CatchAllData" ma:web="3b0d13af-778a-4999-a53a-9a4892815d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e9ecd3-49dc-4355-a3de-944263e3bf65" elementFormDefault="qualified">
    <xsd:import namespace="http://schemas.microsoft.com/office/2006/documentManagement/types"/>
    <xsd:import namespace="http://schemas.microsoft.com/office/infopath/2007/PartnerControls"/>
    <xsd:element name="Segnatura" ma:index="10" nillable="true" ma:displayName="Segnatura" ma:internalName="Segnatura">
      <xsd:simpleType>
        <xsd:restriction base="dms:Text">
          <xsd:maxLength value="30"/>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Flow_SignoffStatus" ma:index="13" nillable="true" ma:displayName="Stato consenso" ma:internalName="Stato_x0020_consenso">
      <xsd:simpleType>
        <xsd:restriction base="dms:Text"/>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Approver" ma:index="21" nillable="true" ma:displayName="Approver" ma:internalName="Approver">
      <xsd:simpleType>
        <xsd:restriction base="dms:Note">
          <xsd:maxLength value="255"/>
        </xsd:restriction>
      </xsd:simpleType>
    </xsd:element>
    <xsd:element name="MediaServiceDateTaken" ma:index="22" nillable="true" ma:displayName="MediaServiceDateTaken" ma:descriptio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546B26-2A4C-4EAF-A083-527C103F4FC5}">
  <ds:schemaRefs>
    <ds:schemaRef ds:uri="http://schemas.microsoft.com/sharepoint/v3/contenttype/forms"/>
  </ds:schemaRefs>
</ds:datastoreItem>
</file>

<file path=customXml/itemProps2.xml><?xml version="1.0" encoding="utf-8"?>
<ds:datastoreItem xmlns:ds="http://schemas.openxmlformats.org/officeDocument/2006/customXml" ds:itemID="{C618B555-7AC5-4EB8-8C85-641E9E54DDDF}">
  <ds:schemaRefs>
    <ds:schemaRef ds:uri="http://schemas.microsoft.com/office/2006/metadata/properties"/>
    <ds:schemaRef ds:uri="http://schemas.microsoft.com/office/infopath/2007/PartnerControls"/>
    <ds:schemaRef ds:uri="b8e9ecd3-49dc-4355-a3de-944263e3bf65"/>
    <ds:schemaRef ds:uri="3b0d13af-778a-4999-a53a-9a4892815d2e"/>
  </ds:schemaRefs>
</ds:datastoreItem>
</file>

<file path=customXml/itemProps3.xml><?xml version="1.0" encoding="utf-8"?>
<ds:datastoreItem xmlns:ds="http://schemas.openxmlformats.org/officeDocument/2006/customXml" ds:itemID="{46E73D5D-FEFD-4E4A-8152-97533716F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d13af-778a-4999-a53a-9a4892815d2e"/>
    <ds:schemaRef ds:uri="b8e9ecd3-49dc-4355-a3de-944263e3b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3051</Words>
  <Characters>17395</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Ministero dello Sviluppo Economico</Company>
  <LinksUpToDate>false</LinksUpToDate>
  <CharactersWithSpaces>20406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Tempestini</dc:creator>
  <dc:description/>
  <cp:lastModifiedBy>Utopia lab Srl</cp:lastModifiedBy>
  <cp:revision>2</cp:revision>
  <cp:lastPrinted>2025-05-13T09:40:00Z</cp:lastPrinted>
  <dcterms:created xsi:type="dcterms:W3CDTF">2025-07-10T16:10:00Z</dcterms:created>
  <dcterms:modified xsi:type="dcterms:W3CDTF">2025-07-10T16:10:00Z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0x010100E29FEADFC340DA40B2139D4BBB1A48D7</vt:lpwstr>
  </property>
  <property fmtid="{D5CDD505-2E9C-101B-9397-08002B2CF9AE}" pid="3" name="MSIP_Label_5097a60d-5525-435b-8989-8eb48ac0c8cd_Enabled">
    <vt:lpwstr>true</vt:lpwstr>
  </property>
  <property fmtid="{D5CDD505-2E9C-101B-9397-08002B2CF9AE}" pid="4" name="MSIP_Label_5097a60d-5525-435b-8989-8eb48ac0c8cd_SetDate">
    <vt:lpwstr>2025-07-04T16:11:27Z</vt:lpwstr>
  </property>
  <property fmtid="{D5CDD505-2E9C-101B-9397-08002B2CF9AE}" pid="5" name="MSIP_Label_5097a60d-5525-435b-8989-8eb48ac0c8cd_Method">
    <vt:lpwstr>Standard</vt:lpwstr>
  </property>
  <property fmtid="{D5CDD505-2E9C-101B-9397-08002B2CF9AE}" pid="6" name="MSIP_Label_5097a60d-5525-435b-8989-8eb48ac0c8cd_Name">
    <vt:lpwstr>defa4170-0d19-0005-0004-bc88714345d2</vt:lpwstr>
  </property>
  <property fmtid="{D5CDD505-2E9C-101B-9397-08002B2CF9AE}" pid="7" name="MSIP_Label_5097a60d-5525-435b-8989-8eb48ac0c8cd_SiteId">
    <vt:lpwstr>3e90938b-8b27-4762-b4e8-006a8127a119</vt:lpwstr>
  </property>
  <property fmtid="{D5CDD505-2E9C-101B-9397-08002B2CF9AE}" pid="8" name="MSIP_Label_5097a60d-5525-435b-8989-8eb48ac0c8cd_ActionId">
    <vt:lpwstr>ab67251a-300b-433f-b459-5cc0fc30c5a9</vt:lpwstr>
  </property>
  <property fmtid="{D5CDD505-2E9C-101B-9397-08002B2CF9AE}" pid="9" name="MSIP_Label_5097a60d-5525-435b-8989-8eb48ac0c8cd_ContentBits">
    <vt:lpwstr>0</vt:lpwstr>
  </property>
  <property fmtid="{D5CDD505-2E9C-101B-9397-08002B2CF9AE}" pid="10" name="MSIP_Label_5097a60d-5525-435b-8989-8eb48ac0c8cd_Tag">
    <vt:lpwstr>10, 3, 0, 1</vt:lpwstr>
  </property>
</Properties>
</file>